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9A4E5" w14:textId="77777777" w:rsidR="00347D65" w:rsidRPr="00B86CE9" w:rsidRDefault="00347D65" w:rsidP="00347D65">
      <w:pPr>
        <w:pStyle w:val="Title"/>
      </w:pPr>
      <w:bookmarkStart w:id="0" w:name="_GoBack"/>
      <w:bookmarkEnd w:id="0"/>
      <w:r>
        <w:t xml:space="preserve">Managing Drugs and Alcohol </w:t>
      </w:r>
      <w:r w:rsidRPr="00B86CE9">
        <w:t>in the Workplace</w:t>
      </w:r>
    </w:p>
    <w:p w14:paraId="75A7C58C" w14:textId="77777777" w:rsidR="00347D65" w:rsidRPr="00140FE3" w:rsidRDefault="00347D65" w:rsidP="00BC06E9">
      <w:pPr>
        <w:pStyle w:val="Heading1"/>
      </w:pPr>
      <w:r w:rsidRPr="00140FE3">
        <w:t xml:space="preserve">Andrew </w:t>
      </w:r>
      <w:proofErr w:type="spellStart"/>
      <w:r w:rsidRPr="00140FE3">
        <w:t>Ermer</w:t>
      </w:r>
      <w:proofErr w:type="spellEnd"/>
      <w:r w:rsidRPr="00140FE3">
        <w:t>, Manager – National Construction Services, Australian Industry Group</w:t>
      </w:r>
    </w:p>
    <w:p w14:paraId="40527C54" w14:textId="77777777" w:rsidR="00347D65" w:rsidRPr="00BC06E9" w:rsidRDefault="00347D65" w:rsidP="00BC06E9">
      <w:pPr>
        <w:pStyle w:val="Heading1"/>
      </w:pPr>
      <w:r w:rsidRPr="00BC06E9">
        <w:t>General Statistics</w:t>
      </w:r>
    </w:p>
    <w:p w14:paraId="37786EB8" w14:textId="77777777" w:rsidR="00347D65" w:rsidRPr="00B86CE9" w:rsidRDefault="00347D65" w:rsidP="00347D65">
      <w:pPr>
        <w:pStyle w:val="Bulletlist"/>
      </w:pPr>
      <w:r w:rsidRPr="00B86CE9">
        <w:t>1 in 9 drove a motor vehicle under the influence of alcohol</w:t>
      </w:r>
    </w:p>
    <w:p w14:paraId="223C5845" w14:textId="77777777" w:rsidR="00347D65" w:rsidRPr="00B86CE9" w:rsidRDefault="00347D65" w:rsidP="00347D65">
      <w:pPr>
        <w:pStyle w:val="Bulletlist"/>
      </w:pPr>
      <w:r w:rsidRPr="00B86CE9">
        <w:t>1 in 17 verbally abused someone under the influence of alcohol</w:t>
      </w:r>
    </w:p>
    <w:p w14:paraId="0013173A" w14:textId="77777777" w:rsidR="00347D65" w:rsidRPr="00B86CE9" w:rsidRDefault="00347D65" w:rsidP="00347D65">
      <w:pPr>
        <w:pStyle w:val="Bulletlist"/>
      </w:pPr>
      <w:r w:rsidRPr="00B86CE9">
        <w:t>1 in 4 were verbally abused by someone under the influence of alcohol</w:t>
      </w:r>
    </w:p>
    <w:p w14:paraId="776EBC79" w14:textId="77777777" w:rsidR="00347D65" w:rsidRPr="00B86CE9" w:rsidRDefault="00347D65" w:rsidP="00347D65">
      <w:pPr>
        <w:pStyle w:val="Bulletlist"/>
        <w:rPr>
          <w:lang w:val="en-US"/>
        </w:rPr>
      </w:pPr>
      <w:r w:rsidRPr="00B86CE9">
        <w:t>1 in 50 were physically abused by someone affected by illicit drugs</w:t>
      </w:r>
    </w:p>
    <w:p w14:paraId="6E4154D5" w14:textId="77777777" w:rsidR="00347D65" w:rsidRPr="00B86CE9" w:rsidRDefault="00347D65" w:rsidP="00BC06E9">
      <w:pPr>
        <w:pStyle w:val="Heading1"/>
      </w:pPr>
      <w:r w:rsidRPr="00B86CE9">
        <w:t>Workplace Statistics</w:t>
      </w:r>
    </w:p>
    <w:p w14:paraId="5B6065FD" w14:textId="77777777" w:rsidR="00347D65" w:rsidRPr="00B86CE9" w:rsidRDefault="00347D65" w:rsidP="00347D65">
      <w:pPr>
        <w:pStyle w:val="Bulletlist"/>
      </w:pPr>
      <w:r w:rsidRPr="00B86CE9">
        <w:t>10% of workplace deaths drug or alcohol related</w:t>
      </w:r>
    </w:p>
    <w:p w14:paraId="1C35896F" w14:textId="77777777" w:rsidR="00347D65" w:rsidRPr="00B86CE9" w:rsidRDefault="00347D65" w:rsidP="00347D65">
      <w:pPr>
        <w:pStyle w:val="Bulletlist"/>
      </w:pPr>
      <w:r w:rsidRPr="00B86CE9">
        <w:t>20-25% of workplace accidents drug or alcohol related</w:t>
      </w:r>
    </w:p>
    <w:p w14:paraId="4CE617BA" w14:textId="77777777" w:rsidR="00347D65" w:rsidRPr="00B86CE9" w:rsidRDefault="00347D65" w:rsidP="00347D65">
      <w:pPr>
        <w:pStyle w:val="Bulletlist"/>
        <w:rPr>
          <w:lang w:val="en-US"/>
        </w:rPr>
      </w:pPr>
      <w:r w:rsidRPr="00B86CE9">
        <w:t>61 % of people reporting frequent use of drugs and/or alcohol were in full time employment</w:t>
      </w:r>
    </w:p>
    <w:p w14:paraId="32292173" w14:textId="77777777" w:rsidR="00347D65" w:rsidRPr="00B86CE9" w:rsidRDefault="00347D65" w:rsidP="00BC06E9">
      <w:pPr>
        <w:pStyle w:val="Heading1"/>
      </w:pPr>
      <w:r w:rsidRPr="00B86CE9">
        <w:t>Why take positive action?</w:t>
      </w:r>
    </w:p>
    <w:p w14:paraId="6EF4FB50" w14:textId="77777777" w:rsidR="00347D65" w:rsidRPr="00B86CE9" w:rsidRDefault="00347D65" w:rsidP="00347D65">
      <w:pPr>
        <w:pStyle w:val="Bulletlist"/>
      </w:pPr>
      <w:r w:rsidRPr="00B86CE9">
        <w:t>Protect health and safety</w:t>
      </w:r>
    </w:p>
    <w:p w14:paraId="475A114A" w14:textId="77777777" w:rsidR="00347D65" w:rsidRPr="00B86CE9" w:rsidRDefault="00347D65" w:rsidP="00347D65">
      <w:pPr>
        <w:pStyle w:val="Bulletlist"/>
      </w:pPr>
      <w:r w:rsidRPr="00B86CE9">
        <w:t>Minimise risk of inappropriate behaviour</w:t>
      </w:r>
    </w:p>
    <w:p w14:paraId="65562D01" w14:textId="77777777" w:rsidR="00347D65" w:rsidRPr="00B86CE9" w:rsidRDefault="00347D65" w:rsidP="00347D65">
      <w:pPr>
        <w:pStyle w:val="Bulletlist"/>
      </w:pPr>
      <w:r w:rsidRPr="00B86CE9">
        <w:t>Improve work performance</w:t>
      </w:r>
    </w:p>
    <w:p w14:paraId="3609797F" w14:textId="77777777" w:rsidR="00347D65" w:rsidRPr="00B86CE9" w:rsidRDefault="00347D65" w:rsidP="00347D65">
      <w:pPr>
        <w:pStyle w:val="Bulletlist"/>
      </w:pPr>
      <w:r w:rsidRPr="00B86CE9">
        <w:t>Reduce cost of absenteeism and benefits claims</w:t>
      </w:r>
    </w:p>
    <w:p w14:paraId="2486D9D3" w14:textId="77777777" w:rsidR="00347D65" w:rsidRPr="00B86CE9" w:rsidRDefault="00347D65" w:rsidP="00347D65">
      <w:pPr>
        <w:pStyle w:val="Bulletlist"/>
      </w:pPr>
      <w:r w:rsidRPr="00B86CE9">
        <w:t>Decreased alertness and impaired judgement</w:t>
      </w:r>
    </w:p>
    <w:p w14:paraId="645F4193" w14:textId="77777777" w:rsidR="00347D65" w:rsidRPr="00B86CE9" w:rsidRDefault="00347D65" w:rsidP="00347D65">
      <w:pPr>
        <w:pStyle w:val="Bulletlist"/>
        <w:rPr>
          <w:lang w:val="en-US"/>
        </w:rPr>
      </w:pPr>
      <w:r w:rsidRPr="00B86CE9">
        <w:t>Higher staff turnover</w:t>
      </w:r>
    </w:p>
    <w:p w14:paraId="3563A102" w14:textId="77777777" w:rsidR="00347D65" w:rsidRPr="00B86CE9" w:rsidRDefault="00347D65" w:rsidP="00BC06E9">
      <w:pPr>
        <w:pStyle w:val="Heading1"/>
      </w:pPr>
      <w:r w:rsidRPr="00B86CE9">
        <w:t>OHS Obligations (Common Law)</w:t>
      </w:r>
    </w:p>
    <w:p w14:paraId="4A24A630" w14:textId="77777777" w:rsidR="00347D65" w:rsidRPr="00B86CE9" w:rsidRDefault="00347D65" w:rsidP="00347D65">
      <w:r w:rsidRPr="00B86CE9">
        <w:t>Employer Duties</w:t>
      </w:r>
    </w:p>
    <w:p w14:paraId="7B085ED1" w14:textId="77777777" w:rsidR="00347D65" w:rsidRPr="00B86CE9" w:rsidRDefault="00347D65" w:rsidP="00347D65">
      <w:pPr>
        <w:pStyle w:val="Bulletlist"/>
      </w:pPr>
      <w:r w:rsidRPr="00B86CE9">
        <w:t>Duty to take reasonable care to ensure the safety and welfare of employees.</w:t>
      </w:r>
    </w:p>
    <w:p w14:paraId="0B2A80E6" w14:textId="77777777" w:rsidR="00347D65" w:rsidRPr="00B86CE9" w:rsidRDefault="00347D65" w:rsidP="00347D65">
      <w:r w:rsidRPr="00B86CE9">
        <w:t>Employee Duties</w:t>
      </w:r>
    </w:p>
    <w:p w14:paraId="789FAC87" w14:textId="77777777" w:rsidR="00347D65" w:rsidRPr="00B86CE9" w:rsidRDefault="00347D65" w:rsidP="00347D65">
      <w:pPr>
        <w:pStyle w:val="Bulletlist"/>
        <w:rPr>
          <w:lang w:val="en-US"/>
        </w:rPr>
      </w:pPr>
      <w:r w:rsidRPr="00347D65">
        <w:t>Duty to exercise reasonable care and to attend to the work with skill and</w:t>
      </w:r>
      <w:r w:rsidRPr="00B86CE9">
        <w:t xml:space="preserve"> competence.</w:t>
      </w:r>
    </w:p>
    <w:p w14:paraId="20AAA0FE" w14:textId="77777777" w:rsidR="00347D65" w:rsidRPr="00B86CE9" w:rsidRDefault="00347D65" w:rsidP="00BC06E9">
      <w:pPr>
        <w:pStyle w:val="Heading1"/>
      </w:pPr>
      <w:r w:rsidRPr="00B86CE9">
        <w:t>OHS Obligations (Legislation)</w:t>
      </w:r>
    </w:p>
    <w:p w14:paraId="4CEF041E" w14:textId="77777777" w:rsidR="00347D65" w:rsidRPr="00B86CE9" w:rsidRDefault="00347D65" w:rsidP="00347D65">
      <w:r w:rsidRPr="00B86CE9">
        <w:t xml:space="preserve">Employer Duties </w:t>
      </w:r>
    </w:p>
    <w:p w14:paraId="087DD68F" w14:textId="77777777" w:rsidR="00347D65" w:rsidRPr="00B86CE9" w:rsidRDefault="00347D65" w:rsidP="00347D65">
      <w:pPr>
        <w:pStyle w:val="Bulletlist"/>
      </w:pPr>
      <w:r w:rsidRPr="00B86CE9">
        <w:t>Employer must, so far as is reasonably practicable, provide and maintain a working environment that is safe and without risks to health. Includes: plant, systems of work, instruction and training.</w:t>
      </w:r>
    </w:p>
    <w:p w14:paraId="5E9CCF64" w14:textId="77777777" w:rsidR="00347D65" w:rsidRPr="00B86CE9" w:rsidRDefault="00347D65" w:rsidP="00347D65">
      <w:pPr>
        <w:pStyle w:val="Bulletlist"/>
      </w:pPr>
      <w:r w:rsidRPr="00B86CE9">
        <w:t>Employer must, so far as is reasonably practicable, monitor the health and safety of employees.</w:t>
      </w:r>
    </w:p>
    <w:p w14:paraId="40CD05F2" w14:textId="77777777" w:rsidR="00347D65" w:rsidRPr="00B86CE9" w:rsidRDefault="00347D65" w:rsidP="00347D65">
      <w:pPr>
        <w:pStyle w:val="Bulletlist"/>
      </w:pPr>
      <w:r w:rsidRPr="00B86CE9">
        <w:t>Duties extend to persons other than employees (i.e. the public).</w:t>
      </w:r>
    </w:p>
    <w:p w14:paraId="1469EDDB" w14:textId="77777777" w:rsidR="00347D65" w:rsidRPr="00B86CE9" w:rsidRDefault="00347D65" w:rsidP="00BC06E9">
      <w:pPr>
        <w:pStyle w:val="Heading1"/>
      </w:pPr>
      <w:r w:rsidRPr="00B86CE9">
        <w:t>Employee Duties</w:t>
      </w:r>
    </w:p>
    <w:p w14:paraId="3ED6B556" w14:textId="77777777" w:rsidR="00347D65" w:rsidRPr="00B86CE9" w:rsidRDefault="00347D65" w:rsidP="00347D65">
      <w:pPr>
        <w:pStyle w:val="Bulletlist"/>
      </w:pPr>
      <w:r w:rsidRPr="00347D65">
        <w:t>Employees must take reasonable care for their own health and safety and</w:t>
      </w:r>
      <w:r w:rsidRPr="00B86CE9">
        <w:t xml:space="preserve"> </w:t>
      </w:r>
      <w:r w:rsidRPr="00347D65">
        <w:t>that of others (</w:t>
      </w:r>
      <w:proofErr w:type="spellStart"/>
      <w:r w:rsidRPr="00347D65">
        <w:t>eg</w:t>
      </w:r>
      <w:proofErr w:type="spellEnd"/>
      <w:r w:rsidRPr="00347D65">
        <w:t>. by ensuring they are not affected by drugs/alcohol in a</w:t>
      </w:r>
      <w:r w:rsidRPr="00B86CE9">
        <w:t xml:space="preserve"> </w:t>
      </w:r>
      <w:r w:rsidRPr="00347D65">
        <w:t xml:space="preserve">way that may </w:t>
      </w:r>
      <w:r w:rsidRPr="00347D65">
        <w:lastRenderedPageBreak/>
        <w:t>put themselves or others at risk); and cooperate with the</w:t>
      </w:r>
      <w:r w:rsidRPr="00B86CE9">
        <w:t xml:space="preserve"> </w:t>
      </w:r>
      <w:r w:rsidRPr="00347D65">
        <w:t>employer with respect to action taken by the employer to comply with</w:t>
      </w:r>
      <w:r w:rsidRPr="00B86CE9">
        <w:t xml:space="preserve"> OHS obligations</w:t>
      </w:r>
    </w:p>
    <w:p w14:paraId="4DF788B8" w14:textId="77777777" w:rsidR="00347D65" w:rsidRPr="00B86CE9" w:rsidRDefault="00347D65" w:rsidP="00347D65">
      <w:pPr>
        <w:rPr>
          <w:b/>
          <w:bCs/>
        </w:rPr>
      </w:pPr>
    </w:p>
    <w:p w14:paraId="2C44EAF0" w14:textId="77777777" w:rsidR="00347D65" w:rsidRPr="00B86CE9" w:rsidRDefault="00347D65" w:rsidP="00347D65">
      <w:pPr>
        <w:rPr>
          <w:lang w:val="en-US"/>
        </w:rPr>
      </w:pPr>
      <w:r w:rsidRPr="00B86CE9">
        <w:t>Note: Words vary from State to State but these are the General Principles</w:t>
      </w:r>
    </w:p>
    <w:p w14:paraId="6AF5C8D5" w14:textId="77777777" w:rsidR="00347D65" w:rsidRDefault="00347D65" w:rsidP="00347D65">
      <w:pPr>
        <w:rPr>
          <w:b/>
          <w:bCs/>
        </w:rPr>
      </w:pPr>
    </w:p>
    <w:p w14:paraId="722696CD" w14:textId="77777777" w:rsidR="00347D65" w:rsidRDefault="00347D65" w:rsidP="00BC06E9">
      <w:pPr>
        <w:pStyle w:val="Heading1"/>
      </w:pPr>
      <w:r>
        <w:t>Reasonable Steps</w:t>
      </w:r>
    </w:p>
    <w:p w14:paraId="4D742764" w14:textId="77777777" w:rsidR="00F26C7C" w:rsidRPr="00F26C7C" w:rsidRDefault="00F26C7C" w:rsidP="00F26C7C">
      <w:pPr>
        <w:rPr>
          <w:lang w:eastAsia="en-US"/>
        </w:rPr>
      </w:pPr>
      <w:r>
        <w:rPr>
          <w:noProof/>
        </w:rPr>
        <w:drawing>
          <wp:inline distT="0" distB="0" distL="0" distR="0" wp14:anchorId="0BCC358B" wp14:editId="342EDE7A">
            <wp:extent cx="5257800" cy="2286000"/>
            <wp:effectExtent l="19050" t="0" r="0" b="0"/>
            <wp:docPr id="9" name="Picture 9" descr="An iilustration of steps, beginning with Policy, then procedure, then training, followed by appropriate supervision, then responsibile supervision of alcohol, then the reinforcement of polic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964" t="30547" r="27972" b="46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17F6F9" w14:textId="77777777" w:rsidR="00347D65" w:rsidRDefault="00347D65" w:rsidP="00347D65">
      <w:pPr>
        <w:rPr>
          <w:b/>
          <w:bCs/>
        </w:rPr>
      </w:pPr>
    </w:p>
    <w:p w14:paraId="3E6AB1E2" w14:textId="77777777" w:rsidR="00347D65" w:rsidRPr="00B86CE9" w:rsidRDefault="00347D65" w:rsidP="00BC06E9">
      <w:pPr>
        <w:pStyle w:val="Heading1"/>
      </w:pPr>
      <w:r w:rsidRPr="00B86CE9">
        <w:t>Drug addiction as a disability</w:t>
      </w:r>
    </w:p>
    <w:p w14:paraId="1E36F5A8" w14:textId="77777777" w:rsidR="00347D65" w:rsidRPr="00B86CE9" w:rsidRDefault="00347D65" w:rsidP="00347D65">
      <w:pPr>
        <w:pStyle w:val="Quote"/>
        <w:rPr>
          <w:lang w:val="en-US"/>
        </w:rPr>
      </w:pPr>
      <w:r w:rsidRPr="00B86CE9">
        <w:t>“</w:t>
      </w:r>
      <w:proofErr w:type="gramStart"/>
      <w:r w:rsidRPr="00B86CE9">
        <w:t>a</w:t>
      </w:r>
      <w:proofErr w:type="gramEnd"/>
      <w:r w:rsidRPr="00B86CE9">
        <w:t xml:space="preserve"> disorder, illness or disease that affects a person’s thought processes, perception of reality, emotions or judgement or that results in disturbed behaviour”</w:t>
      </w:r>
    </w:p>
    <w:p w14:paraId="3D7AFD9B" w14:textId="77777777" w:rsidR="00347D65" w:rsidRPr="00B86CE9" w:rsidRDefault="00347D65" w:rsidP="00BC06E9">
      <w:pPr>
        <w:pStyle w:val="Heading1"/>
      </w:pPr>
      <w:r w:rsidRPr="00B86CE9">
        <w:t>Drug and Alcohol Policy</w:t>
      </w:r>
    </w:p>
    <w:p w14:paraId="325FF967" w14:textId="77777777" w:rsidR="00347D65" w:rsidRPr="00B86CE9" w:rsidRDefault="00347D65" w:rsidP="00C83AF8">
      <w:pPr>
        <w:pStyle w:val="Bulletlist"/>
      </w:pPr>
      <w:r w:rsidRPr="00B86CE9">
        <w:t>Standards required</w:t>
      </w:r>
    </w:p>
    <w:p w14:paraId="26EFB2F2" w14:textId="77777777" w:rsidR="00347D65" w:rsidRPr="00B86CE9" w:rsidRDefault="00347D65" w:rsidP="00C83AF8">
      <w:pPr>
        <w:pStyle w:val="Bulletlist"/>
      </w:pPr>
      <w:r w:rsidRPr="00B86CE9">
        <w:t>Coverage</w:t>
      </w:r>
    </w:p>
    <w:p w14:paraId="54B0AF2D" w14:textId="77777777" w:rsidR="00347D65" w:rsidRPr="00B86CE9" w:rsidRDefault="00347D65" w:rsidP="00C83AF8">
      <w:pPr>
        <w:pStyle w:val="Bulletlist"/>
      </w:pPr>
      <w:r w:rsidRPr="00B86CE9">
        <w:t>Consequences of breaching policy</w:t>
      </w:r>
    </w:p>
    <w:p w14:paraId="193D3335" w14:textId="77777777" w:rsidR="00347D65" w:rsidRPr="00B86CE9" w:rsidRDefault="00347D65" w:rsidP="00C83AF8">
      <w:pPr>
        <w:pStyle w:val="Bulletlist"/>
      </w:pPr>
      <w:r w:rsidRPr="00B86CE9">
        <w:t>Testing</w:t>
      </w:r>
    </w:p>
    <w:p w14:paraId="5BE23445" w14:textId="77777777" w:rsidR="00347D65" w:rsidRPr="00B86CE9" w:rsidRDefault="00347D65" w:rsidP="00C83AF8">
      <w:pPr>
        <w:pStyle w:val="Bulletlist"/>
      </w:pPr>
      <w:r w:rsidRPr="00B86CE9">
        <w:t>Procedures</w:t>
      </w:r>
    </w:p>
    <w:p w14:paraId="0FFC27DE" w14:textId="77777777" w:rsidR="00347D65" w:rsidRPr="00B86CE9" w:rsidRDefault="00347D65" w:rsidP="00C83AF8">
      <w:pPr>
        <w:pStyle w:val="Bulletlist"/>
        <w:rPr>
          <w:lang w:val="en-US"/>
        </w:rPr>
      </w:pPr>
      <w:r w:rsidRPr="00B86CE9">
        <w:t xml:space="preserve">Practical Measures including: training, distribution of and education on policy, consistent application, employee acknowledgement of policy, is </w:t>
      </w:r>
      <w:proofErr w:type="gramStart"/>
      <w:r w:rsidRPr="00B86CE9">
        <w:t>the  policy</w:t>
      </w:r>
      <w:proofErr w:type="gramEnd"/>
      <w:r w:rsidRPr="00B86CE9">
        <w:t xml:space="preserve"> reasonable and relevant to work performed?</w:t>
      </w:r>
    </w:p>
    <w:p w14:paraId="5792193C" w14:textId="77777777" w:rsidR="00347D65" w:rsidRPr="00B86CE9" w:rsidRDefault="00347D65" w:rsidP="00BC06E9">
      <w:pPr>
        <w:pStyle w:val="Heading1"/>
      </w:pPr>
      <w:r w:rsidRPr="00B86CE9">
        <w:t>Responding to an Incident</w:t>
      </w:r>
    </w:p>
    <w:p w14:paraId="1ADEE55F" w14:textId="77777777" w:rsidR="00347D65" w:rsidRPr="00B86CE9" w:rsidRDefault="00347D65" w:rsidP="00C83AF8">
      <w:pPr>
        <w:pStyle w:val="Bulletlist"/>
      </w:pPr>
      <w:r w:rsidRPr="00B86CE9">
        <w:t>Advice/observation of potential policy breach</w:t>
      </w:r>
    </w:p>
    <w:p w14:paraId="7412276E" w14:textId="77777777" w:rsidR="00347D65" w:rsidRPr="00B86CE9" w:rsidRDefault="00347D65" w:rsidP="00C83AF8">
      <w:pPr>
        <w:pStyle w:val="Bulletlist"/>
      </w:pPr>
      <w:r w:rsidRPr="00B86CE9">
        <w:t>Private meeting with individual</w:t>
      </w:r>
    </w:p>
    <w:p w14:paraId="777F9075" w14:textId="77777777" w:rsidR="00347D65" w:rsidRPr="00B86CE9" w:rsidRDefault="00347D65" w:rsidP="00C83AF8">
      <w:pPr>
        <w:pStyle w:val="Bulletlist"/>
      </w:pPr>
      <w:r w:rsidRPr="00B86CE9">
        <w:t>Outline behaviour observed</w:t>
      </w:r>
    </w:p>
    <w:p w14:paraId="73D5CF1D" w14:textId="77777777" w:rsidR="00347D65" w:rsidRPr="00B86CE9" w:rsidRDefault="00347D65" w:rsidP="00C83AF8">
      <w:pPr>
        <w:pStyle w:val="Bulletlist"/>
      </w:pPr>
      <w:r w:rsidRPr="00B86CE9">
        <w:t>Determine whether employee should remain in workplace</w:t>
      </w:r>
    </w:p>
    <w:p w14:paraId="6C777A0D" w14:textId="77777777" w:rsidR="00347D65" w:rsidRPr="00B86CE9" w:rsidRDefault="00347D65" w:rsidP="00C83AF8">
      <w:pPr>
        <w:pStyle w:val="Bulletlist"/>
      </w:pPr>
      <w:r w:rsidRPr="00B86CE9">
        <w:t>Drug and Alcohol Testing</w:t>
      </w:r>
    </w:p>
    <w:p w14:paraId="3E9241EE" w14:textId="77777777" w:rsidR="00347D65" w:rsidRPr="00B86CE9" w:rsidRDefault="00347D65" w:rsidP="00C83AF8">
      <w:pPr>
        <w:pStyle w:val="Bulletlist"/>
        <w:rPr>
          <w:lang w:val="en-US"/>
        </w:rPr>
      </w:pPr>
      <w:r w:rsidRPr="00B86CE9">
        <w:t>Attend meeting following day/shift</w:t>
      </w:r>
    </w:p>
    <w:p w14:paraId="0BF80F05" w14:textId="77777777" w:rsidR="00347D65" w:rsidRPr="00B86CE9" w:rsidRDefault="00347D65" w:rsidP="00BC06E9">
      <w:pPr>
        <w:pStyle w:val="Heading1"/>
      </w:pPr>
      <w:r w:rsidRPr="00B86CE9">
        <w:lastRenderedPageBreak/>
        <w:t>The Investigation</w:t>
      </w:r>
    </w:p>
    <w:p w14:paraId="4664F833" w14:textId="77777777" w:rsidR="00347D65" w:rsidRPr="00C83AF8" w:rsidRDefault="00347D65" w:rsidP="00C83AF8">
      <w:pPr>
        <w:pStyle w:val="Bulletlist"/>
      </w:pPr>
      <w:r w:rsidRPr="00C83AF8">
        <w:t>Detailed Records</w:t>
      </w:r>
    </w:p>
    <w:p w14:paraId="2A929E03" w14:textId="77777777" w:rsidR="00347D65" w:rsidRPr="00C83AF8" w:rsidRDefault="00347D65" w:rsidP="00C83AF8">
      <w:pPr>
        <w:pStyle w:val="Bulletlist2"/>
      </w:pPr>
      <w:r w:rsidRPr="00C83AF8">
        <w:t>observations of others</w:t>
      </w:r>
    </w:p>
    <w:p w14:paraId="55C498A1" w14:textId="77777777" w:rsidR="00347D65" w:rsidRPr="00C83AF8" w:rsidRDefault="00347D65" w:rsidP="00C83AF8">
      <w:pPr>
        <w:pStyle w:val="Bulletlist2"/>
      </w:pPr>
      <w:r w:rsidRPr="00C83AF8">
        <w:t>records of discussions including initial interview</w:t>
      </w:r>
    </w:p>
    <w:p w14:paraId="72203386" w14:textId="77777777" w:rsidR="00347D65" w:rsidRPr="00C83AF8" w:rsidRDefault="00347D65" w:rsidP="00C83AF8">
      <w:pPr>
        <w:pStyle w:val="Bulletlist2"/>
      </w:pPr>
      <w:r w:rsidRPr="00C83AF8">
        <w:t>record arrangements for follow-up meeting</w:t>
      </w:r>
    </w:p>
    <w:p w14:paraId="5865901E" w14:textId="77777777" w:rsidR="00347D65" w:rsidRPr="00C83AF8" w:rsidRDefault="00347D65" w:rsidP="00C83AF8">
      <w:pPr>
        <w:pStyle w:val="Bulletlist"/>
      </w:pPr>
      <w:r w:rsidRPr="00C83AF8">
        <w:t>Maintain Confidentiality</w:t>
      </w:r>
    </w:p>
    <w:p w14:paraId="4B56B33A" w14:textId="77777777" w:rsidR="00347D65" w:rsidRPr="00C83AF8" w:rsidRDefault="00347D65" w:rsidP="00C83AF8">
      <w:pPr>
        <w:pStyle w:val="Bulletlist"/>
      </w:pPr>
      <w:r w:rsidRPr="00C83AF8">
        <w:t>Follow Up Interview</w:t>
      </w:r>
    </w:p>
    <w:p w14:paraId="58269A3A" w14:textId="77777777" w:rsidR="00347D65" w:rsidRPr="00C83AF8" w:rsidRDefault="00347D65" w:rsidP="00C83AF8">
      <w:pPr>
        <w:pStyle w:val="Bulletlist2"/>
      </w:pPr>
      <w:r w:rsidRPr="00C83AF8">
        <w:t>provide opportunity to respond</w:t>
      </w:r>
    </w:p>
    <w:p w14:paraId="5BF77AF6" w14:textId="77777777" w:rsidR="00347D65" w:rsidRPr="00C83AF8" w:rsidRDefault="00347D65" w:rsidP="00C83AF8">
      <w:pPr>
        <w:pStyle w:val="Bulletlist"/>
      </w:pPr>
      <w:r w:rsidRPr="00C83AF8">
        <w:t>Determine appropriate Outcome</w:t>
      </w:r>
    </w:p>
    <w:p w14:paraId="40350BAE" w14:textId="77777777" w:rsidR="00347D65" w:rsidRPr="00B86CE9" w:rsidRDefault="00347D65" w:rsidP="00BC06E9">
      <w:pPr>
        <w:pStyle w:val="Heading1"/>
      </w:pPr>
      <w:r w:rsidRPr="00B86CE9">
        <w:t>Influencing Outcome</w:t>
      </w:r>
    </w:p>
    <w:p w14:paraId="4E0DE3A8" w14:textId="77777777" w:rsidR="00347D65" w:rsidRPr="00B86CE9" w:rsidRDefault="00347D65" w:rsidP="00C83AF8">
      <w:pPr>
        <w:pStyle w:val="Bulletlist"/>
      </w:pPr>
      <w:r w:rsidRPr="00B86CE9">
        <w:t>Degree of risk</w:t>
      </w:r>
    </w:p>
    <w:p w14:paraId="05E38EE2" w14:textId="77777777" w:rsidR="00347D65" w:rsidRPr="00B86CE9" w:rsidRDefault="00347D65" w:rsidP="00C83AF8">
      <w:pPr>
        <w:pStyle w:val="Bulletlist"/>
      </w:pPr>
      <w:r w:rsidRPr="00B86CE9">
        <w:t>Workplace policies</w:t>
      </w:r>
    </w:p>
    <w:p w14:paraId="05ED2855" w14:textId="77777777" w:rsidR="00347D65" w:rsidRPr="00B86CE9" w:rsidRDefault="00347D65" w:rsidP="00C83AF8">
      <w:pPr>
        <w:pStyle w:val="Bulletlist"/>
      </w:pPr>
      <w:r w:rsidRPr="00B86CE9">
        <w:t>Strength of evidence</w:t>
      </w:r>
    </w:p>
    <w:p w14:paraId="7630E924" w14:textId="77777777" w:rsidR="00347D65" w:rsidRPr="00B86CE9" w:rsidRDefault="00347D65" w:rsidP="00C83AF8">
      <w:pPr>
        <w:pStyle w:val="Bulletlist"/>
      </w:pPr>
      <w:r w:rsidRPr="00B86CE9">
        <w:t>Seriousness of breach</w:t>
      </w:r>
    </w:p>
    <w:p w14:paraId="4D6D06FC" w14:textId="77777777" w:rsidR="00347D65" w:rsidRPr="00B86CE9" w:rsidRDefault="00347D65" w:rsidP="00C83AF8">
      <w:pPr>
        <w:pStyle w:val="Bulletlist"/>
      </w:pPr>
      <w:r w:rsidRPr="00B86CE9">
        <w:t>Previous work history</w:t>
      </w:r>
    </w:p>
    <w:p w14:paraId="6AB1C397" w14:textId="77777777" w:rsidR="00347D65" w:rsidRPr="00B86CE9" w:rsidRDefault="00347D65" w:rsidP="00C83AF8">
      <w:pPr>
        <w:pStyle w:val="Bulletlist"/>
        <w:rPr>
          <w:lang w:val="en-US"/>
        </w:rPr>
      </w:pPr>
      <w:r w:rsidRPr="00B86CE9">
        <w:t>Any previous incidents</w:t>
      </w:r>
    </w:p>
    <w:p w14:paraId="40A97416" w14:textId="77777777" w:rsidR="00347D65" w:rsidRPr="00B86CE9" w:rsidRDefault="00347D65" w:rsidP="00BC06E9">
      <w:pPr>
        <w:pStyle w:val="Heading1"/>
      </w:pPr>
      <w:r w:rsidRPr="00B86CE9">
        <w:t>Options Available</w:t>
      </w:r>
    </w:p>
    <w:p w14:paraId="3FD74FFA" w14:textId="77777777" w:rsidR="00347D65" w:rsidRPr="00B86CE9" w:rsidRDefault="00347D65" w:rsidP="00C83AF8">
      <w:pPr>
        <w:pStyle w:val="Bulletlist"/>
      </w:pPr>
      <w:r w:rsidRPr="00B86CE9">
        <w:t>No disciplinary action</w:t>
      </w:r>
    </w:p>
    <w:p w14:paraId="4223F772" w14:textId="77777777" w:rsidR="00347D65" w:rsidRPr="00B86CE9" w:rsidRDefault="00347D65" w:rsidP="00C83AF8">
      <w:pPr>
        <w:pStyle w:val="Bulletlist"/>
      </w:pPr>
      <w:r w:rsidRPr="00B86CE9">
        <w:t>Counselling</w:t>
      </w:r>
    </w:p>
    <w:p w14:paraId="78D8B125" w14:textId="77777777" w:rsidR="00347D65" w:rsidRPr="00B86CE9" w:rsidRDefault="00347D65" w:rsidP="00C83AF8">
      <w:pPr>
        <w:pStyle w:val="Bulletlist"/>
      </w:pPr>
      <w:r w:rsidRPr="00B86CE9">
        <w:t>Warning / first and final warning</w:t>
      </w:r>
    </w:p>
    <w:p w14:paraId="2C10C564" w14:textId="77777777" w:rsidR="00347D65" w:rsidRPr="00B86CE9" w:rsidRDefault="00347D65" w:rsidP="00C83AF8">
      <w:pPr>
        <w:pStyle w:val="Bulletlist"/>
      </w:pPr>
      <w:r w:rsidRPr="00B86CE9">
        <w:t>Referral to EAP</w:t>
      </w:r>
    </w:p>
    <w:p w14:paraId="1A714501" w14:textId="77777777" w:rsidR="00347D65" w:rsidRPr="00B86CE9" w:rsidRDefault="00347D65" w:rsidP="00C83AF8">
      <w:pPr>
        <w:pStyle w:val="Bulletlist"/>
        <w:rPr>
          <w:lang w:val="en-US"/>
        </w:rPr>
      </w:pPr>
      <w:r w:rsidRPr="00B86CE9">
        <w:t>Termination of employment</w:t>
      </w:r>
    </w:p>
    <w:p w14:paraId="0670E945" w14:textId="77777777" w:rsidR="00347D65" w:rsidRPr="00B86CE9" w:rsidRDefault="00347D65" w:rsidP="00BC06E9">
      <w:pPr>
        <w:pStyle w:val="Heading1"/>
      </w:pPr>
      <w:r w:rsidRPr="00B86CE9">
        <w:t>Impairment Considerations</w:t>
      </w:r>
    </w:p>
    <w:p w14:paraId="34B1AE7F" w14:textId="77777777" w:rsidR="00347D65" w:rsidRDefault="00347D65" w:rsidP="00347D65"/>
    <w:p w14:paraId="1F7FFAFB" w14:textId="77777777" w:rsidR="00347D65" w:rsidRDefault="00F26C7C" w:rsidP="00347D65">
      <w:r>
        <w:rPr>
          <w:noProof/>
        </w:rPr>
        <w:drawing>
          <wp:inline distT="0" distB="0" distL="0" distR="0" wp14:anchorId="0519C504" wp14:editId="48A7E3FF">
            <wp:extent cx="5467350" cy="2515652"/>
            <wp:effectExtent l="19050" t="0" r="0" b="0"/>
            <wp:docPr id="14" name="Picture 14" descr="A graphic showing that being fit for work can be affected by fatigue, drugs and alcohol, emotional distress, and physical fitnes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2242" t="31511" r="28333" b="44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515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7D65" w:rsidSect="00902D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210E3"/>
    <w:multiLevelType w:val="hybridMultilevel"/>
    <w:tmpl w:val="F1421B56"/>
    <w:lvl w:ilvl="0" w:tplc="0526EC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E64D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9CD2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C82BB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9433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A405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DCA0B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E686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EAC1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3C16DA"/>
    <w:multiLevelType w:val="hybridMultilevel"/>
    <w:tmpl w:val="B30A0A58"/>
    <w:lvl w:ilvl="0" w:tplc="3F6A4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1C4F56">
      <w:start w:val="1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7C0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DC7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DCC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F41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2C1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089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74A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83859A4"/>
    <w:multiLevelType w:val="hybridMultilevel"/>
    <w:tmpl w:val="6D6A1290"/>
    <w:lvl w:ilvl="0" w:tplc="89808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9AA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6C8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52D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42C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62C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7EF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506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6E9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FD85979"/>
    <w:multiLevelType w:val="hybridMultilevel"/>
    <w:tmpl w:val="89947918"/>
    <w:lvl w:ilvl="0" w:tplc="EE7E0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086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684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54C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F2C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02F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28A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6C3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4A0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7A92E9D"/>
    <w:multiLevelType w:val="hybridMultilevel"/>
    <w:tmpl w:val="EC6C880A"/>
    <w:lvl w:ilvl="0" w:tplc="8194A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464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D83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A2C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A62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5AE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72F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E62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4CA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DD61EDA"/>
    <w:multiLevelType w:val="hybridMultilevel"/>
    <w:tmpl w:val="8A08F39A"/>
    <w:lvl w:ilvl="0" w:tplc="DBBC4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AC0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30E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5E5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9C8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12E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E87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944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001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05574E4"/>
    <w:multiLevelType w:val="hybridMultilevel"/>
    <w:tmpl w:val="1D56DBFE"/>
    <w:lvl w:ilvl="0" w:tplc="49CEB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3C9CBE">
      <w:start w:val="1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748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580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50F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C5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C25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D02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22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17F086A"/>
    <w:multiLevelType w:val="hybridMultilevel"/>
    <w:tmpl w:val="D982F2F6"/>
    <w:lvl w:ilvl="0" w:tplc="5E2E8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647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DA3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92A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542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769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186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C68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64B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1F5313B"/>
    <w:multiLevelType w:val="hybridMultilevel"/>
    <w:tmpl w:val="D3E0C66E"/>
    <w:lvl w:ilvl="0" w:tplc="1E0AD71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C66A8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62E46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82C17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B483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F0DB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AC36A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03DB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7493E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B2E6CC0"/>
    <w:multiLevelType w:val="hybridMultilevel"/>
    <w:tmpl w:val="7F2EA992"/>
    <w:lvl w:ilvl="0" w:tplc="F6E2C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DCD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20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C6C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8A3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5AC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1EA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280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84D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2C3492F"/>
    <w:multiLevelType w:val="hybridMultilevel"/>
    <w:tmpl w:val="C9F67C7C"/>
    <w:lvl w:ilvl="0" w:tplc="12522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143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805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60C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029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F20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148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C86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2E4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8F90A34"/>
    <w:multiLevelType w:val="hybridMultilevel"/>
    <w:tmpl w:val="44607136"/>
    <w:lvl w:ilvl="0" w:tplc="B78E3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4EB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A02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968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3E5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5C0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E29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D01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C4B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F062575"/>
    <w:multiLevelType w:val="hybridMultilevel"/>
    <w:tmpl w:val="50FE7504"/>
    <w:lvl w:ilvl="0" w:tplc="B7889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F2A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207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30B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F6E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7C0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5CB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32D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041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FC14504"/>
    <w:multiLevelType w:val="hybridMultilevel"/>
    <w:tmpl w:val="E92E17F4"/>
    <w:lvl w:ilvl="0" w:tplc="5058C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0E9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6C3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9C6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72D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807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E0A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008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D60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FE3544D"/>
    <w:multiLevelType w:val="hybridMultilevel"/>
    <w:tmpl w:val="890ADFA4"/>
    <w:lvl w:ilvl="0" w:tplc="3AE84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668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180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9AB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828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1E7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76D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6CC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00C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1DD1922"/>
    <w:multiLevelType w:val="hybridMultilevel"/>
    <w:tmpl w:val="BF164BE8"/>
    <w:lvl w:ilvl="0" w:tplc="C8121180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62333A">
      <w:start w:val="1"/>
      <w:numFmt w:val="bullet"/>
      <w:pStyle w:val="Bullet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A3312"/>
    <w:multiLevelType w:val="hybridMultilevel"/>
    <w:tmpl w:val="FF46B5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02C37"/>
    <w:multiLevelType w:val="hybridMultilevel"/>
    <w:tmpl w:val="EFC046C2"/>
    <w:lvl w:ilvl="0" w:tplc="DFCAD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4A5892">
      <w:start w:val="1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887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38C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547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447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185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F85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E4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EAB33F3"/>
    <w:multiLevelType w:val="hybridMultilevel"/>
    <w:tmpl w:val="68E8F99C"/>
    <w:lvl w:ilvl="0" w:tplc="A11AD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8A8576">
      <w:start w:val="1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FA9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CAF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F6D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A86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3A2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B24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48C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4"/>
  </w:num>
  <w:num w:numId="5">
    <w:abstractNumId w:val="12"/>
  </w:num>
  <w:num w:numId="6">
    <w:abstractNumId w:val="9"/>
  </w:num>
  <w:num w:numId="7">
    <w:abstractNumId w:val="0"/>
  </w:num>
  <w:num w:numId="8">
    <w:abstractNumId w:val="8"/>
  </w:num>
  <w:num w:numId="9">
    <w:abstractNumId w:val="17"/>
  </w:num>
  <w:num w:numId="10">
    <w:abstractNumId w:val="6"/>
  </w:num>
  <w:num w:numId="11">
    <w:abstractNumId w:val="4"/>
  </w:num>
  <w:num w:numId="12">
    <w:abstractNumId w:val="11"/>
  </w:num>
  <w:num w:numId="13">
    <w:abstractNumId w:val="3"/>
  </w:num>
  <w:num w:numId="14">
    <w:abstractNumId w:val="1"/>
  </w:num>
  <w:num w:numId="15">
    <w:abstractNumId w:val="7"/>
  </w:num>
  <w:num w:numId="16">
    <w:abstractNumId w:val="18"/>
  </w:num>
  <w:num w:numId="17">
    <w:abstractNumId w:val="2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78"/>
    <w:rsid w:val="0000569A"/>
    <w:rsid w:val="0001449E"/>
    <w:rsid w:val="000711D0"/>
    <w:rsid w:val="00071945"/>
    <w:rsid w:val="00091D50"/>
    <w:rsid w:val="000D1E50"/>
    <w:rsid w:val="001310A6"/>
    <w:rsid w:val="00140FE3"/>
    <w:rsid w:val="001E6A85"/>
    <w:rsid w:val="00233643"/>
    <w:rsid w:val="002B3E2D"/>
    <w:rsid w:val="002C017B"/>
    <w:rsid w:val="002F2D1E"/>
    <w:rsid w:val="00343818"/>
    <w:rsid w:val="00347D65"/>
    <w:rsid w:val="00364205"/>
    <w:rsid w:val="00415510"/>
    <w:rsid w:val="00447D08"/>
    <w:rsid w:val="00495FAD"/>
    <w:rsid w:val="004A439B"/>
    <w:rsid w:val="005101CC"/>
    <w:rsid w:val="0054126A"/>
    <w:rsid w:val="00564CA2"/>
    <w:rsid w:val="00573E8D"/>
    <w:rsid w:val="005B001A"/>
    <w:rsid w:val="005D1F61"/>
    <w:rsid w:val="005D236C"/>
    <w:rsid w:val="006025B6"/>
    <w:rsid w:val="00615B10"/>
    <w:rsid w:val="00620EA1"/>
    <w:rsid w:val="00653FB1"/>
    <w:rsid w:val="00682BE6"/>
    <w:rsid w:val="006A3E98"/>
    <w:rsid w:val="006A6E11"/>
    <w:rsid w:val="006B0A05"/>
    <w:rsid w:val="006C5959"/>
    <w:rsid w:val="006F596C"/>
    <w:rsid w:val="006F5F6A"/>
    <w:rsid w:val="00735538"/>
    <w:rsid w:val="00737AB0"/>
    <w:rsid w:val="00776712"/>
    <w:rsid w:val="007C1A49"/>
    <w:rsid w:val="007E522F"/>
    <w:rsid w:val="00807148"/>
    <w:rsid w:val="008233E0"/>
    <w:rsid w:val="008536E2"/>
    <w:rsid w:val="008615B0"/>
    <w:rsid w:val="008754BD"/>
    <w:rsid w:val="008A006A"/>
    <w:rsid w:val="008A32BE"/>
    <w:rsid w:val="008B7D78"/>
    <w:rsid w:val="008E47A3"/>
    <w:rsid w:val="008F5A73"/>
    <w:rsid w:val="009029D3"/>
    <w:rsid w:val="00902D5C"/>
    <w:rsid w:val="00926F2A"/>
    <w:rsid w:val="00952872"/>
    <w:rsid w:val="009E4FBA"/>
    <w:rsid w:val="009E68A6"/>
    <w:rsid w:val="00A35BAC"/>
    <w:rsid w:val="00A36AFF"/>
    <w:rsid w:val="00A87150"/>
    <w:rsid w:val="00A934C6"/>
    <w:rsid w:val="00AC399E"/>
    <w:rsid w:val="00AD63EB"/>
    <w:rsid w:val="00AF777E"/>
    <w:rsid w:val="00B4410E"/>
    <w:rsid w:val="00B57221"/>
    <w:rsid w:val="00B63072"/>
    <w:rsid w:val="00B72485"/>
    <w:rsid w:val="00B85321"/>
    <w:rsid w:val="00B85E45"/>
    <w:rsid w:val="00B96D6D"/>
    <w:rsid w:val="00BA5256"/>
    <w:rsid w:val="00BB334E"/>
    <w:rsid w:val="00BC06E9"/>
    <w:rsid w:val="00C07646"/>
    <w:rsid w:val="00C83AF8"/>
    <w:rsid w:val="00CA5322"/>
    <w:rsid w:val="00CB029E"/>
    <w:rsid w:val="00CB256E"/>
    <w:rsid w:val="00CD0465"/>
    <w:rsid w:val="00CF3E45"/>
    <w:rsid w:val="00D0428C"/>
    <w:rsid w:val="00D3553B"/>
    <w:rsid w:val="00D5267F"/>
    <w:rsid w:val="00D7737F"/>
    <w:rsid w:val="00D84AC3"/>
    <w:rsid w:val="00D85B90"/>
    <w:rsid w:val="00D8647E"/>
    <w:rsid w:val="00DE20FE"/>
    <w:rsid w:val="00DF62FF"/>
    <w:rsid w:val="00E17474"/>
    <w:rsid w:val="00E3317F"/>
    <w:rsid w:val="00E65DE5"/>
    <w:rsid w:val="00EA1932"/>
    <w:rsid w:val="00EB61EC"/>
    <w:rsid w:val="00EC433B"/>
    <w:rsid w:val="00EF4E8D"/>
    <w:rsid w:val="00F164A1"/>
    <w:rsid w:val="00F24071"/>
    <w:rsid w:val="00F26C7C"/>
    <w:rsid w:val="00F46C01"/>
    <w:rsid w:val="00F56CC7"/>
    <w:rsid w:val="00F73FE6"/>
    <w:rsid w:val="00FA4243"/>
    <w:rsid w:val="00FA6BD8"/>
    <w:rsid w:val="00FB4E79"/>
    <w:rsid w:val="00FC4CF6"/>
    <w:rsid w:val="00FD16BC"/>
    <w:rsid w:val="00FE566C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25E1D4"/>
  <w15:docId w15:val="{DCBB573B-2AF8-4BC4-B3BB-F5D0832F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D78"/>
    <w:pPr>
      <w:spacing w:after="120"/>
    </w:pPr>
    <w:rPr>
      <w:rFonts w:asciiTheme="minorHAnsi" w:hAnsiTheme="minorHAnsi" w:cstheme="minorHAnsi"/>
      <w:sz w:val="22"/>
      <w:szCs w:val="22"/>
    </w:rPr>
  </w:style>
  <w:style w:type="paragraph" w:styleId="Heading1">
    <w:name w:val="heading 1"/>
    <w:basedOn w:val="Heading2"/>
    <w:next w:val="Normal"/>
    <w:link w:val="Heading1Char"/>
    <w:uiPriority w:val="99"/>
    <w:qFormat/>
    <w:rsid w:val="00BC06E9"/>
    <w:pPr>
      <w:outlineLvl w:val="0"/>
    </w:pPr>
  </w:style>
  <w:style w:type="paragraph" w:styleId="Heading2">
    <w:name w:val="heading 2"/>
    <w:basedOn w:val="Normal"/>
    <w:next w:val="Normal"/>
    <w:qFormat/>
    <w:rsid w:val="00140FE3"/>
    <w:pPr>
      <w:keepNext/>
      <w:spacing w:before="240" w:after="60"/>
      <w:outlineLvl w:val="1"/>
    </w:pPr>
    <w:rPr>
      <w:bCs/>
      <w:iCs/>
      <w:lang w:eastAsia="en-US"/>
    </w:rPr>
  </w:style>
  <w:style w:type="paragraph" w:styleId="Heading3">
    <w:name w:val="heading 3"/>
    <w:basedOn w:val="Normal"/>
    <w:next w:val="Normal"/>
    <w:qFormat/>
    <w:rsid w:val="00FD16BC"/>
    <w:pPr>
      <w:keepNext/>
      <w:spacing w:before="240" w:after="60"/>
      <w:outlineLvl w:val="2"/>
    </w:pPr>
    <w:rPr>
      <w:rFonts w:ascii="Arial" w:hAnsi="Arial" w:cs="Arial"/>
      <w:b/>
      <w:bCs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C06E9"/>
    <w:rPr>
      <w:rFonts w:asciiTheme="minorHAnsi" w:hAnsiTheme="minorHAnsi" w:cstheme="minorHAnsi"/>
      <w:bCs/>
      <w:iCs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8B7D78"/>
  </w:style>
  <w:style w:type="character" w:customStyle="1" w:styleId="BodyTextChar">
    <w:name w:val="Body Text Char"/>
    <w:basedOn w:val="DefaultParagraphFont"/>
    <w:link w:val="BodyText"/>
    <w:uiPriority w:val="99"/>
    <w:rsid w:val="008B7D78"/>
    <w:rPr>
      <w:rFonts w:asciiTheme="minorHAnsi" w:hAnsiTheme="minorHAnsi" w:cstheme="minorHAnsi"/>
      <w:sz w:val="22"/>
      <w:szCs w:val="22"/>
    </w:rPr>
  </w:style>
  <w:style w:type="character" w:styleId="Hyperlink">
    <w:name w:val="Hyperlink"/>
    <w:basedOn w:val="DefaultParagraphFont"/>
    <w:uiPriority w:val="99"/>
    <w:rsid w:val="008B7D78"/>
    <w:rPr>
      <w:rFonts w:cs="Times New Roman"/>
      <w:color w:val="0000FF"/>
      <w:u w:val="single"/>
    </w:rPr>
  </w:style>
  <w:style w:type="paragraph" w:styleId="Title">
    <w:name w:val="Title"/>
    <w:basedOn w:val="BodyText"/>
    <w:next w:val="Normal"/>
    <w:link w:val="TitleChar"/>
    <w:uiPriority w:val="10"/>
    <w:qFormat/>
    <w:rsid w:val="008B7D78"/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B7D78"/>
    <w:rPr>
      <w:rFonts w:asciiTheme="minorHAnsi" w:hAnsiTheme="minorHAnsi" w:cstheme="minorHAnsi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8B7D78"/>
    <w:pPr>
      <w:ind w:left="720"/>
      <w:contextualSpacing/>
    </w:pPr>
  </w:style>
  <w:style w:type="paragraph" w:customStyle="1" w:styleId="H1">
    <w:name w:val="H1"/>
    <w:basedOn w:val="Normal"/>
    <w:rsid w:val="008754BD"/>
    <w:pPr>
      <w:tabs>
        <w:tab w:val="left" w:pos="283"/>
      </w:tabs>
      <w:suppressAutoHyphens/>
      <w:autoSpaceDE w:val="0"/>
      <w:autoSpaceDN w:val="0"/>
      <w:adjustRightInd w:val="0"/>
      <w:spacing w:before="113" w:after="113" w:line="280" w:lineRule="atLeast"/>
      <w:ind w:left="283" w:hanging="283"/>
      <w:textAlignment w:val="center"/>
    </w:pPr>
    <w:rPr>
      <w:rFonts w:ascii="Myriad Pro" w:hAnsi="Myriad Pro" w:cs="Myriad Pro"/>
      <w:color w:val="C3112F"/>
      <w:sz w:val="28"/>
      <w:szCs w:val="28"/>
      <w:lang w:val="en-GB"/>
    </w:rPr>
  </w:style>
  <w:style w:type="paragraph" w:customStyle="1" w:styleId="Body">
    <w:name w:val="Body"/>
    <w:basedOn w:val="Normal"/>
    <w:rsid w:val="008754BD"/>
    <w:pPr>
      <w:suppressAutoHyphens/>
      <w:autoSpaceDE w:val="0"/>
      <w:autoSpaceDN w:val="0"/>
      <w:adjustRightInd w:val="0"/>
      <w:spacing w:after="227" w:line="220" w:lineRule="atLeast"/>
      <w:textAlignment w:val="center"/>
    </w:pPr>
    <w:rPr>
      <w:rFonts w:ascii="Myriad Pro" w:hAnsi="Myriad Pro" w:cs="Myriad Pro"/>
      <w:color w:val="000000"/>
      <w:sz w:val="18"/>
      <w:szCs w:val="18"/>
      <w:lang w:val="en-GB"/>
    </w:rPr>
  </w:style>
  <w:style w:type="paragraph" w:customStyle="1" w:styleId="H2-boldred">
    <w:name w:val="H2 - bold red"/>
    <w:basedOn w:val="Body"/>
    <w:rsid w:val="008754BD"/>
    <w:pPr>
      <w:tabs>
        <w:tab w:val="left" w:pos="567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</w:tabs>
      <w:spacing w:before="113" w:after="28"/>
    </w:pPr>
    <w:rPr>
      <w:rFonts w:ascii="Myriad Pro Light" w:hAnsi="Myriad Pro Light" w:cs="Myriad Pro Light"/>
      <w:color w:val="C3112F"/>
      <w:sz w:val="22"/>
      <w:szCs w:val="22"/>
    </w:rPr>
  </w:style>
  <w:style w:type="paragraph" w:customStyle="1" w:styleId="Bodyindent">
    <w:name w:val="Body indent"/>
    <w:basedOn w:val="Normal"/>
    <w:next w:val="Body"/>
    <w:rsid w:val="008754BD"/>
    <w:pPr>
      <w:suppressAutoHyphens/>
      <w:autoSpaceDE w:val="0"/>
      <w:autoSpaceDN w:val="0"/>
      <w:adjustRightInd w:val="0"/>
      <w:spacing w:after="57" w:line="220" w:lineRule="atLeast"/>
      <w:ind w:left="283" w:right="283"/>
      <w:textAlignment w:val="center"/>
    </w:pPr>
    <w:rPr>
      <w:rFonts w:ascii="Myriad Pro" w:hAnsi="Myriad Pro" w:cs="Myriad Pro"/>
      <w:color w:val="000000"/>
      <w:sz w:val="18"/>
      <w:szCs w:val="18"/>
      <w:lang w:val="en-GB"/>
    </w:rPr>
  </w:style>
  <w:style w:type="character" w:customStyle="1" w:styleId="bold">
    <w:name w:val="bold"/>
    <w:rsid w:val="008754BD"/>
    <w:rPr>
      <w:b/>
      <w:bCs/>
    </w:rPr>
  </w:style>
  <w:style w:type="paragraph" w:customStyle="1" w:styleId="Bullets">
    <w:name w:val="Bullets"/>
    <w:basedOn w:val="Normal"/>
    <w:rsid w:val="008754BD"/>
    <w:pPr>
      <w:suppressAutoHyphens/>
      <w:autoSpaceDE w:val="0"/>
      <w:autoSpaceDN w:val="0"/>
      <w:adjustRightInd w:val="0"/>
      <w:spacing w:after="113" w:line="220" w:lineRule="atLeast"/>
      <w:ind w:left="227" w:hanging="227"/>
      <w:textAlignment w:val="center"/>
    </w:pPr>
    <w:rPr>
      <w:rFonts w:ascii="Myriad Pro" w:hAnsi="Myriad Pro" w:cs="Myriad Pro"/>
      <w:color w:val="000000"/>
      <w:sz w:val="18"/>
      <w:szCs w:val="18"/>
      <w:lang w:val="en-GB"/>
    </w:rPr>
  </w:style>
  <w:style w:type="paragraph" w:customStyle="1" w:styleId="Bulletlist">
    <w:name w:val="Bullet list"/>
    <w:basedOn w:val="ListParagraph"/>
    <w:qFormat/>
    <w:rsid w:val="008754BD"/>
    <w:pPr>
      <w:numPr>
        <w:numId w:val="2"/>
      </w:numPr>
    </w:pPr>
  </w:style>
  <w:style w:type="character" w:styleId="SubtleEmphasis">
    <w:name w:val="Subtle Emphasis"/>
    <w:basedOn w:val="DefaultParagraphFont"/>
    <w:uiPriority w:val="19"/>
    <w:qFormat/>
    <w:rsid w:val="008754BD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8754BD"/>
    <w:rPr>
      <w:i/>
      <w:iCs/>
    </w:rPr>
  </w:style>
  <w:style w:type="character" w:styleId="Strong">
    <w:name w:val="Strong"/>
    <w:basedOn w:val="DefaultParagraphFont"/>
    <w:uiPriority w:val="22"/>
    <w:qFormat/>
    <w:rsid w:val="00FB4E7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47D6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47D65"/>
    <w:rPr>
      <w:rFonts w:asciiTheme="minorHAnsi" w:hAnsiTheme="minorHAnsi" w:cstheme="minorHAnsi"/>
      <w:i/>
      <w:iCs/>
      <w:color w:val="000000" w:themeColor="text1"/>
      <w:sz w:val="22"/>
      <w:szCs w:val="22"/>
    </w:rPr>
  </w:style>
  <w:style w:type="paragraph" w:customStyle="1" w:styleId="Bulletlist2">
    <w:name w:val="Bullet list 2"/>
    <w:basedOn w:val="Bulletlist"/>
    <w:qFormat/>
    <w:rsid w:val="00C83AF8"/>
    <w:pPr>
      <w:numPr>
        <w:ilvl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C7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2C9804508E848925AE7F7B9687CB2" ma:contentTypeVersion="8" ma:contentTypeDescription="Create a new document." ma:contentTypeScope="" ma:versionID="0f825df1d1b52a4e02640f3c56bc8bc8">
  <xsd:schema xmlns:xsd="http://www.w3.org/2001/XMLSchema" xmlns:xs="http://www.w3.org/2001/XMLSchema" xmlns:p="http://schemas.microsoft.com/office/2006/metadata/properties" xmlns:ns3="c0fd65f7-4e73-4983-bb21-592ea7224115" targetNamespace="http://schemas.microsoft.com/office/2006/metadata/properties" ma:root="true" ma:fieldsID="247962be2ed3e6b2420b74fa18d30005" ns3:_="">
    <xsd:import namespace="c0fd65f7-4e73-4983-bb21-592ea72241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65f7-4e73-4983-bb21-592ea7224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F85C15-62D7-4C73-9E30-2288164932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53CBDE-6348-4203-B3CF-E105906D6B6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c0fd65f7-4e73-4983-bb21-592ea722411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06F1C30-0161-4762-A970-2D39D6B6C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d65f7-4e73-4983-bb21-592ea7224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2714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Pennington</dc:creator>
  <cp:lastModifiedBy>SIMMS,Daniel</cp:lastModifiedBy>
  <cp:revision>2</cp:revision>
  <dcterms:created xsi:type="dcterms:W3CDTF">2020-01-31T00:52:00Z</dcterms:created>
  <dcterms:modified xsi:type="dcterms:W3CDTF">2020-01-31T00:52:00Z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0x0101001F02C9804508E848925AE7F7B9687CB2</vt:lpwstr>
  </property>
</Properties>
</file>