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84092" w14:textId="77777777" w:rsidR="00ED5B88" w:rsidRPr="00712961" w:rsidRDefault="00ED5B88" w:rsidP="00744058">
      <w:pPr>
        <w:pStyle w:val="Title"/>
      </w:pPr>
      <w:bookmarkStart w:id="0" w:name="_GoBack"/>
      <w:bookmarkEnd w:id="0"/>
      <w:r w:rsidRPr="00712961">
        <w:t>The workplace &amp; AOD use: Research &amp; best practice approaches</w:t>
      </w:r>
    </w:p>
    <w:p w14:paraId="0B522032" w14:textId="77777777" w:rsidR="00ED5B88" w:rsidRPr="00712961" w:rsidRDefault="00ED5B88" w:rsidP="00744058"/>
    <w:p w14:paraId="68A9DB01" w14:textId="77777777" w:rsidR="00ED5B88" w:rsidRPr="00744058" w:rsidRDefault="00ED5B88" w:rsidP="00744058">
      <w:r w:rsidRPr="00744058">
        <w:t>Ken Pidd</w:t>
      </w:r>
    </w:p>
    <w:p w14:paraId="5743A215" w14:textId="77777777" w:rsidR="00ED5B88" w:rsidRPr="00744058" w:rsidRDefault="00ED5B88" w:rsidP="00744058">
      <w:r w:rsidRPr="00744058">
        <w:t>National Centre for Education &amp; Training on Addiction (NCETA)</w:t>
      </w:r>
    </w:p>
    <w:p w14:paraId="58ADEEF9" w14:textId="77777777" w:rsidR="00ED5B88" w:rsidRPr="00744058" w:rsidRDefault="00ED5B88" w:rsidP="00744058"/>
    <w:p w14:paraId="23B59D27" w14:textId="77777777" w:rsidR="00ED5B88" w:rsidRPr="00744058" w:rsidRDefault="00ED5B88" w:rsidP="00744058">
      <w:r w:rsidRPr="00744058">
        <w:t>Office of the Federal Safety Commissioner AOD Forum</w:t>
      </w:r>
    </w:p>
    <w:p w14:paraId="095A9AB7" w14:textId="77777777" w:rsidR="00ED5B88" w:rsidRPr="00744058" w:rsidRDefault="00ED5B88" w:rsidP="00744058">
      <w:r w:rsidRPr="00744058">
        <w:t>April 8th 2009, Melbourne</w:t>
      </w:r>
    </w:p>
    <w:p w14:paraId="73EE2523" w14:textId="77777777" w:rsidR="00ED5B88" w:rsidRPr="00712961" w:rsidRDefault="00ED5B88" w:rsidP="00744058"/>
    <w:p w14:paraId="12139492" w14:textId="77777777" w:rsidR="00ED5B88" w:rsidRPr="00744058" w:rsidRDefault="00ED5B88" w:rsidP="00450166">
      <w:pPr>
        <w:pStyle w:val="Heading1"/>
      </w:pPr>
      <w:r w:rsidRPr="00744058">
        <w:t>Overview</w:t>
      </w:r>
    </w:p>
    <w:p w14:paraId="14376B66" w14:textId="77777777" w:rsidR="00ED5B88" w:rsidRPr="00712961" w:rsidRDefault="00ED5B88" w:rsidP="00744058"/>
    <w:p w14:paraId="2D1FF109" w14:textId="77777777" w:rsidR="00ED5B88" w:rsidRPr="00712961" w:rsidRDefault="00ED5B88" w:rsidP="00744058">
      <w:pPr>
        <w:pStyle w:val="Bulletlist"/>
      </w:pPr>
      <w:r w:rsidRPr="00712961">
        <w:t>Background to NCETA:</w:t>
      </w:r>
    </w:p>
    <w:p w14:paraId="3D6EBCF6" w14:textId="77777777" w:rsidR="00ED5B88" w:rsidRPr="00712961" w:rsidRDefault="00ED5B88" w:rsidP="00744058">
      <w:pPr>
        <w:pStyle w:val="Bulletlist2"/>
      </w:pPr>
      <w:r w:rsidRPr="00712961">
        <w:t>Who we are and what we do</w:t>
      </w:r>
    </w:p>
    <w:p w14:paraId="5C540946" w14:textId="77777777" w:rsidR="00ED5B88" w:rsidRPr="00712961" w:rsidRDefault="00ED5B88" w:rsidP="00744058"/>
    <w:p w14:paraId="1EF4AF74" w14:textId="77777777" w:rsidR="00ED5B88" w:rsidRPr="00712961" w:rsidRDefault="00ED5B88" w:rsidP="00744058">
      <w:pPr>
        <w:pStyle w:val="Bulletlist"/>
      </w:pPr>
      <w:r w:rsidRPr="00712961">
        <w:t>Patterns of use &amp; implications for safety and productivity:</w:t>
      </w:r>
    </w:p>
    <w:p w14:paraId="2BFBB3A2" w14:textId="77777777" w:rsidR="00ED5B88" w:rsidRPr="00712961" w:rsidRDefault="00ED5B88" w:rsidP="00744058">
      <w:pPr>
        <w:pStyle w:val="Bulletlist2"/>
      </w:pPr>
      <w:r w:rsidRPr="00712961">
        <w:t>What we know and what we don’t know</w:t>
      </w:r>
    </w:p>
    <w:p w14:paraId="7227140E" w14:textId="77777777" w:rsidR="00ED5B88" w:rsidRPr="00712961" w:rsidRDefault="00ED5B88" w:rsidP="00744058"/>
    <w:p w14:paraId="603964DB" w14:textId="77777777" w:rsidR="00ED5B88" w:rsidRPr="00712961" w:rsidRDefault="00ED5B88" w:rsidP="00744058">
      <w:pPr>
        <w:pStyle w:val="Bulletlist"/>
      </w:pPr>
      <w:r w:rsidRPr="00712961">
        <w:t>Minimising the risk:</w:t>
      </w:r>
    </w:p>
    <w:p w14:paraId="14DF047F" w14:textId="77777777" w:rsidR="00ED5B88" w:rsidRPr="00712961" w:rsidRDefault="00ED5B88" w:rsidP="00744058">
      <w:pPr>
        <w:pStyle w:val="Bulletlist2"/>
      </w:pPr>
      <w:r w:rsidRPr="00712961">
        <w:t>What works</w:t>
      </w:r>
    </w:p>
    <w:p w14:paraId="4ABC34EF" w14:textId="77777777" w:rsidR="00ED5B88" w:rsidRPr="00712961" w:rsidRDefault="00ED5B88" w:rsidP="00744058"/>
    <w:p w14:paraId="31478287" w14:textId="77777777" w:rsidR="00ED5B88" w:rsidRPr="00712961" w:rsidRDefault="00ED5B88" w:rsidP="00744058">
      <w:pPr>
        <w:pStyle w:val="Bulletlist"/>
      </w:pPr>
      <w:r w:rsidRPr="00712961">
        <w:t>How to tailor a response for individual workplaces:</w:t>
      </w:r>
    </w:p>
    <w:p w14:paraId="1F673662" w14:textId="77777777" w:rsidR="00ED5B88" w:rsidRPr="00712961" w:rsidRDefault="00ED5B88" w:rsidP="00744058">
      <w:pPr>
        <w:pStyle w:val="Bulletlist2"/>
      </w:pPr>
      <w:r w:rsidRPr="00712961">
        <w:t>How NCETA can help</w:t>
      </w:r>
    </w:p>
    <w:p w14:paraId="559E1010" w14:textId="77777777" w:rsidR="00ED5B88" w:rsidRPr="00712961" w:rsidRDefault="00ED5B88" w:rsidP="00744058"/>
    <w:p w14:paraId="2BDB1413" w14:textId="77777777" w:rsidR="00ED5B88" w:rsidRPr="00712961" w:rsidRDefault="00ED5B88" w:rsidP="00450166">
      <w:pPr>
        <w:pStyle w:val="Heading1"/>
      </w:pPr>
      <w:r w:rsidRPr="00712961">
        <w:t>NCETA</w:t>
      </w:r>
    </w:p>
    <w:p w14:paraId="0E9DE3B7" w14:textId="77777777" w:rsidR="00ED5B88" w:rsidRPr="00712961" w:rsidRDefault="00ED5B88" w:rsidP="00744058"/>
    <w:p w14:paraId="5A35898B" w14:textId="77777777" w:rsidR="00ED5B88" w:rsidRPr="00712961" w:rsidRDefault="00ED5B88" w:rsidP="00032ABC">
      <w:pPr>
        <w:pStyle w:val="ListParagraph"/>
        <w:numPr>
          <w:ilvl w:val="0"/>
          <w:numId w:val="4"/>
        </w:numPr>
      </w:pPr>
      <w:r w:rsidRPr="00712961">
        <w:t>One of three national alcohol &amp; drug research centres</w:t>
      </w:r>
    </w:p>
    <w:p w14:paraId="52EA7DD3" w14:textId="77777777" w:rsidR="00ED5B88" w:rsidRPr="00712961" w:rsidRDefault="00ED5B88" w:rsidP="00744058">
      <w:pPr>
        <w:pStyle w:val="Bulletlist"/>
      </w:pPr>
      <w:r w:rsidRPr="00712961">
        <w:t>Funded by the Australian Government Department of Health and Ageing &amp; the South Australian Department of Health</w:t>
      </w:r>
    </w:p>
    <w:p w14:paraId="08E9E9D0" w14:textId="77777777" w:rsidR="00ED5B88" w:rsidRPr="00712961" w:rsidRDefault="00ED5B88" w:rsidP="00744058"/>
    <w:p w14:paraId="10BB8218" w14:textId="77777777" w:rsidR="00ED5B88" w:rsidRPr="00712961" w:rsidRDefault="00ED5B88" w:rsidP="00744058">
      <w:pPr>
        <w:pStyle w:val="Bulletlist"/>
      </w:pPr>
      <w:r w:rsidRPr="00712961">
        <w:t>Two main areas of research/practice</w:t>
      </w:r>
    </w:p>
    <w:p w14:paraId="047A88AC" w14:textId="77777777" w:rsidR="00ED5B88" w:rsidRPr="00712961" w:rsidRDefault="00ED5B88" w:rsidP="00744058">
      <w:pPr>
        <w:pStyle w:val="Bulletlist2"/>
      </w:pPr>
      <w:r w:rsidRPr="00712961">
        <w:t>Alcohol and drug workforce development</w:t>
      </w:r>
    </w:p>
    <w:p w14:paraId="6BD9D991" w14:textId="77777777" w:rsidR="00ED5B88" w:rsidRPr="00712961" w:rsidRDefault="00ED5B88" w:rsidP="00744058">
      <w:pPr>
        <w:pStyle w:val="Bulletlist2"/>
      </w:pPr>
      <w:r w:rsidRPr="00712961">
        <w:t>Workplace alcohol and drug issues</w:t>
      </w:r>
    </w:p>
    <w:p w14:paraId="1F7C7A87" w14:textId="77777777" w:rsidR="00ED5B88" w:rsidRPr="00712961" w:rsidRDefault="00ED5B88" w:rsidP="00744058"/>
    <w:p w14:paraId="0575416C" w14:textId="77777777" w:rsidR="00ED5B88" w:rsidRPr="00712961" w:rsidRDefault="00ED5B88" w:rsidP="00450166">
      <w:pPr>
        <w:pStyle w:val="Heading1"/>
      </w:pPr>
      <w:r w:rsidRPr="00712961">
        <w:t>Workers’ alcohol &amp; drug use</w:t>
      </w:r>
    </w:p>
    <w:p w14:paraId="7E5B7E6F" w14:textId="77777777" w:rsidR="00ED5B88" w:rsidRPr="00712961" w:rsidRDefault="00ED5B88" w:rsidP="00744058"/>
    <w:p w14:paraId="170E5CFE" w14:textId="77777777" w:rsidR="00ED5B88" w:rsidRPr="00712961" w:rsidRDefault="00ED5B88" w:rsidP="00032ABC">
      <w:pPr>
        <w:pStyle w:val="Bulletlist"/>
      </w:pPr>
      <w:r w:rsidRPr="00712961">
        <w:t>Until relatively recently, very little was known about workers’ AOD consumption at work or away from the workplace</w:t>
      </w:r>
      <w:r w:rsidR="00744058">
        <w:t xml:space="preserve">.  </w:t>
      </w:r>
    </w:p>
    <w:p w14:paraId="1D1228B5" w14:textId="77777777" w:rsidR="00ED5B88" w:rsidRPr="00712961" w:rsidRDefault="00ED5B88" w:rsidP="00032ABC">
      <w:pPr>
        <w:pStyle w:val="Bulletlist"/>
      </w:pPr>
      <w:r w:rsidRPr="00712961">
        <w:t>NCETA has undertaken a substantial amount of research to identify these</w:t>
      </w:r>
      <w:r w:rsidR="00744058">
        <w:t xml:space="preserve"> and</w:t>
      </w:r>
      <w:r w:rsidRPr="00712961">
        <w:t xml:space="preserve"> the prevalence and patterns of AOD use among the workforce</w:t>
      </w:r>
      <w:r w:rsidR="00744058">
        <w:t xml:space="preserve">. </w:t>
      </w:r>
    </w:p>
    <w:p w14:paraId="5CB07694" w14:textId="77777777" w:rsidR="00ED5B88" w:rsidRPr="00712961" w:rsidRDefault="00ED5B88" w:rsidP="00032ABC">
      <w:pPr>
        <w:pStyle w:val="Bulletlist"/>
      </w:pPr>
      <w:r w:rsidRPr="00712961">
        <w:t>Allows workplaces to identify and profile AOD-related risk to safety and productivity</w:t>
      </w:r>
    </w:p>
    <w:p w14:paraId="78C1E8E6" w14:textId="77777777" w:rsidR="00ED5B88" w:rsidRPr="00712961" w:rsidRDefault="00ED5B88" w:rsidP="00744058"/>
    <w:p w14:paraId="4210B74A" w14:textId="77777777" w:rsidR="00ED5B88" w:rsidRPr="00712961" w:rsidRDefault="00ED5B88" w:rsidP="00450166">
      <w:pPr>
        <w:pStyle w:val="Heading1"/>
      </w:pPr>
      <w:r w:rsidRPr="00712961">
        <w:t>Research reports</w:t>
      </w:r>
    </w:p>
    <w:p w14:paraId="165475EA" w14:textId="77777777" w:rsidR="00ED5B88" w:rsidRPr="00712961" w:rsidRDefault="00ED5B88" w:rsidP="00744058"/>
    <w:p w14:paraId="413C584A" w14:textId="77777777" w:rsidR="00ED5B88" w:rsidRDefault="00ED5B88" w:rsidP="00032ABC">
      <w:pPr>
        <w:pStyle w:val="Heading2"/>
      </w:pPr>
      <w:r w:rsidRPr="00712961">
        <w:t>2006 report</w:t>
      </w:r>
    </w:p>
    <w:p w14:paraId="4313F742" w14:textId="77777777" w:rsidR="00032ABC" w:rsidRPr="00032ABC" w:rsidRDefault="00032ABC" w:rsidP="00032ABC">
      <w:pPr>
        <w:rPr>
          <w:lang w:val="en-US" w:eastAsia="en-US"/>
        </w:rPr>
      </w:pPr>
    </w:p>
    <w:p w14:paraId="700179C9" w14:textId="77777777" w:rsidR="00ED5B88" w:rsidRPr="00712961" w:rsidRDefault="00ED5B88" w:rsidP="00032ABC">
      <w:pPr>
        <w:pStyle w:val="Bulletlist"/>
      </w:pPr>
      <w:r w:rsidRPr="00712961">
        <w:lastRenderedPageBreak/>
        <w:t>Reviewed existing evidence on workplace interventions</w:t>
      </w:r>
    </w:p>
    <w:p w14:paraId="03AA19EC" w14:textId="77777777" w:rsidR="00ED5B88" w:rsidRPr="00712961" w:rsidRDefault="00ED5B88" w:rsidP="00032ABC">
      <w:pPr>
        <w:pStyle w:val="Bulletlist"/>
      </w:pPr>
      <w:r w:rsidRPr="00712961">
        <w:t>Reviewed existing evidence on workplace alcohol use and related injury</w:t>
      </w:r>
    </w:p>
    <w:p w14:paraId="2FB116A0" w14:textId="77777777" w:rsidR="00ED5B88" w:rsidRPr="00712961" w:rsidRDefault="00ED5B88" w:rsidP="00032ABC">
      <w:pPr>
        <w:pStyle w:val="Bulletlist"/>
      </w:pPr>
      <w:r w:rsidRPr="00712961">
        <w:t>Secondary analysis of 2001 NDSHS data (N = 26,744)</w:t>
      </w:r>
    </w:p>
    <w:p w14:paraId="37BDD231" w14:textId="77777777" w:rsidR="00ED5B88" w:rsidRPr="00712961" w:rsidRDefault="00ED5B88" w:rsidP="00032ABC">
      <w:pPr>
        <w:pStyle w:val="Bulletlist"/>
      </w:pPr>
      <w:r w:rsidRPr="00712961">
        <w:t>Secondary analyses of hospital separations and coronial data</w:t>
      </w:r>
    </w:p>
    <w:p w14:paraId="08356205" w14:textId="77777777" w:rsidR="00ED5B88" w:rsidRPr="00712961" w:rsidRDefault="00ED5B88" w:rsidP="00744058"/>
    <w:p w14:paraId="02FE007C" w14:textId="77777777" w:rsidR="00ED5B88" w:rsidRDefault="00ED5B88" w:rsidP="00032ABC">
      <w:pPr>
        <w:pStyle w:val="Heading2"/>
      </w:pPr>
      <w:r w:rsidRPr="00712961">
        <w:t>2008 reports</w:t>
      </w:r>
    </w:p>
    <w:p w14:paraId="65653E08" w14:textId="77777777" w:rsidR="00032ABC" w:rsidRPr="00032ABC" w:rsidRDefault="00032ABC" w:rsidP="00032ABC">
      <w:pPr>
        <w:rPr>
          <w:lang w:val="en-US" w:eastAsia="en-US"/>
        </w:rPr>
      </w:pPr>
    </w:p>
    <w:p w14:paraId="7809A075" w14:textId="77777777" w:rsidR="00ED5B88" w:rsidRPr="00712961" w:rsidRDefault="00ED5B88" w:rsidP="00032ABC">
      <w:pPr>
        <w:pStyle w:val="Bulletlist"/>
      </w:pPr>
      <w:r w:rsidRPr="00712961">
        <w:t>Secondary analysis of 2004 NDSHS data (N = 29,445)</w:t>
      </w:r>
    </w:p>
    <w:p w14:paraId="245D9A66" w14:textId="77777777" w:rsidR="00ED5B88" w:rsidRPr="00712961" w:rsidRDefault="00ED5B88" w:rsidP="00032ABC">
      <w:pPr>
        <w:pStyle w:val="Bulletlist"/>
      </w:pPr>
      <w:r w:rsidRPr="00712961">
        <w:t>Alcohol use in the Australian workforce</w:t>
      </w:r>
    </w:p>
    <w:p w14:paraId="35F8F221" w14:textId="77777777" w:rsidR="00ED5B88" w:rsidRPr="00712961" w:rsidRDefault="00ED5B88" w:rsidP="00032ABC">
      <w:pPr>
        <w:pStyle w:val="Bulletlist"/>
      </w:pPr>
      <w:r w:rsidRPr="00712961">
        <w:t>Drug use in the Australian workforce</w:t>
      </w:r>
    </w:p>
    <w:p w14:paraId="2A6DA2DF" w14:textId="77777777" w:rsidR="00ED5B88" w:rsidRPr="00712961" w:rsidRDefault="00ED5B88" w:rsidP="00032ABC">
      <w:pPr>
        <w:pStyle w:val="Bulletlist"/>
      </w:pPr>
      <w:r w:rsidRPr="00712961">
        <w:t>Resulted in unique &amp; novel data on:</w:t>
      </w:r>
    </w:p>
    <w:p w14:paraId="4B0E1868" w14:textId="77777777" w:rsidR="00ED5B88" w:rsidRPr="00712961" w:rsidRDefault="00ED5B88" w:rsidP="00032ABC">
      <w:pPr>
        <w:pStyle w:val="Bulletlist"/>
      </w:pPr>
      <w:r w:rsidRPr="00712961">
        <w:t>Prevalence &amp; patterns of AOD use among the Australian workforce</w:t>
      </w:r>
    </w:p>
    <w:p w14:paraId="76CB2DFC" w14:textId="77777777" w:rsidR="00ED5B88" w:rsidRPr="00712961" w:rsidRDefault="00ED5B88" w:rsidP="00032ABC">
      <w:pPr>
        <w:pStyle w:val="Bulletlist"/>
      </w:pPr>
      <w:r w:rsidRPr="00712961">
        <w:t xml:space="preserve">Extent of AOD risk to safety &amp; productivity in Australian workplaces  </w:t>
      </w:r>
    </w:p>
    <w:p w14:paraId="6BB02570" w14:textId="77777777" w:rsidR="00ED5B88" w:rsidRPr="00712961" w:rsidRDefault="00ED5B88" w:rsidP="00032ABC">
      <w:pPr>
        <w:pStyle w:val="Bulletlist"/>
      </w:pPr>
      <w:r w:rsidRPr="00744058">
        <w:rPr>
          <w:rStyle w:val="Emphasis"/>
        </w:rPr>
        <w:t>“….as much as 90% of the mistakes of thinki</w:t>
      </w:r>
      <w:r w:rsidR="00744058" w:rsidRPr="00744058">
        <w:rPr>
          <w:rStyle w:val="Emphasis"/>
        </w:rPr>
        <w:t>ng are mistakes of perception”</w:t>
      </w:r>
      <w:r w:rsidR="00744058">
        <w:t xml:space="preserve"> </w:t>
      </w:r>
      <w:r w:rsidRPr="00712961">
        <w:t>deBono, 1999</w:t>
      </w:r>
    </w:p>
    <w:p w14:paraId="5F99347E" w14:textId="77777777" w:rsidR="00ED5B88" w:rsidRPr="00712961" w:rsidRDefault="00ED5B88" w:rsidP="00744058"/>
    <w:p w14:paraId="137FBAE4" w14:textId="77777777" w:rsidR="00ED5B88" w:rsidRPr="00712961" w:rsidRDefault="00ED5B88" w:rsidP="00450166">
      <w:pPr>
        <w:pStyle w:val="Heading1"/>
      </w:pPr>
      <w:r w:rsidRPr="00712961">
        <w:t>Alcohol</w:t>
      </w:r>
    </w:p>
    <w:p w14:paraId="26316CA2" w14:textId="77777777" w:rsidR="00ED5B88" w:rsidRPr="00712961" w:rsidRDefault="00ED5B88" w:rsidP="00744058"/>
    <w:p w14:paraId="51215858" w14:textId="77777777" w:rsidR="00ED5B88" w:rsidRDefault="00ED5B88" w:rsidP="00744058">
      <w:pPr>
        <w:pStyle w:val="Bulletlist"/>
      </w:pPr>
      <w:r w:rsidRPr="00712961">
        <w:t xml:space="preserve">Our most popular ‘drug’ </w:t>
      </w:r>
    </w:p>
    <w:p w14:paraId="07470B7A" w14:textId="77777777" w:rsidR="00ED5B88" w:rsidRPr="00712961" w:rsidRDefault="00ED5B88" w:rsidP="00744058">
      <w:pPr>
        <w:pStyle w:val="Bulletlist"/>
      </w:pPr>
      <w:r w:rsidRPr="00712961">
        <w:t>The vast majority (over 80%) of Australians over 14 years old drink.</w:t>
      </w:r>
    </w:p>
    <w:p w14:paraId="4B900330" w14:textId="77777777" w:rsidR="00ED5B88" w:rsidRPr="00712961" w:rsidRDefault="00ED5B88" w:rsidP="00744058">
      <w:pPr>
        <w:pStyle w:val="Bulletlist"/>
      </w:pPr>
      <w:r w:rsidRPr="00712961">
        <w:t>Short-term harm</w:t>
      </w:r>
    </w:p>
    <w:p w14:paraId="6ED7274B" w14:textId="77777777" w:rsidR="00ED5B88" w:rsidRPr="00712961" w:rsidRDefault="00ED5B88" w:rsidP="00744058">
      <w:pPr>
        <w:pStyle w:val="Bulletlist2"/>
      </w:pPr>
      <w:r w:rsidRPr="00712961">
        <w:t>Intoxication harms</w:t>
      </w:r>
    </w:p>
    <w:p w14:paraId="4F0B66CD" w14:textId="77777777" w:rsidR="00ED5B88" w:rsidRPr="00712961" w:rsidRDefault="00ED5B88" w:rsidP="00744058">
      <w:pPr>
        <w:pStyle w:val="Bulletlist2"/>
      </w:pPr>
      <w:r w:rsidRPr="00712961">
        <w:t xml:space="preserve">Low risk </w:t>
      </w:r>
    </w:p>
    <w:p w14:paraId="03739860" w14:textId="77777777" w:rsidR="00ED5B88" w:rsidRPr="00712961" w:rsidRDefault="00ED5B88" w:rsidP="00744058">
      <w:pPr>
        <w:pStyle w:val="Bulletlist2"/>
      </w:pPr>
      <w:r w:rsidRPr="00712961">
        <w:t>(Male) ≤ 6std drinks – (Female) ≤ 4 std drinks/occasion</w:t>
      </w:r>
    </w:p>
    <w:p w14:paraId="04A93C72" w14:textId="77777777" w:rsidR="00ED5B88" w:rsidRPr="00ED5B88" w:rsidRDefault="00ED5B88" w:rsidP="00744058">
      <w:pPr>
        <w:pStyle w:val="Bulletlist"/>
        <w:rPr>
          <w:lang w:val="en-US"/>
        </w:rPr>
      </w:pPr>
      <w:r w:rsidRPr="00ED5B88">
        <w:rPr>
          <w:lang w:val="en-US"/>
        </w:rPr>
        <w:t>Long-term harm</w:t>
      </w:r>
    </w:p>
    <w:p w14:paraId="6B80A346" w14:textId="77777777" w:rsidR="00ED5B88" w:rsidRPr="00712961" w:rsidRDefault="00ED5B88" w:rsidP="00744058">
      <w:pPr>
        <w:pStyle w:val="Bulletlist2"/>
        <w:rPr>
          <w:lang w:val="en-US"/>
        </w:rPr>
      </w:pPr>
      <w:r w:rsidRPr="00712961">
        <w:rPr>
          <w:lang w:val="en-US"/>
        </w:rPr>
        <w:t>Long-term heavy use harms</w:t>
      </w:r>
    </w:p>
    <w:p w14:paraId="4104A7AB" w14:textId="77777777" w:rsidR="00ED5B88" w:rsidRPr="00712961" w:rsidRDefault="00ED5B88" w:rsidP="00744058">
      <w:pPr>
        <w:pStyle w:val="Bulletlist2"/>
        <w:rPr>
          <w:lang w:val="en-US"/>
        </w:rPr>
      </w:pPr>
      <w:r w:rsidRPr="00712961">
        <w:rPr>
          <w:lang w:val="en-US"/>
        </w:rPr>
        <w:t xml:space="preserve">Low risk </w:t>
      </w:r>
    </w:p>
    <w:p w14:paraId="6AA1330B" w14:textId="77777777" w:rsidR="00ED5B88" w:rsidRPr="00ED5B88" w:rsidRDefault="00ED5B88" w:rsidP="00744058">
      <w:pPr>
        <w:pStyle w:val="Bulletlist2"/>
        <w:rPr>
          <w:lang w:val="en-US"/>
        </w:rPr>
      </w:pPr>
      <w:r w:rsidRPr="00ED5B88">
        <w:rPr>
          <w:lang w:val="en-US"/>
        </w:rPr>
        <w:t xml:space="preserve">(Male) ≤ 28 std drinks – (Female) ≤ 14 std drinks/week </w:t>
      </w:r>
    </w:p>
    <w:p w14:paraId="45302ABA" w14:textId="77777777" w:rsidR="00ED5B88" w:rsidRPr="00712961" w:rsidRDefault="00ED5B88" w:rsidP="00744058"/>
    <w:p w14:paraId="63E3F377" w14:textId="77777777" w:rsidR="00ED5B88" w:rsidRPr="00ED5B88" w:rsidRDefault="00ED5B88" w:rsidP="00744058">
      <w:r w:rsidRPr="00ED5B88">
        <w:t>Using the concept of a standard drink, Australia has developed a set of drinking guidelines which are based on extensive evidence concerning the harm associated with different consumption patterns.</w:t>
      </w:r>
    </w:p>
    <w:p w14:paraId="3B000A87" w14:textId="77777777" w:rsidR="00ED5B88" w:rsidRPr="00712961" w:rsidRDefault="00ED5B88" w:rsidP="00744058"/>
    <w:p w14:paraId="0BA09EE9" w14:textId="77777777" w:rsidR="00ED5B88" w:rsidRPr="00ED5B88" w:rsidRDefault="00ED5B88" w:rsidP="00744058">
      <w:r w:rsidRPr="00ED5B88">
        <w:t>These guidelines set down recommended drinking levels associated with low and high risk of harm.</w:t>
      </w:r>
    </w:p>
    <w:p w14:paraId="2BFCF729" w14:textId="77777777" w:rsidR="00ED5B88" w:rsidRPr="00712961" w:rsidRDefault="00ED5B88" w:rsidP="00744058"/>
    <w:p w14:paraId="22A2A14F" w14:textId="77777777" w:rsidR="00ED5B88" w:rsidRPr="00ED5B88" w:rsidRDefault="00ED5B88" w:rsidP="00744058">
      <w:r w:rsidRPr="00ED5B88">
        <w:t>For example, to drink at low risk, males should drink no more than 6 std drinks on any one day, should have at least one alcohol free day, and should drink on average no more than 28 std drinks per week.</w:t>
      </w:r>
    </w:p>
    <w:p w14:paraId="54131D21" w14:textId="77777777" w:rsidR="00ED5B88" w:rsidRPr="00712961" w:rsidRDefault="00ED5B88" w:rsidP="00744058"/>
    <w:p w14:paraId="7C515520" w14:textId="77777777" w:rsidR="00ED5B88" w:rsidRDefault="00ED5B88" w:rsidP="00744058">
      <w:r w:rsidRPr="00ED5B88">
        <w:t>For females it is slightly less, no more than 4 std drinks per day with a weekly average of no more than 14 std drinks.</w:t>
      </w:r>
    </w:p>
    <w:p w14:paraId="573B9A2B" w14:textId="77777777" w:rsidR="00A55C9E" w:rsidRPr="00ED5B88" w:rsidRDefault="00A55C9E" w:rsidP="00744058"/>
    <w:p w14:paraId="2496530B" w14:textId="77777777" w:rsidR="00ED5B88" w:rsidRPr="00ED5B88" w:rsidRDefault="00ED5B88" w:rsidP="00744058">
      <w:r w:rsidRPr="00ED5B88">
        <w:t>Thus the guidelines distinguish between short term harm – which can be defined as the harm associated with intoxication such as accidents and violence and harms associated with long-term heavy use such as cancer, and cirrhosis of the liver.</w:t>
      </w:r>
    </w:p>
    <w:p w14:paraId="35FC844B" w14:textId="77777777" w:rsidR="00ED5B88" w:rsidRPr="00712961" w:rsidRDefault="00ED5B88" w:rsidP="00744058"/>
    <w:p w14:paraId="336C0D09" w14:textId="77777777" w:rsidR="00ED5B88" w:rsidRPr="00ED5B88" w:rsidRDefault="00ED5B88" w:rsidP="00744058">
      <w:r w:rsidRPr="00ED5B88">
        <w:t>The guidelines also distinguish between levels of risk, and these levels increase as the number of standard drinks consumed increases.</w:t>
      </w:r>
      <w:r w:rsidR="00A55C9E">
        <w:t xml:space="preserve"> </w:t>
      </w:r>
      <w:r w:rsidRPr="00ED5B88">
        <w:t>The guidelines also distinguish between frequencies of consumption.  Previous guidelines focused on average levels of consumption, which is ok, but the types of harms associated with alcohol use is likely to vary according the frequency of drinking,.  For example if you drink on average 35 std drinks a week, the type of harm you expose yourself to will vary depending on whether your drink them all at once or only drink 5 a day</w:t>
      </w:r>
    </w:p>
    <w:p w14:paraId="533CD94D" w14:textId="77777777" w:rsidR="00ED5B88" w:rsidRPr="00712961" w:rsidRDefault="00ED5B88" w:rsidP="00744058"/>
    <w:p w14:paraId="6069404E" w14:textId="77777777" w:rsidR="00ED5B88" w:rsidRPr="00712961" w:rsidRDefault="00ED5B88" w:rsidP="00744058"/>
    <w:p w14:paraId="40D4C84D" w14:textId="77777777" w:rsidR="00ED5B88" w:rsidRPr="00712961" w:rsidRDefault="00ED5B88" w:rsidP="00032ABC">
      <w:pPr>
        <w:pStyle w:val="Heading2"/>
      </w:pPr>
      <w:r w:rsidRPr="00712961">
        <w:t>Implications for safety &amp; productivity</w:t>
      </w:r>
    </w:p>
    <w:p w14:paraId="3E151541" w14:textId="77777777" w:rsidR="00ED5B88" w:rsidRPr="00712961" w:rsidRDefault="00ED5B88" w:rsidP="00744058"/>
    <w:p w14:paraId="49DD2BF0" w14:textId="77777777" w:rsidR="00ED5B88" w:rsidRPr="00712961" w:rsidRDefault="00ED5B88" w:rsidP="00A55C9E">
      <w:pPr>
        <w:pStyle w:val="Bulletlist"/>
      </w:pPr>
      <w:r w:rsidRPr="00712961">
        <w:t>Between 1989-1992, alcohol contributed to 4-5% of all workplace deaths</w:t>
      </w:r>
    </w:p>
    <w:p w14:paraId="44EB8169" w14:textId="77777777" w:rsidR="00ED5B88" w:rsidRPr="00712961" w:rsidRDefault="00ED5B88" w:rsidP="00A55C9E">
      <w:pPr>
        <w:pStyle w:val="Bulletlist"/>
      </w:pPr>
      <w:r w:rsidRPr="00712961">
        <w:t>4% to  11% of all workplace injuries in Australia are related to alcohol use</w:t>
      </w:r>
    </w:p>
    <w:p w14:paraId="19D07037" w14:textId="77777777" w:rsidR="00ED5B88" w:rsidRPr="00712961" w:rsidRDefault="00ED5B88" w:rsidP="00A55C9E">
      <w:pPr>
        <w:pStyle w:val="Bulletlist"/>
      </w:pPr>
      <w:r w:rsidRPr="00712961">
        <w:t>In 2004/05 alcohol use cost Australian business an estimated $3.6B in terms of lost productivity</w:t>
      </w:r>
    </w:p>
    <w:p w14:paraId="6C6DA400" w14:textId="77777777" w:rsidR="00ED5B88" w:rsidRPr="00712961" w:rsidRDefault="00ED5B88" w:rsidP="00A55C9E">
      <w:pPr>
        <w:pStyle w:val="Bulletlist"/>
      </w:pPr>
      <w:r w:rsidRPr="00712961">
        <w:t>In 2004/05 illicit drug use cost Australian business an estimated $1.6B in terms of lost productivity</w:t>
      </w:r>
    </w:p>
    <w:p w14:paraId="453992C7" w14:textId="77777777" w:rsidR="00ED5B88" w:rsidRPr="00712961" w:rsidRDefault="00ED5B88" w:rsidP="00A55C9E">
      <w:pPr>
        <w:pStyle w:val="Bulletlist"/>
      </w:pPr>
      <w:r w:rsidRPr="00712961">
        <w:t>Alcohol and illicit drug use is also associated a range of other workplace problems including:</w:t>
      </w:r>
    </w:p>
    <w:p w14:paraId="4CC0C305" w14:textId="77777777" w:rsidR="00ED5B88" w:rsidRPr="00712961" w:rsidRDefault="00ED5B88" w:rsidP="00A55C9E">
      <w:pPr>
        <w:pStyle w:val="Bulletlist2"/>
      </w:pPr>
      <w:r w:rsidRPr="00712961">
        <w:t>poor performance</w:t>
      </w:r>
    </w:p>
    <w:p w14:paraId="1A0671C8" w14:textId="77777777" w:rsidR="00ED5B88" w:rsidRPr="00712961" w:rsidRDefault="00ED5B88" w:rsidP="00A55C9E">
      <w:pPr>
        <w:pStyle w:val="Bulletlist2"/>
      </w:pPr>
      <w:r w:rsidRPr="00712961">
        <w:t>low morale</w:t>
      </w:r>
    </w:p>
    <w:p w14:paraId="0447CCC4" w14:textId="77777777" w:rsidR="00ED5B88" w:rsidRPr="00712961" w:rsidRDefault="00ED5B88" w:rsidP="00A55C9E">
      <w:pPr>
        <w:pStyle w:val="Bulletlist2"/>
      </w:pPr>
      <w:r w:rsidRPr="00712961">
        <w:t>theft</w:t>
      </w:r>
    </w:p>
    <w:p w14:paraId="51873D24" w14:textId="77777777" w:rsidR="00ED5B88" w:rsidRPr="00712961" w:rsidRDefault="00ED5B88" w:rsidP="00A55C9E">
      <w:pPr>
        <w:pStyle w:val="Bulletlist2"/>
      </w:pPr>
      <w:r w:rsidRPr="00712961">
        <w:t>bullying</w:t>
      </w:r>
    </w:p>
    <w:p w14:paraId="4C4161EC" w14:textId="77777777" w:rsidR="00ED5B88" w:rsidRPr="00712961" w:rsidRDefault="00ED5B88" w:rsidP="00A55C9E">
      <w:pPr>
        <w:pStyle w:val="Bulletlist2"/>
      </w:pPr>
      <w:r w:rsidRPr="00712961">
        <w:t>arguments</w:t>
      </w:r>
    </w:p>
    <w:p w14:paraId="03567E65" w14:textId="77777777" w:rsidR="00ED5B88" w:rsidRPr="00712961" w:rsidRDefault="00ED5B88" w:rsidP="00A55C9E">
      <w:pPr>
        <w:pStyle w:val="Bulletlist2"/>
      </w:pPr>
      <w:r w:rsidRPr="00712961">
        <w:t>violence</w:t>
      </w:r>
    </w:p>
    <w:p w14:paraId="283B8C22" w14:textId="77777777" w:rsidR="00ED5B88" w:rsidRPr="00712961" w:rsidRDefault="00ED5B88" w:rsidP="00A55C9E">
      <w:pPr>
        <w:pStyle w:val="Bulletlist2"/>
      </w:pPr>
      <w:r w:rsidRPr="00712961">
        <w:t>turnover</w:t>
      </w:r>
    </w:p>
    <w:p w14:paraId="0F7BCAF9" w14:textId="77777777" w:rsidR="00ED5B88" w:rsidRDefault="00ED5B88" w:rsidP="00A55C9E">
      <w:pPr>
        <w:pStyle w:val="Bulletlist2"/>
      </w:pPr>
      <w:r w:rsidRPr="00712961">
        <w:t>harassment</w:t>
      </w:r>
    </w:p>
    <w:p w14:paraId="1B266509" w14:textId="77777777" w:rsidR="00ED5B88" w:rsidRPr="00712961" w:rsidRDefault="00ED5B88" w:rsidP="00744058"/>
    <w:p w14:paraId="2AFED50D" w14:textId="77777777" w:rsidR="00ED5B88" w:rsidRPr="00712961" w:rsidRDefault="00ED5B88" w:rsidP="00032ABC">
      <w:pPr>
        <w:pStyle w:val="Heading2"/>
      </w:pPr>
      <w:r w:rsidRPr="00712961">
        <w:t>Implications for workplace responses</w:t>
      </w:r>
    </w:p>
    <w:p w14:paraId="0D4011D7" w14:textId="77777777" w:rsidR="00ED5B88" w:rsidRPr="00ED5B88" w:rsidRDefault="00ED5B88" w:rsidP="00A55C9E">
      <w:r w:rsidRPr="00ED5B88">
        <w:t>Identification of ‘at risk’ workforce groups</w:t>
      </w:r>
    </w:p>
    <w:p w14:paraId="6DF92ED5" w14:textId="77777777" w:rsidR="00ED5B88" w:rsidRPr="00712961" w:rsidRDefault="00ED5B88" w:rsidP="00744058"/>
    <w:p w14:paraId="0B869765" w14:textId="77777777" w:rsidR="00ED5B88" w:rsidRPr="00712961" w:rsidRDefault="00ED5B88" w:rsidP="00A55C9E">
      <w:pPr>
        <w:pStyle w:val="Bulletlist"/>
      </w:pPr>
      <w:r w:rsidRPr="00712961">
        <w:t>Industry &amp; occupational groups</w:t>
      </w:r>
    </w:p>
    <w:p w14:paraId="456AB477" w14:textId="77777777" w:rsidR="00ED5B88" w:rsidRPr="00712961" w:rsidRDefault="00ED5B88" w:rsidP="00A55C9E">
      <w:pPr>
        <w:pStyle w:val="Bulletlist2"/>
      </w:pPr>
      <w:r w:rsidRPr="00712961">
        <w:t>Hospitality industry</w:t>
      </w:r>
    </w:p>
    <w:p w14:paraId="299A0A9B" w14:textId="77777777" w:rsidR="00ED5B88" w:rsidRPr="00712961" w:rsidRDefault="00ED5B88" w:rsidP="00A55C9E">
      <w:pPr>
        <w:pStyle w:val="Bulletlist2"/>
      </w:pPr>
      <w:r w:rsidRPr="00712961">
        <w:t>Tradespersons</w:t>
      </w:r>
    </w:p>
    <w:p w14:paraId="159599D4" w14:textId="77777777" w:rsidR="00ED5B88" w:rsidRPr="00712961" w:rsidRDefault="00ED5B88" w:rsidP="00744058"/>
    <w:p w14:paraId="273B125D" w14:textId="77777777" w:rsidR="00ED5B88" w:rsidRPr="00712961" w:rsidRDefault="00ED5B88" w:rsidP="00A55C9E">
      <w:pPr>
        <w:pStyle w:val="Bulletlist"/>
      </w:pPr>
      <w:r w:rsidRPr="00712961">
        <w:t>Gender groups</w:t>
      </w:r>
    </w:p>
    <w:p w14:paraId="203C440B" w14:textId="77777777" w:rsidR="00ED5B88" w:rsidRPr="00712961" w:rsidRDefault="00ED5B88" w:rsidP="00A55C9E">
      <w:pPr>
        <w:pStyle w:val="Bulletlist2"/>
      </w:pPr>
      <w:r w:rsidRPr="00712961">
        <w:t>Males in general</w:t>
      </w:r>
    </w:p>
    <w:p w14:paraId="430B0DB2" w14:textId="77777777" w:rsidR="00ED5B88" w:rsidRPr="00712961" w:rsidRDefault="00ED5B88" w:rsidP="00A55C9E">
      <w:pPr>
        <w:pStyle w:val="Bulletlist2"/>
      </w:pPr>
      <w:r w:rsidRPr="00712961">
        <w:t xml:space="preserve">Female supervisors, managers &amp; hospitality industry workers </w:t>
      </w:r>
    </w:p>
    <w:p w14:paraId="1A194C3E" w14:textId="77777777" w:rsidR="00ED5B88" w:rsidRPr="00712961" w:rsidRDefault="00ED5B88" w:rsidP="00744058"/>
    <w:p w14:paraId="578EB38C" w14:textId="77777777" w:rsidR="00ED5B88" w:rsidRPr="00712961" w:rsidRDefault="00ED5B88" w:rsidP="00A55C9E">
      <w:pPr>
        <w:pStyle w:val="Bulletlist"/>
      </w:pPr>
      <w:r w:rsidRPr="00712961">
        <w:t>Young workers</w:t>
      </w:r>
    </w:p>
    <w:p w14:paraId="188AF793" w14:textId="77777777" w:rsidR="00ED5B88" w:rsidRPr="00712961" w:rsidRDefault="00ED5B88" w:rsidP="00744058"/>
    <w:p w14:paraId="26488398" w14:textId="77777777" w:rsidR="00ED5B88" w:rsidRPr="00712961" w:rsidRDefault="00ED5B88" w:rsidP="00744058"/>
    <w:p w14:paraId="46ED12BE" w14:textId="77777777" w:rsidR="00ED5B88" w:rsidRPr="00ED5B88" w:rsidRDefault="00ED5B88" w:rsidP="00450166">
      <w:pPr>
        <w:pStyle w:val="Heading1"/>
      </w:pPr>
      <w:r w:rsidRPr="00ED5B88">
        <w:t>The type of drug</w:t>
      </w:r>
    </w:p>
    <w:p w14:paraId="0FF4E987" w14:textId="77777777" w:rsidR="00ED5B88" w:rsidRPr="00712961" w:rsidRDefault="00ED5B88" w:rsidP="00744058"/>
    <w:p w14:paraId="41AFA61A" w14:textId="77777777" w:rsidR="00ED5B88" w:rsidRPr="00712961" w:rsidRDefault="00ED5B88" w:rsidP="00744058">
      <w:r w:rsidRPr="00712961">
        <w:t xml:space="preserve">Much of the risk to workplace safety &amp; productivity is likely to come from alcohol use </w:t>
      </w:r>
      <w:r w:rsidRPr="00ED5B88">
        <w:rPr>
          <w:bCs/>
          <w:u w:val="single"/>
        </w:rPr>
        <w:t>not</w:t>
      </w:r>
      <w:r w:rsidRPr="00712961">
        <w:t xml:space="preserve"> illicit drug use</w:t>
      </w:r>
    </w:p>
    <w:p w14:paraId="0A8406EB" w14:textId="77777777" w:rsidR="00ED5B88" w:rsidRPr="00712961" w:rsidRDefault="00ED5B88" w:rsidP="00744058"/>
    <w:p w14:paraId="060A2630" w14:textId="77777777" w:rsidR="00ED5B88" w:rsidRPr="00A55C9E" w:rsidRDefault="00ED5B88" w:rsidP="00450166">
      <w:pPr>
        <w:pStyle w:val="Heading2"/>
      </w:pPr>
      <w:r w:rsidRPr="00A55C9E">
        <w:t>Alcohol</w:t>
      </w:r>
    </w:p>
    <w:p w14:paraId="4E67B77C" w14:textId="77777777" w:rsidR="00ED5B88" w:rsidRPr="00712961" w:rsidRDefault="00ED5B88" w:rsidP="00744058"/>
    <w:p w14:paraId="7BF6E4CA" w14:textId="77777777" w:rsidR="00ED5B88" w:rsidRPr="00712961" w:rsidRDefault="00ED5B88" w:rsidP="00A55C9E">
      <w:pPr>
        <w:pStyle w:val="Bulletlist"/>
      </w:pPr>
      <w:r w:rsidRPr="00712961">
        <w:rPr>
          <w:bCs/>
        </w:rPr>
        <w:t xml:space="preserve"> </w:t>
      </w:r>
      <w:r w:rsidRPr="00712961">
        <w:t>89.4% use</w:t>
      </w:r>
    </w:p>
    <w:p w14:paraId="49B403EE" w14:textId="77777777" w:rsidR="00ED5B88" w:rsidRPr="00712961" w:rsidRDefault="00ED5B88" w:rsidP="00A55C9E">
      <w:pPr>
        <w:pStyle w:val="Bulletlist"/>
      </w:pPr>
      <w:r w:rsidRPr="00712961">
        <w:t xml:space="preserve"> 43% short-term harm</w:t>
      </w:r>
    </w:p>
    <w:p w14:paraId="1A07A6B1" w14:textId="77777777" w:rsidR="00ED5B88" w:rsidRPr="00712961" w:rsidRDefault="00ED5B88" w:rsidP="00A55C9E">
      <w:pPr>
        <w:pStyle w:val="Bulletlist2"/>
      </w:pPr>
      <w:r w:rsidRPr="00712961">
        <w:t>17% monthly</w:t>
      </w:r>
    </w:p>
    <w:p w14:paraId="329296FD" w14:textId="77777777" w:rsidR="00ED5B88" w:rsidRPr="00712961" w:rsidRDefault="00ED5B88" w:rsidP="00A55C9E">
      <w:pPr>
        <w:pStyle w:val="Bulletlist2"/>
      </w:pPr>
      <w:r w:rsidRPr="00712961">
        <w:t>8% weekly</w:t>
      </w:r>
    </w:p>
    <w:p w14:paraId="3CB734B6" w14:textId="77777777" w:rsidR="00ED5B88" w:rsidRPr="00712961" w:rsidRDefault="00ED5B88" w:rsidP="00A55C9E">
      <w:pPr>
        <w:pStyle w:val="Bulletlist"/>
      </w:pPr>
      <w:r w:rsidRPr="00712961">
        <w:t xml:space="preserve"> 11% long-term harm</w:t>
      </w:r>
    </w:p>
    <w:p w14:paraId="5B6E0AEC" w14:textId="77777777" w:rsidR="00ED5B88" w:rsidRPr="00712961" w:rsidRDefault="00ED5B88" w:rsidP="00A55C9E">
      <w:pPr>
        <w:pStyle w:val="Bulletlist"/>
      </w:pPr>
      <w:r w:rsidRPr="00712961">
        <w:t>5.9% worked under influence of alcohol</w:t>
      </w:r>
    </w:p>
    <w:p w14:paraId="27A5F3A6" w14:textId="77777777" w:rsidR="00ED5B88" w:rsidRPr="00712961" w:rsidRDefault="00A55C9E" w:rsidP="00A55C9E">
      <w:pPr>
        <w:pStyle w:val="Bulletlist"/>
      </w:pPr>
      <w:r>
        <w:t xml:space="preserve">3.9% absent due to </w:t>
      </w:r>
      <w:r w:rsidR="00ED5B88" w:rsidRPr="00712961">
        <w:t>alcohol use</w:t>
      </w:r>
    </w:p>
    <w:p w14:paraId="24810112" w14:textId="77777777" w:rsidR="00ED5B88" w:rsidRPr="00712961" w:rsidRDefault="00ED5B88" w:rsidP="00A55C9E">
      <w:pPr>
        <w:pStyle w:val="Bulletlist"/>
      </w:pPr>
      <w:r w:rsidRPr="00712961">
        <w:t>Cost of alcohol-related absenteeism $437M-$1.2B (2001)</w:t>
      </w:r>
    </w:p>
    <w:p w14:paraId="0412DA3F" w14:textId="77777777" w:rsidR="00ED5B88" w:rsidRPr="00712961" w:rsidRDefault="00ED5B88" w:rsidP="00744058"/>
    <w:p w14:paraId="624B5A08" w14:textId="77777777" w:rsidR="00ED5B88" w:rsidRPr="00ED5B88" w:rsidRDefault="00ED5B88" w:rsidP="00450166">
      <w:pPr>
        <w:pStyle w:val="Heading2"/>
      </w:pPr>
      <w:r w:rsidRPr="00ED5B88">
        <w:t>Illicit Drugs</w:t>
      </w:r>
    </w:p>
    <w:p w14:paraId="7FC9D91E" w14:textId="77777777" w:rsidR="00ED5B88" w:rsidRPr="00712961" w:rsidRDefault="00ED5B88" w:rsidP="00744058"/>
    <w:p w14:paraId="7D9B4988" w14:textId="77777777" w:rsidR="00ED5B88" w:rsidRPr="00712961" w:rsidRDefault="00ED5B88" w:rsidP="00A55C9E">
      <w:pPr>
        <w:pStyle w:val="Bulletlist"/>
      </w:pPr>
      <w:r w:rsidRPr="00712961">
        <w:rPr>
          <w:bCs/>
        </w:rPr>
        <w:t xml:space="preserve"> </w:t>
      </w:r>
      <w:r w:rsidRPr="00712961">
        <w:t>17.3% use (last 12 mths)</w:t>
      </w:r>
    </w:p>
    <w:p w14:paraId="4960ED80" w14:textId="77777777" w:rsidR="00ED5B88" w:rsidRPr="00712961" w:rsidRDefault="00ED5B88" w:rsidP="00A55C9E">
      <w:pPr>
        <w:pStyle w:val="Bulletlist"/>
      </w:pPr>
      <w:r w:rsidRPr="00712961">
        <w:t xml:space="preserve"> 10.4 % use (last mth)</w:t>
      </w:r>
    </w:p>
    <w:p w14:paraId="26843486" w14:textId="77777777" w:rsidR="00ED5B88" w:rsidRPr="00712961" w:rsidRDefault="00ED5B88" w:rsidP="00A55C9E">
      <w:pPr>
        <w:pStyle w:val="Bulletlist2"/>
      </w:pPr>
      <w:r w:rsidRPr="00712961">
        <w:rPr>
          <w:bCs/>
        </w:rPr>
        <w:t xml:space="preserve"> </w:t>
      </w:r>
      <w:r w:rsidRPr="00712961">
        <w:t>13.5% cannabis</w:t>
      </w:r>
    </w:p>
    <w:p w14:paraId="38DFB72C" w14:textId="77777777" w:rsidR="00ED5B88" w:rsidRPr="00712961" w:rsidRDefault="00ED5B88" w:rsidP="00A55C9E">
      <w:pPr>
        <w:pStyle w:val="Bulletlist2"/>
      </w:pPr>
      <w:r w:rsidRPr="00712961">
        <w:t xml:space="preserve"> 4.4% ecstasy</w:t>
      </w:r>
    </w:p>
    <w:p w14:paraId="7982D930" w14:textId="77777777" w:rsidR="00ED5B88" w:rsidRPr="00712961" w:rsidRDefault="00ED5B88" w:rsidP="00A55C9E">
      <w:pPr>
        <w:pStyle w:val="Bulletlist2"/>
      </w:pPr>
      <w:r w:rsidRPr="00712961">
        <w:t xml:space="preserve"> 3.9% amphetamines</w:t>
      </w:r>
    </w:p>
    <w:p w14:paraId="2BD30E36" w14:textId="77777777" w:rsidR="00ED5B88" w:rsidRPr="00712961" w:rsidRDefault="00ED5B88" w:rsidP="00A55C9E">
      <w:pPr>
        <w:pStyle w:val="Bulletlist2"/>
      </w:pPr>
      <w:r w:rsidRPr="00712961">
        <w:t xml:space="preserve"> &lt; 3% other drugs</w:t>
      </w:r>
    </w:p>
    <w:p w14:paraId="5AD4E630" w14:textId="77777777" w:rsidR="00ED5B88" w:rsidRPr="00712961" w:rsidRDefault="00ED5B88" w:rsidP="00A55C9E">
      <w:pPr>
        <w:pStyle w:val="Bulletlist"/>
      </w:pPr>
      <w:r w:rsidRPr="00712961">
        <w:t xml:space="preserve"> 2.5% worked under</w:t>
      </w:r>
      <w:r>
        <w:t xml:space="preserve"> </w:t>
      </w:r>
      <w:r w:rsidRPr="00712961">
        <w:t>influence of drugs</w:t>
      </w:r>
    </w:p>
    <w:p w14:paraId="348F9E99" w14:textId="77777777" w:rsidR="00ED5B88" w:rsidRPr="00712961" w:rsidRDefault="00ED5B88" w:rsidP="00A55C9E">
      <w:pPr>
        <w:pStyle w:val="Bulletlist"/>
      </w:pPr>
      <w:r w:rsidRPr="00712961">
        <w:t xml:space="preserve"> 1.0% absent due to</w:t>
      </w:r>
      <w:r>
        <w:t xml:space="preserve"> </w:t>
      </w:r>
      <w:r w:rsidRPr="00712961">
        <w:t xml:space="preserve">drug use </w:t>
      </w:r>
    </w:p>
    <w:p w14:paraId="04C42149" w14:textId="77777777" w:rsidR="00ED5B88" w:rsidRPr="00712961" w:rsidRDefault="00ED5B88" w:rsidP="00A55C9E">
      <w:pPr>
        <w:pStyle w:val="Bulletlist"/>
      </w:pPr>
      <w:r w:rsidRPr="00712961">
        <w:t>Cost of drug-related absenteeism $213-$503M (2004)</w:t>
      </w:r>
    </w:p>
    <w:p w14:paraId="733DAEDB" w14:textId="77777777" w:rsidR="00ED5B88" w:rsidRPr="00712961" w:rsidRDefault="00ED5B88" w:rsidP="00744058"/>
    <w:p w14:paraId="2069F063" w14:textId="77777777" w:rsidR="00ED5B88" w:rsidRDefault="00ED5B88" w:rsidP="00450166">
      <w:pPr>
        <w:pStyle w:val="Heading2"/>
      </w:pPr>
      <w:r w:rsidRPr="00712961">
        <w:t>Alcohol-related absenteeism (2001)</w:t>
      </w:r>
    </w:p>
    <w:p w14:paraId="1B37BDF0" w14:textId="77777777" w:rsidR="00032ABC" w:rsidRPr="00032ABC" w:rsidRDefault="00032ABC" w:rsidP="00032ABC">
      <w:pPr>
        <w:rPr>
          <w:lang w:val="en-US" w:eastAsia="en-US"/>
        </w:rPr>
      </w:pPr>
    </w:p>
    <w:p w14:paraId="447E6DF7" w14:textId="77777777" w:rsidR="00ED5B88" w:rsidRPr="00712961" w:rsidRDefault="00ED5B88" w:rsidP="00A55C9E">
      <w:pPr>
        <w:pStyle w:val="Bulletlist"/>
      </w:pPr>
      <w:r w:rsidRPr="00712961">
        <w:t>(long term risk consumption)</w:t>
      </w:r>
    </w:p>
    <w:p w14:paraId="414D6509" w14:textId="77777777" w:rsidR="00ED5B88" w:rsidRPr="00712961" w:rsidRDefault="00ED5B88" w:rsidP="00744058"/>
    <w:tbl>
      <w:tblPr>
        <w:tblW w:w="69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64"/>
        <w:gridCol w:w="1881"/>
        <w:gridCol w:w="1670"/>
        <w:gridCol w:w="1460"/>
      </w:tblGrid>
      <w:tr w:rsidR="00ED5B88" w:rsidRPr="00712961" w14:paraId="30E8CA10" w14:textId="77777777" w:rsidTr="0054524A">
        <w:trPr>
          <w:trHeight w:val="555"/>
          <w:tblCellSpacing w:w="0" w:type="dxa"/>
        </w:trPr>
        <w:tc>
          <w:tcPr>
            <w:tcW w:w="1964" w:type="dxa"/>
            <w:vAlign w:val="center"/>
          </w:tcPr>
          <w:p w14:paraId="5129EEF9" w14:textId="77777777" w:rsidR="00ED5B88" w:rsidRPr="00712961" w:rsidRDefault="00ED5B88" w:rsidP="0054524A">
            <w:pPr>
              <w:jc w:val="center"/>
            </w:pPr>
          </w:p>
        </w:tc>
        <w:tc>
          <w:tcPr>
            <w:tcW w:w="1881" w:type="dxa"/>
            <w:vAlign w:val="center"/>
          </w:tcPr>
          <w:p w14:paraId="50C1A517" w14:textId="77777777" w:rsidR="00ED5B88" w:rsidRPr="00712961" w:rsidRDefault="00ED5B88" w:rsidP="0054524A">
            <w:pPr>
              <w:jc w:val="center"/>
            </w:pPr>
            <w:r w:rsidRPr="00ED5B88">
              <w:t>No of workers</w:t>
            </w:r>
          </w:p>
        </w:tc>
        <w:tc>
          <w:tcPr>
            <w:tcW w:w="1670" w:type="dxa"/>
            <w:vAlign w:val="center"/>
          </w:tcPr>
          <w:p w14:paraId="2FE74D01" w14:textId="77777777" w:rsidR="00ED5B88" w:rsidRPr="00712961" w:rsidRDefault="00ED5B88" w:rsidP="0054524A">
            <w:pPr>
              <w:jc w:val="center"/>
            </w:pPr>
            <w:r w:rsidRPr="00ED5B88">
              <w:t>days off</w:t>
            </w:r>
          </w:p>
        </w:tc>
        <w:tc>
          <w:tcPr>
            <w:tcW w:w="1460" w:type="dxa"/>
            <w:vAlign w:val="center"/>
          </w:tcPr>
          <w:p w14:paraId="5781FD8C" w14:textId="77777777" w:rsidR="00ED5B88" w:rsidRPr="00712961" w:rsidRDefault="00ED5B88" w:rsidP="0054524A">
            <w:pPr>
              <w:jc w:val="center"/>
            </w:pPr>
            <w:r w:rsidRPr="00ED5B88">
              <w:t>%</w:t>
            </w:r>
          </w:p>
        </w:tc>
      </w:tr>
      <w:tr w:rsidR="00ED5B88" w:rsidRPr="00712961" w14:paraId="7942FB36" w14:textId="77777777" w:rsidTr="0054524A">
        <w:trPr>
          <w:trHeight w:val="555"/>
          <w:tblCellSpacing w:w="0" w:type="dxa"/>
        </w:trPr>
        <w:tc>
          <w:tcPr>
            <w:tcW w:w="1964" w:type="dxa"/>
            <w:vAlign w:val="center"/>
          </w:tcPr>
          <w:p w14:paraId="6D9C985C" w14:textId="77777777" w:rsidR="00ED5B88" w:rsidRPr="00712961" w:rsidRDefault="00ED5B88" w:rsidP="0054524A">
            <w:pPr>
              <w:jc w:val="center"/>
            </w:pPr>
            <w:r w:rsidRPr="00712961">
              <w:t>High risk drinkers</w:t>
            </w:r>
          </w:p>
        </w:tc>
        <w:tc>
          <w:tcPr>
            <w:tcW w:w="1881" w:type="dxa"/>
            <w:vAlign w:val="center"/>
          </w:tcPr>
          <w:p w14:paraId="2B8DE561" w14:textId="77777777" w:rsidR="00ED5B88" w:rsidRPr="00ED5B88" w:rsidRDefault="00ED5B88" w:rsidP="0054524A">
            <w:pPr>
              <w:jc w:val="center"/>
            </w:pPr>
            <w:r w:rsidRPr="00ED5B88">
              <w:t>220,000</w:t>
            </w:r>
          </w:p>
        </w:tc>
        <w:tc>
          <w:tcPr>
            <w:tcW w:w="1670" w:type="dxa"/>
            <w:vAlign w:val="center"/>
          </w:tcPr>
          <w:p w14:paraId="7DA579B3" w14:textId="77777777" w:rsidR="00ED5B88" w:rsidRPr="00ED5B88" w:rsidRDefault="00ED5B88" w:rsidP="0054524A">
            <w:pPr>
              <w:jc w:val="center"/>
            </w:pPr>
            <w:r w:rsidRPr="00ED5B88">
              <w:t>563,000</w:t>
            </w:r>
          </w:p>
        </w:tc>
        <w:tc>
          <w:tcPr>
            <w:tcW w:w="1460" w:type="dxa"/>
            <w:vAlign w:val="center"/>
          </w:tcPr>
          <w:p w14:paraId="503AC276" w14:textId="77777777" w:rsidR="00ED5B88" w:rsidRPr="00ED5B88" w:rsidRDefault="00ED5B88" w:rsidP="0054524A">
            <w:pPr>
              <w:jc w:val="center"/>
            </w:pPr>
            <w:r w:rsidRPr="00ED5B88">
              <w:t>21%</w:t>
            </w:r>
          </w:p>
        </w:tc>
      </w:tr>
      <w:tr w:rsidR="00ED5B88" w:rsidRPr="00712961" w14:paraId="6114A026" w14:textId="77777777" w:rsidTr="0054524A">
        <w:trPr>
          <w:trHeight w:val="555"/>
          <w:tblCellSpacing w:w="0" w:type="dxa"/>
        </w:trPr>
        <w:tc>
          <w:tcPr>
            <w:tcW w:w="1964" w:type="dxa"/>
            <w:vAlign w:val="center"/>
          </w:tcPr>
          <w:p w14:paraId="19AC385C" w14:textId="77777777" w:rsidR="00ED5B88" w:rsidRPr="00712961" w:rsidRDefault="00ED5B88" w:rsidP="0054524A">
            <w:pPr>
              <w:jc w:val="center"/>
            </w:pPr>
            <w:r w:rsidRPr="00712961">
              <w:t>Risky drinkers</w:t>
            </w:r>
          </w:p>
        </w:tc>
        <w:tc>
          <w:tcPr>
            <w:tcW w:w="1881" w:type="dxa"/>
            <w:vAlign w:val="center"/>
          </w:tcPr>
          <w:p w14:paraId="7EFAF111" w14:textId="77777777" w:rsidR="00ED5B88" w:rsidRPr="00ED5B88" w:rsidRDefault="00ED5B88" w:rsidP="0054524A">
            <w:pPr>
              <w:jc w:val="center"/>
            </w:pPr>
            <w:r w:rsidRPr="00ED5B88">
              <w:t>629,000</w:t>
            </w:r>
          </w:p>
        </w:tc>
        <w:tc>
          <w:tcPr>
            <w:tcW w:w="1670" w:type="dxa"/>
            <w:vAlign w:val="center"/>
          </w:tcPr>
          <w:p w14:paraId="7BFF1C99" w14:textId="77777777" w:rsidR="00ED5B88" w:rsidRPr="00ED5B88" w:rsidRDefault="00ED5B88" w:rsidP="0054524A">
            <w:pPr>
              <w:jc w:val="center"/>
            </w:pPr>
            <w:r w:rsidRPr="00ED5B88">
              <w:t>816,000</w:t>
            </w:r>
          </w:p>
        </w:tc>
        <w:tc>
          <w:tcPr>
            <w:tcW w:w="1460" w:type="dxa"/>
            <w:vAlign w:val="center"/>
          </w:tcPr>
          <w:p w14:paraId="04F90A81" w14:textId="77777777" w:rsidR="00ED5B88" w:rsidRPr="00ED5B88" w:rsidRDefault="00ED5B88" w:rsidP="0054524A">
            <w:pPr>
              <w:jc w:val="center"/>
            </w:pPr>
            <w:r w:rsidRPr="00ED5B88">
              <w:t>30%</w:t>
            </w:r>
          </w:p>
        </w:tc>
      </w:tr>
      <w:tr w:rsidR="00ED5B88" w:rsidRPr="00712961" w14:paraId="40AA6A2A" w14:textId="77777777" w:rsidTr="0054524A">
        <w:trPr>
          <w:trHeight w:val="555"/>
          <w:tblCellSpacing w:w="0" w:type="dxa"/>
        </w:trPr>
        <w:tc>
          <w:tcPr>
            <w:tcW w:w="1964" w:type="dxa"/>
            <w:vAlign w:val="center"/>
          </w:tcPr>
          <w:p w14:paraId="6F50AEDD" w14:textId="77777777" w:rsidR="00ED5B88" w:rsidRPr="00712961" w:rsidRDefault="00ED5B88" w:rsidP="0054524A">
            <w:pPr>
              <w:jc w:val="center"/>
            </w:pPr>
            <w:r w:rsidRPr="00712961">
              <w:t>Low risk drinkers</w:t>
            </w:r>
          </w:p>
        </w:tc>
        <w:tc>
          <w:tcPr>
            <w:tcW w:w="1881" w:type="dxa"/>
            <w:vAlign w:val="center"/>
          </w:tcPr>
          <w:p w14:paraId="0551450E" w14:textId="77777777" w:rsidR="00ED5B88" w:rsidRPr="00ED5B88" w:rsidRDefault="00ED5B88" w:rsidP="0054524A">
            <w:pPr>
              <w:jc w:val="center"/>
            </w:pPr>
            <w:r w:rsidRPr="00ED5B88">
              <w:t>5,798,000</w:t>
            </w:r>
          </w:p>
        </w:tc>
        <w:tc>
          <w:tcPr>
            <w:tcW w:w="1670" w:type="dxa"/>
            <w:vAlign w:val="center"/>
          </w:tcPr>
          <w:p w14:paraId="19D2EBCD" w14:textId="77777777" w:rsidR="00ED5B88" w:rsidRPr="00ED5B88" w:rsidRDefault="00ED5B88" w:rsidP="0054524A">
            <w:pPr>
              <w:jc w:val="center"/>
            </w:pPr>
            <w:r w:rsidRPr="00ED5B88">
              <w:t>1,304,000</w:t>
            </w:r>
          </w:p>
        </w:tc>
        <w:tc>
          <w:tcPr>
            <w:tcW w:w="1460" w:type="dxa"/>
            <w:vAlign w:val="center"/>
          </w:tcPr>
          <w:p w14:paraId="4BACD669" w14:textId="77777777" w:rsidR="00ED5B88" w:rsidRPr="00ED5B88" w:rsidRDefault="00ED5B88" w:rsidP="0054524A">
            <w:pPr>
              <w:jc w:val="center"/>
            </w:pPr>
            <w:r w:rsidRPr="00ED5B88">
              <w:t>49%</w:t>
            </w:r>
          </w:p>
        </w:tc>
      </w:tr>
    </w:tbl>
    <w:p w14:paraId="64B795F0" w14:textId="77777777" w:rsidR="00ED5B88" w:rsidRPr="00712961" w:rsidRDefault="00ED5B88" w:rsidP="0054524A">
      <w:pPr>
        <w:jc w:val="center"/>
      </w:pPr>
    </w:p>
    <w:p w14:paraId="71FFF95E" w14:textId="77777777" w:rsidR="00ED5B88" w:rsidRPr="00712961" w:rsidRDefault="00ED5B88" w:rsidP="00450166">
      <w:pPr>
        <w:pStyle w:val="Bulletlist"/>
      </w:pPr>
      <w:r w:rsidRPr="00712961">
        <w:t>High risk (heavy) drinkers  = av 2.6 days off</w:t>
      </w:r>
    </w:p>
    <w:p w14:paraId="040E7B8B" w14:textId="77777777" w:rsidR="00ED5B88" w:rsidRPr="00712961" w:rsidRDefault="00ED5B88" w:rsidP="00450166">
      <w:pPr>
        <w:pStyle w:val="Bulletlist2"/>
      </w:pPr>
      <w:r w:rsidRPr="00712961">
        <w:t xml:space="preserve">Only 220,000 regular heavy drinkers </w:t>
      </w:r>
    </w:p>
    <w:p w14:paraId="3AA648A8" w14:textId="77777777" w:rsidR="00ED5B88" w:rsidRPr="00712961" w:rsidRDefault="00ED5B88" w:rsidP="00450166">
      <w:pPr>
        <w:pStyle w:val="Bulletlist"/>
      </w:pPr>
      <w:r w:rsidRPr="00712961">
        <w:t>Low risk (light) drinkers = av 0.25 days off</w:t>
      </w:r>
    </w:p>
    <w:p w14:paraId="183E219C" w14:textId="77777777" w:rsidR="00ED5B88" w:rsidRPr="00712961" w:rsidRDefault="00ED5B88" w:rsidP="00450166">
      <w:pPr>
        <w:pStyle w:val="Bulletlist2"/>
      </w:pPr>
      <w:r w:rsidRPr="00712961">
        <w:t>5.8 Million regular light drinkers !</w:t>
      </w:r>
    </w:p>
    <w:p w14:paraId="229C2994" w14:textId="77777777" w:rsidR="00ED5B88" w:rsidRPr="00712961" w:rsidRDefault="00ED5B88" w:rsidP="00744058"/>
    <w:p w14:paraId="5BF3C651" w14:textId="77777777" w:rsidR="00ED5B88" w:rsidRPr="00450166" w:rsidRDefault="00ED5B88" w:rsidP="00450166">
      <w:pPr>
        <w:pStyle w:val="Heading1"/>
      </w:pPr>
      <w:r w:rsidRPr="00450166">
        <w:t>Essential components of an effective response</w:t>
      </w:r>
    </w:p>
    <w:p w14:paraId="320BEA11" w14:textId="77777777" w:rsidR="00ED5B88" w:rsidRPr="00712961" w:rsidRDefault="00ED5B88" w:rsidP="00450166">
      <w:pPr>
        <w:pStyle w:val="Heading1"/>
      </w:pPr>
      <w:r w:rsidRPr="00712961">
        <w:t>The importance of good communication</w:t>
      </w:r>
    </w:p>
    <w:p w14:paraId="0E1F6373" w14:textId="77777777" w:rsidR="00ED5B88" w:rsidRPr="00712961" w:rsidRDefault="00ED5B88" w:rsidP="00744058"/>
    <w:p w14:paraId="6536DB03" w14:textId="77777777" w:rsidR="00ED5B88" w:rsidRPr="00712961" w:rsidRDefault="00ED5B88" w:rsidP="00450166">
      <w:pPr>
        <w:pStyle w:val="Heading2"/>
      </w:pPr>
      <w:r w:rsidRPr="00ED5B88">
        <w:t>Essential components of an effective response</w:t>
      </w:r>
    </w:p>
    <w:p w14:paraId="047CF0B0" w14:textId="77777777" w:rsidR="00ED5B88" w:rsidRPr="00712961" w:rsidRDefault="00ED5B88" w:rsidP="00744058"/>
    <w:p w14:paraId="482A474F" w14:textId="77777777" w:rsidR="00ED5B88" w:rsidRPr="00712961" w:rsidRDefault="00ED5B88" w:rsidP="00450166">
      <w:pPr>
        <w:pStyle w:val="Numbers"/>
      </w:pPr>
      <w:r w:rsidRPr="00712961">
        <w:t>A formal written alcohol &amp; drug policy</w:t>
      </w:r>
    </w:p>
    <w:p w14:paraId="18FE8475" w14:textId="77777777" w:rsidR="00ED5B88" w:rsidRPr="00712961" w:rsidRDefault="00ED5B88" w:rsidP="00744058">
      <w:pPr>
        <w:rPr>
          <w:lang w:val="en-US"/>
        </w:rPr>
      </w:pPr>
    </w:p>
    <w:p w14:paraId="772C3F69" w14:textId="77777777" w:rsidR="00ED5B88" w:rsidRPr="00712961" w:rsidRDefault="00ED5B88" w:rsidP="00450166">
      <w:pPr>
        <w:pStyle w:val="Bulletlist"/>
        <w:rPr>
          <w:lang w:val="en-US"/>
        </w:rPr>
      </w:pPr>
      <w:r w:rsidRPr="00712961">
        <w:rPr>
          <w:lang w:val="en-US"/>
        </w:rPr>
        <w:lastRenderedPageBreak/>
        <w:t>Effectiveness of the policy development &amp; implementation depend on:</w:t>
      </w:r>
    </w:p>
    <w:p w14:paraId="7789A736" w14:textId="77777777" w:rsidR="00ED5B88" w:rsidRPr="00712961" w:rsidRDefault="00ED5B88" w:rsidP="00450166">
      <w:pPr>
        <w:pStyle w:val="Bulletlist2"/>
      </w:pPr>
      <w:r w:rsidRPr="00712961">
        <w:rPr>
          <w:lang w:val="en-US"/>
        </w:rPr>
        <w:t>consultation</w:t>
      </w:r>
      <w:r w:rsidRPr="00712961">
        <w:t xml:space="preserve"> </w:t>
      </w:r>
    </w:p>
    <w:p w14:paraId="76E0BD6C" w14:textId="77777777" w:rsidR="00ED5B88" w:rsidRPr="00712961" w:rsidRDefault="00ED5B88" w:rsidP="00450166">
      <w:pPr>
        <w:pStyle w:val="Bulletlist2"/>
        <w:rPr>
          <w:lang w:val="en-US"/>
        </w:rPr>
      </w:pPr>
      <w:r w:rsidRPr="00712961">
        <w:rPr>
          <w:lang w:val="en-US"/>
        </w:rPr>
        <w:t>feasibility study and risk assessment</w:t>
      </w:r>
    </w:p>
    <w:p w14:paraId="26CFCD59" w14:textId="77777777" w:rsidR="00ED5B88" w:rsidRDefault="00ED5B88" w:rsidP="00450166">
      <w:pPr>
        <w:pStyle w:val="Bulletlist2"/>
        <w:rPr>
          <w:lang w:val="en-US"/>
        </w:rPr>
      </w:pPr>
      <w:r w:rsidRPr="00712961">
        <w:rPr>
          <w:lang w:val="en-US"/>
        </w:rPr>
        <w:t>comprehensivenes</w:t>
      </w:r>
      <w:r>
        <w:rPr>
          <w:lang w:val="en-US"/>
        </w:rPr>
        <w:t>s</w:t>
      </w:r>
    </w:p>
    <w:p w14:paraId="0D05A594" w14:textId="77777777" w:rsidR="00ED5B88" w:rsidRPr="00712961" w:rsidRDefault="00ED5B88" w:rsidP="00450166">
      <w:pPr>
        <w:pStyle w:val="Bulletlist2"/>
        <w:rPr>
          <w:lang w:val="en-US"/>
        </w:rPr>
      </w:pPr>
      <w:r w:rsidRPr="00712961">
        <w:rPr>
          <w:lang w:val="en-US"/>
        </w:rPr>
        <w:t xml:space="preserve">dissemination </w:t>
      </w:r>
    </w:p>
    <w:p w14:paraId="2CADD4DE" w14:textId="77777777" w:rsidR="00ED5B88" w:rsidRPr="00712961" w:rsidRDefault="00ED5B88" w:rsidP="00450166">
      <w:pPr>
        <w:pStyle w:val="Bulletlist2"/>
      </w:pPr>
      <w:r w:rsidRPr="00712961">
        <w:rPr>
          <w:lang w:val="en-US"/>
        </w:rPr>
        <w:t xml:space="preserve">on-going implementation/evaluation process </w:t>
      </w:r>
    </w:p>
    <w:p w14:paraId="23CC01AC" w14:textId="77777777" w:rsidR="00ED5B88" w:rsidRPr="00712961" w:rsidRDefault="00ED5B88" w:rsidP="00744058"/>
    <w:p w14:paraId="6468DFBA" w14:textId="77777777" w:rsidR="00ED5B88" w:rsidRPr="00712961" w:rsidRDefault="00ED5B88" w:rsidP="00450166">
      <w:pPr>
        <w:pStyle w:val="Numbers"/>
      </w:pPr>
      <w:r w:rsidRPr="00712961">
        <w:t>Education</w:t>
      </w:r>
    </w:p>
    <w:p w14:paraId="265BBDE9" w14:textId="77777777" w:rsidR="00ED5B88" w:rsidRPr="00712961" w:rsidRDefault="00ED5B88" w:rsidP="00744058"/>
    <w:p w14:paraId="2891573B" w14:textId="77777777" w:rsidR="00ED5B88" w:rsidRPr="00712961" w:rsidRDefault="00ED5B88" w:rsidP="00450166">
      <w:pPr>
        <w:pStyle w:val="Bulletlist"/>
      </w:pPr>
      <w:r w:rsidRPr="00712961">
        <w:t xml:space="preserve">Essential for effective policy dissemination &amp; acceptance </w:t>
      </w:r>
    </w:p>
    <w:p w14:paraId="6ACC4620" w14:textId="77777777" w:rsidR="00ED5B88" w:rsidRPr="00712961" w:rsidRDefault="00ED5B88" w:rsidP="00450166">
      <w:pPr>
        <w:pStyle w:val="Bulletlist"/>
      </w:pPr>
      <w:r w:rsidRPr="00712961">
        <w:t>Helps prevent alcohol &amp; drug problems in the workplace</w:t>
      </w:r>
    </w:p>
    <w:p w14:paraId="39AB35B5" w14:textId="77777777" w:rsidR="00ED5B88" w:rsidRPr="00712961" w:rsidRDefault="00ED5B88" w:rsidP="00450166">
      <w:pPr>
        <w:pStyle w:val="Bulletlist"/>
      </w:pPr>
      <w:r w:rsidRPr="00712961">
        <w:t>Should</w:t>
      </w:r>
      <w:r w:rsidR="00450166">
        <w:t>:</w:t>
      </w:r>
    </w:p>
    <w:p w14:paraId="783832CC" w14:textId="77777777" w:rsidR="00ED5B88" w:rsidRPr="00712961" w:rsidRDefault="00ED5B88" w:rsidP="00450166">
      <w:pPr>
        <w:pStyle w:val="Bulletlist2"/>
      </w:pPr>
      <w:r w:rsidRPr="00712961">
        <w:t>Include an explanation of how the policy operates</w:t>
      </w:r>
    </w:p>
    <w:p w14:paraId="1F01B858" w14:textId="77777777" w:rsidR="00ED5B88" w:rsidRPr="00712961" w:rsidRDefault="00ED5B88" w:rsidP="00450166">
      <w:pPr>
        <w:pStyle w:val="Bulletlist2"/>
      </w:pPr>
      <w:r w:rsidRPr="00712961">
        <w:t>Explain the roles &amp; responsibilities of all employees</w:t>
      </w:r>
    </w:p>
    <w:p w14:paraId="2009C1BE" w14:textId="77777777" w:rsidR="00ED5B88" w:rsidRPr="00712961" w:rsidRDefault="00ED5B88" w:rsidP="00450166">
      <w:pPr>
        <w:pStyle w:val="Bulletlist2"/>
      </w:pPr>
      <w:r w:rsidRPr="00712961">
        <w:t>Provide information on the health &amp; safety implications of alcohol &amp; drug use</w:t>
      </w:r>
    </w:p>
    <w:p w14:paraId="315A4B39" w14:textId="77777777" w:rsidR="00ED5B88" w:rsidRPr="00712961" w:rsidRDefault="00ED5B88" w:rsidP="00450166">
      <w:pPr>
        <w:pStyle w:val="Bulletlist2"/>
      </w:pPr>
      <w:r w:rsidRPr="00712961">
        <w:t xml:space="preserve">Provide information on where/how to seek assistance </w:t>
      </w:r>
    </w:p>
    <w:p w14:paraId="7004A232" w14:textId="77777777" w:rsidR="00ED5B88" w:rsidRPr="00712961" w:rsidRDefault="00ED5B88" w:rsidP="00450166">
      <w:pPr>
        <w:pStyle w:val="Bulletlist2"/>
      </w:pPr>
      <w:r w:rsidRPr="00712961">
        <w:t xml:space="preserve">Be on-going &amp; delivered via a variety of media </w:t>
      </w:r>
    </w:p>
    <w:p w14:paraId="7CCF45DB" w14:textId="77777777" w:rsidR="00ED5B88" w:rsidRPr="00712961" w:rsidRDefault="00ED5B88" w:rsidP="00744058"/>
    <w:p w14:paraId="36B7DFC4" w14:textId="77777777" w:rsidR="00ED5B88" w:rsidRPr="00712961" w:rsidRDefault="00ED5B88" w:rsidP="00450166">
      <w:pPr>
        <w:pStyle w:val="Numbers"/>
      </w:pPr>
      <w:r w:rsidRPr="00712961">
        <w:t>Training</w:t>
      </w:r>
    </w:p>
    <w:p w14:paraId="471029C2" w14:textId="77777777" w:rsidR="00ED5B88" w:rsidRPr="00712961" w:rsidRDefault="00ED5B88" w:rsidP="00744058"/>
    <w:p w14:paraId="521EE339" w14:textId="77777777" w:rsidR="00ED5B88" w:rsidRPr="00712961" w:rsidRDefault="00ED5B88" w:rsidP="00450166">
      <w:pPr>
        <w:pStyle w:val="Bulletlist"/>
      </w:pPr>
      <w:r w:rsidRPr="00712961">
        <w:t>Essential for policy implementation and management</w:t>
      </w:r>
    </w:p>
    <w:p w14:paraId="05FFE331" w14:textId="77777777" w:rsidR="00ED5B88" w:rsidRPr="00712961" w:rsidRDefault="00ED5B88" w:rsidP="00450166">
      <w:pPr>
        <w:pStyle w:val="Bulletlist"/>
      </w:pPr>
      <w:r w:rsidRPr="00712961">
        <w:t>Needs to target key employees:</w:t>
      </w:r>
    </w:p>
    <w:p w14:paraId="44BB8E57" w14:textId="77777777" w:rsidR="00ED5B88" w:rsidRPr="00712961" w:rsidRDefault="00ED5B88" w:rsidP="00450166">
      <w:pPr>
        <w:pStyle w:val="Bulletlist2"/>
      </w:pPr>
      <w:r w:rsidRPr="00712961">
        <w:t>Supervisors/managers</w:t>
      </w:r>
    </w:p>
    <w:p w14:paraId="6A507AA4" w14:textId="77777777" w:rsidR="00ED5B88" w:rsidRPr="00712961" w:rsidRDefault="00ED5B88" w:rsidP="00450166">
      <w:pPr>
        <w:pStyle w:val="Bulletlist2"/>
      </w:pPr>
      <w:r w:rsidRPr="00712961">
        <w:t>OH&amp;S staff/employee reps</w:t>
      </w:r>
    </w:p>
    <w:p w14:paraId="2C7DDA05" w14:textId="77777777" w:rsidR="00ED5B88" w:rsidRPr="00712961" w:rsidRDefault="00ED5B88" w:rsidP="00450166">
      <w:pPr>
        <w:pStyle w:val="Bulletlist"/>
      </w:pPr>
      <w:r w:rsidRPr="00712961">
        <w:t>Should:</w:t>
      </w:r>
    </w:p>
    <w:p w14:paraId="7321AFA1" w14:textId="77777777" w:rsidR="00ED5B88" w:rsidRPr="00712961" w:rsidRDefault="00ED5B88" w:rsidP="00450166">
      <w:pPr>
        <w:pStyle w:val="Bulletlist2"/>
      </w:pPr>
      <w:r w:rsidRPr="00712961">
        <w:t>Outline rationale for policy &amp; what it covers</w:t>
      </w:r>
    </w:p>
    <w:p w14:paraId="6E5BAE12" w14:textId="77777777" w:rsidR="00ED5B88" w:rsidRPr="00712961" w:rsidRDefault="00ED5B88" w:rsidP="00450166">
      <w:pPr>
        <w:pStyle w:val="Bulletlist2"/>
      </w:pPr>
      <w:r>
        <w:t xml:space="preserve">Detail how </w:t>
      </w:r>
      <w:r w:rsidRPr="00712961">
        <w:t>to implement the policy &amp; procedures</w:t>
      </w:r>
    </w:p>
    <w:p w14:paraId="4E31C8AC" w14:textId="77777777" w:rsidR="00ED5B88" w:rsidRPr="00712961" w:rsidRDefault="00ED5B88" w:rsidP="00450166">
      <w:pPr>
        <w:pStyle w:val="Bulletlist2"/>
      </w:pPr>
      <w:r w:rsidRPr="00712961">
        <w:t>Enhance capacity to identify &amp; manage alcohol &amp; drug related harm</w:t>
      </w:r>
    </w:p>
    <w:p w14:paraId="66EC4A1F" w14:textId="77777777" w:rsidR="00ED5B88" w:rsidRPr="00712961" w:rsidRDefault="00ED5B88" w:rsidP="00450166">
      <w:pPr>
        <w:pStyle w:val="Bulletlist2"/>
      </w:pPr>
      <w:r w:rsidRPr="00712961">
        <w:t xml:space="preserve">Build communication, interviewing, and supervision skills </w:t>
      </w:r>
    </w:p>
    <w:p w14:paraId="11E466B9" w14:textId="77777777" w:rsidR="00ED5B88" w:rsidRPr="00712961" w:rsidRDefault="00ED5B88" w:rsidP="00450166">
      <w:pPr>
        <w:pStyle w:val="Bulletlist2"/>
      </w:pPr>
      <w:r w:rsidRPr="00712961">
        <w:t>Be</w:t>
      </w:r>
      <w:r w:rsidRPr="00712961">
        <w:rPr>
          <w:lang w:val="en-US"/>
        </w:rPr>
        <w:t xml:space="preserve"> ongoing, &amp; adaptable</w:t>
      </w:r>
      <w:r w:rsidRPr="00712961">
        <w:t xml:space="preserve"> to changing circumstances</w:t>
      </w:r>
    </w:p>
    <w:p w14:paraId="02458A6C" w14:textId="77777777" w:rsidR="00ED5B88" w:rsidRPr="00712961" w:rsidRDefault="00ED5B88" w:rsidP="00744058"/>
    <w:p w14:paraId="40DC0217" w14:textId="77777777" w:rsidR="00ED5B88" w:rsidRPr="00712961" w:rsidRDefault="00ED5B88" w:rsidP="00450166">
      <w:pPr>
        <w:pStyle w:val="Numbers"/>
      </w:pPr>
      <w:r w:rsidRPr="00712961">
        <w:t>Access to counselling &amp; treatment services</w:t>
      </w:r>
    </w:p>
    <w:p w14:paraId="5348F051" w14:textId="77777777" w:rsidR="00450166" w:rsidRDefault="00450166" w:rsidP="00744058"/>
    <w:p w14:paraId="30383A9A" w14:textId="77777777" w:rsidR="00ED5B88" w:rsidRPr="00712961" w:rsidRDefault="00ED5B88" w:rsidP="00450166">
      <w:pPr>
        <w:pStyle w:val="Bulletlist"/>
      </w:pPr>
      <w:r w:rsidRPr="00712961">
        <w:t>A range services are available:</w:t>
      </w:r>
    </w:p>
    <w:p w14:paraId="782D045A" w14:textId="77777777" w:rsidR="00ED5B88" w:rsidRPr="00712961" w:rsidRDefault="00ED5B88" w:rsidP="00450166">
      <w:pPr>
        <w:pStyle w:val="Bulletlist2"/>
      </w:pPr>
      <w:r w:rsidRPr="00712961">
        <w:t>Employee assistance program (EAP)</w:t>
      </w:r>
    </w:p>
    <w:p w14:paraId="720CEBCD" w14:textId="77777777" w:rsidR="00ED5B88" w:rsidRPr="00712961" w:rsidRDefault="00ED5B88" w:rsidP="00450166">
      <w:pPr>
        <w:pStyle w:val="Bulletlist2"/>
      </w:pPr>
      <w:r w:rsidRPr="00712961">
        <w:t>Community non-profit organisations</w:t>
      </w:r>
    </w:p>
    <w:p w14:paraId="74BF0218" w14:textId="77777777" w:rsidR="00ED5B88" w:rsidRPr="00712961" w:rsidRDefault="00ED5B88" w:rsidP="00450166">
      <w:pPr>
        <w:pStyle w:val="Bulletlist2"/>
      </w:pPr>
      <w:r w:rsidRPr="00712961">
        <w:t xml:space="preserve">Public &amp; private service providers </w:t>
      </w:r>
    </w:p>
    <w:p w14:paraId="5EC03ED7" w14:textId="77777777" w:rsidR="00ED5B88" w:rsidRPr="00712961" w:rsidRDefault="00ED5B88" w:rsidP="00450166">
      <w:pPr>
        <w:pStyle w:val="Bulletlist"/>
      </w:pPr>
      <w:r w:rsidRPr="00712961">
        <w:t xml:space="preserve">Should be first &amp; second &amp; even third option of policy </w:t>
      </w:r>
    </w:p>
    <w:p w14:paraId="10379C25" w14:textId="77777777" w:rsidR="00ED5B88" w:rsidRPr="00712961" w:rsidRDefault="00ED5B88" w:rsidP="00450166">
      <w:pPr>
        <w:pStyle w:val="Bulletlist"/>
      </w:pPr>
      <w:r w:rsidRPr="00712961">
        <w:t>Anonymous voluntary access should also be allowed</w:t>
      </w:r>
    </w:p>
    <w:p w14:paraId="406DE958" w14:textId="77777777" w:rsidR="00ED5B88" w:rsidRPr="00712961" w:rsidRDefault="00ED5B88" w:rsidP="00450166">
      <w:pPr>
        <w:pStyle w:val="Bulletlist"/>
      </w:pPr>
      <w:r w:rsidRPr="00712961">
        <w:t>Leave provisions should be made available</w:t>
      </w:r>
    </w:p>
    <w:p w14:paraId="539DADC2" w14:textId="77777777" w:rsidR="00ED5B88" w:rsidRPr="00712961" w:rsidRDefault="00ED5B88" w:rsidP="00450166">
      <w:pPr>
        <w:pStyle w:val="Bulletlist"/>
      </w:pPr>
      <w:r w:rsidRPr="00712961">
        <w:t>Confidentiality should be assured</w:t>
      </w:r>
    </w:p>
    <w:p w14:paraId="631FCEAE" w14:textId="77777777" w:rsidR="00450166" w:rsidRDefault="00450166" w:rsidP="00744058">
      <w:pPr>
        <w:rPr>
          <w:lang w:val="en-US"/>
        </w:rPr>
      </w:pPr>
    </w:p>
    <w:p w14:paraId="5648D5EE" w14:textId="77777777" w:rsidR="00ED5B88" w:rsidRPr="00450166" w:rsidRDefault="00ED5B88" w:rsidP="00450166">
      <w:pPr>
        <w:pStyle w:val="Heading1"/>
      </w:pPr>
      <w:r w:rsidRPr="00450166">
        <w:lastRenderedPageBreak/>
        <w:t>Other effective strategies</w:t>
      </w:r>
    </w:p>
    <w:p w14:paraId="4343FACE" w14:textId="77777777" w:rsidR="00450166" w:rsidRDefault="00450166" w:rsidP="00450166">
      <w:pPr>
        <w:pStyle w:val="Heading2"/>
      </w:pPr>
    </w:p>
    <w:p w14:paraId="21F98788" w14:textId="77777777" w:rsidR="00ED5B88" w:rsidRPr="00712961" w:rsidRDefault="00ED5B88" w:rsidP="00450166">
      <w:pPr>
        <w:pStyle w:val="Heading2"/>
      </w:pPr>
      <w:r w:rsidRPr="00712961">
        <w:t xml:space="preserve">Brief interventions </w:t>
      </w:r>
    </w:p>
    <w:p w14:paraId="7CD125F3" w14:textId="77777777" w:rsidR="00450166" w:rsidRDefault="00450166" w:rsidP="00744058"/>
    <w:p w14:paraId="7EA9C84B" w14:textId="77777777" w:rsidR="00ED5B88" w:rsidRPr="00712961" w:rsidRDefault="00ED5B88" w:rsidP="00744058">
      <w:r w:rsidRPr="00712961">
        <w:t>Brief assessment o</w:t>
      </w:r>
      <w:r>
        <w:t>f alcohol &amp; drug use followed by</w:t>
      </w:r>
      <w:r w:rsidRPr="00712961">
        <w:t xml:space="preserve"> feedback on how this use may be affecting the worker’s health &amp; safety</w:t>
      </w:r>
    </w:p>
    <w:p w14:paraId="5275F089" w14:textId="77777777" w:rsidR="00ED5B88" w:rsidRPr="00712961" w:rsidRDefault="00ED5B88" w:rsidP="00450166">
      <w:pPr>
        <w:pStyle w:val="Bulletlist"/>
      </w:pPr>
      <w:r w:rsidRPr="00712961">
        <w:t>Supported by substantial evidence of efficacy</w:t>
      </w:r>
    </w:p>
    <w:p w14:paraId="1199AB63" w14:textId="77777777" w:rsidR="00ED5B88" w:rsidRPr="00712961" w:rsidRDefault="00ED5B88" w:rsidP="00450166">
      <w:pPr>
        <w:pStyle w:val="Bulletlist2"/>
      </w:pPr>
      <w:r w:rsidRPr="00712961">
        <w:t>Both in workplace &amp; other settings</w:t>
      </w:r>
    </w:p>
    <w:p w14:paraId="4F50B2DB" w14:textId="77777777" w:rsidR="00ED5B88" w:rsidRPr="00712961" w:rsidRDefault="00ED5B88" w:rsidP="00450166">
      <w:pPr>
        <w:pStyle w:val="Bulletlist"/>
      </w:pPr>
      <w:r w:rsidRPr="00712961">
        <w:t>Easy to implement, little training required</w:t>
      </w:r>
    </w:p>
    <w:p w14:paraId="65EA56BF" w14:textId="77777777" w:rsidR="00ED5B88" w:rsidRPr="00712961" w:rsidRDefault="00ED5B88" w:rsidP="00450166">
      <w:pPr>
        <w:pStyle w:val="Bulletlist"/>
      </w:pPr>
      <w:r w:rsidRPr="00712961">
        <w:t>Can be delivered by:</w:t>
      </w:r>
    </w:p>
    <w:p w14:paraId="6A0EB965" w14:textId="77777777" w:rsidR="00ED5B88" w:rsidRPr="00712961" w:rsidRDefault="00ED5B88" w:rsidP="00450166">
      <w:pPr>
        <w:pStyle w:val="Bulletlist2"/>
      </w:pPr>
      <w:r w:rsidRPr="00712961">
        <w:t xml:space="preserve">External health professionals  </w:t>
      </w:r>
    </w:p>
    <w:p w14:paraId="51EB59FE" w14:textId="77777777" w:rsidR="00ED5B88" w:rsidRPr="00712961" w:rsidRDefault="00ED5B88" w:rsidP="00450166">
      <w:pPr>
        <w:pStyle w:val="Bulletlist2"/>
      </w:pPr>
      <w:r w:rsidRPr="00712961">
        <w:t>Internal OHS&amp;W staff</w:t>
      </w:r>
    </w:p>
    <w:p w14:paraId="4CE83A3E" w14:textId="77777777" w:rsidR="00ED5B88" w:rsidRPr="00712961" w:rsidRDefault="00ED5B88" w:rsidP="00450166">
      <w:pPr>
        <w:pStyle w:val="Bulletlist2"/>
      </w:pPr>
      <w:r w:rsidRPr="00712961">
        <w:t>Provision of alcohol &amp; drug use diaries and self-help booklets</w:t>
      </w:r>
    </w:p>
    <w:p w14:paraId="040F359E" w14:textId="77777777" w:rsidR="00ED5B88" w:rsidRPr="00712961" w:rsidRDefault="00ED5B88" w:rsidP="00450166">
      <w:pPr>
        <w:pStyle w:val="Bulletlist2"/>
      </w:pPr>
      <w:r w:rsidRPr="00712961">
        <w:t xml:space="preserve">Computer on-line intervention </w:t>
      </w:r>
    </w:p>
    <w:p w14:paraId="5688A0C0" w14:textId="77777777" w:rsidR="00ED5B88" w:rsidRPr="00712961" w:rsidRDefault="00ED5B88" w:rsidP="00744058"/>
    <w:p w14:paraId="528BC1FC" w14:textId="77777777" w:rsidR="00ED5B88" w:rsidRPr="00712961" w:rsidRDefault="00ED5B88" w:rsidP="00450166">
      <w:pPr>
        <w:pStyle w:val="Heading2"/>
      </w:pPr>
      <w:r w:rsidRPr="00712961">
        <w:t>Health promotion</w:t>
      </w:r>
    </w:p>
    <w:p w14:paraId="569DD163" w14:textId="77777777" w:rsidR="00ED5B88" w:rsidRPr="00712961" w:rsidRDefault="00ED5B88" w:rsidP="00744058"/>
    <w:p w14:paraId="7F76B1EE" w14:textId="77777777" w:rsidR="00ED5B88" w:rsidRPr="00712961" w:rsidRDefault="00ED5B88" w:rsidP="00450166">
      <w:pPr>
        <w:pStyle w:val="Bulletlist"/>
      </w:pPr>
      <w:r w:rsidRPr="00712961">
        <w:t xml:space="preserve">Use of alcohol &amp; drug interventions (brief and intensive counselling) embedded within a broader workplace health program </w:t>
      </w:r>
    </w:p>
    <w:p w14:paraId="0794F80B" w14:textId="77777777" w:rsidR="00ED5B88" w:rsidRPr="00712961" w:rsidRDefault="00ED5B88" w:rsidP="00450166">
      <w:pPr>
        <w:pStyle w:val="Bulletlist"/>
      </w:pPr>
      <w:r w:rsidRPr="00712961">
        <w:t>Employees more accepting of alcohol &amp; drug interventions (risky use is inconsistent with healthy lifestyle)</w:t>
      </w:r>
    </w:p>
    <w:p w14:paraId="78FC65C8" w14:textId="77777777" w:rsidR="00ED5B88" w:rsidRPr="00712961" w:rsidRDefault="00ED5B88" w:rsidP="00450166">
      <w:pPr>
        <w:pStyle w:val="Bulletlist"/>
      </w:pPr>
      <w:r w:rsidRPr="00712961">
        <w:t xml:space="preserve">Known efficacy of workplace health program builds on efficacy of alcohol &amp; drug brief interventions </w:t>
      </w:r>
    </w:p>
    <w:p w14:paraId="05D994CF" w14:textId="77777777" w:rsidR="00ED5B88" w:rsidRPr="00712961" w:rsidRDefault="00ED5B88" w:rsidP="00450166">
      <w:pPr>
        <w:pStyle w:val="Bulletlist"/>
      </w:pPr>
      <w:r w:rsidRPr="00712961">
        <w:t xml:space="preserve">Reduces alcohol &amp; drug related risks and improves employee health and welfare </w:t>
      </w:r>
    </w:p>
    <w:p w14:paraId="072E7317" w14:textId="77777777" w:rsidR="00ED5B88" w:rsidRPr="00712961" w:rsidRDefault="00ED5B88" w:rsidP="00744058"/>
    <w:p w14:paraId="1C01DB13" w14:textId="77777777" w:rsidR="00ED5B88" w:rsidRDefault="00ED5B88" w:rsidP="00450166">
      <w:pPr>
        <w:pStyle w:val="Heading2"/>
      </w:pPr>
      <w:r w:rsidRPr="00712961">
        <w:t>Psychosocial skills training</w:t>
      </w:r>
    </w:p>
    <w:p w14:paraId="0E3E37B4" w14:textId="77777777" w:rsidR="00450166" w:rsidRPr="00450166" w:rsidRDefault="00450166" w:rsidP="00450166">
      <w:pPr>
        <w:rPr>
          <w:lang w:val="en-US" w:eastAsia="en-US"/>
        </w:rPr>
      </w:pPr>
    </w:p>
    <w:p w14:paraId="03EBB907" w14:textId="77777777" w:rsidR="00ED5B88" w:rsidRPr="00712961" w:rsidRDefault="00ED5B88" w:rsidP="00450166">
      <w:pPr>
        <w:pStyle w:val="Bulletlist"/>
      </w:pPr>
      <w:r w:rsidRPr="00712961">
        <w:t xml:space="preserve">Provision of training that focuses on knowledge, attitudes, &amp; ‘life skills’ </w:t>
      </w:r>
    </w:p>
    <w:p w14:paraId="052603B5" w14:textId="77777777" w:rsidR="00ED5B88" w:rsidRPr="00712961" w:rsidRDefault="00ED5B88" w:rsidP="00450166">
      <w:pPr>
        <w:pStyle w:val="Bulletlist"/>
      </w:pPr>
      <w:r w:rsidRPr="00712961">
        <w:t>Used in a wide variety of settings for a wide variety health-related behaviours</w:t>
      </w:r>
    </w:p>
    <w:p w14:paraId="1E68F925" w14:textId="77777777" w:rsidR="00ED5B88" w:rsidRPr="00712961" w:rsidRDefault="00ED5B88" w:rsidP="00450166">
      <w:pPr>
        <w:pStyle w:val="Bulletlist"/>
      </w:pPr>
      <w:r w:rsidRPr="00712961">
        <w:t>Most commonly used in school drug education programs</w:t>
      </w:r>
    </w:p>
    <w:p w14:paraId="3C2AB15F" w14:textId="77777777" w:rsidR="00ED5B88" w:rsidRPr="00712961" w:rsidRDefault="00ED5B88" w:rsidP="00450166">
      <w:pPr>
        <w:pStyle w:val="Bulletlist"/>
      </w:pPr>
      <w:r w:rsidRPr="00712961">
        <w:t>Workplace training focuses on:</w:t>
      </w:r>
    </w:p>
    <w:p w14:paraId="4CE35471" w14:textId="77777777" w:rsidR="00ED5B88" w:rsidRPr="00712961" w:rsidRDefault="00ED5B88" w:rsidP="00450166">
      <w:pPr>
        <w:pStyle w:val="Bulletlist2"/>
      </w:pPr>
      <w:r w:rsidRPr="00712961">
        <w:t>workplace social &amp; safety environment</w:t>
      </w:r>
    </w:p>
    <w:p w14:paraId="482B3F1A" w14:textId="77777777" w:rsidR="00ED5B88" w:rsidRPr="00712961" w:rsidRDefault="00ED5B88" w:rsidP="00450166">
      <w:pPr>
        <w:pStyle w:val="Bulletlist2"/>
      </w:pPr>
      <w:r w:rsidRPr="00712961">
        <w:t>group process</w:t>
      </w:r>
    </w:p>
    <w:p w14:paraId="3E20B04C" w14:textId="77777777" w:rsidR="00ED5B88" w:rsidRPr="00712961" w:rsidRDefault="00ED5B88" w:rsidP="00450166">
      <w:pPr>
        <w:pStyle w:val="Bulletlist2"/>
      </w:pPr>
      <w:r w:rsidRPr="00712961">
        <w:t>perceptions and tolerance of co-workers who use</w:t>
      </w:r>
    </w:p>
    <w:p w14:paraId="07182403" w14:textId="77777777" w:rsidR="00ED5B88" w:rsidRPr="00712961" w:rsidRDefault="00ED5B88" w:rsidP="00450166">
      <w:pPr>
        <w:pStyle w:val="Bulletlist2"/>
      </w:pPr>
      <w:r w:rsidRPr="00712961">
        <w:t>attitudes toward policy</w:t>
      </w:r>
    </w:p>
    <w:p w14:paraId="442A36BF" w14:textId="77777777" w:rsidR="00ED5B88" w:rsidRPr="00712961" w:rsidRDefault="00ED5B88" w:rsidP="00450166">
      <w:pPr>
        <w:pStyle w:val="Bulletlist"/>
      </w:pPr>
      <w:r w:rsidRPr="00712961">
        <w:t>Effective in changing attitudes toward use, reducing use that impacts the workplace, and improving teamwork</w:t>
      </w:r>
    </w:p>
    <w:p w14:paraId="228304F2" w14:textId="77777777" w:rsidR="00ED5B88" w:rsidRPr="00712961" w:rsidRDefault="00ED5B88" w:rsidP="00744058"/>
    <w:p w14:paraId="17617D4D" w14:textId="77777777" w:rsidR="00ED5B88" w:rsidRPr="00712961" w:rsidRDefault="00ED5B88" w:rsidP="00450166">
      <w:pPr>
        <w:pStyle w:val="Heading2"/>
      </w:pPr>
      <w:r w:rsidRPr="00712961">
        <w:t>Peer intervention</w:t>
      </w:r>
    </w:p>
    <w:p w14:paraId="1210AE18" w14:textId="77777777" w:rsidR="00450166" w:rsidRDefault="00450166" w:rsidP="00744058"/>
    <w:p w14:paraId="24F38E43" w14:textId="77777777" w:rsidR="00ED5B88" w:rsidRPr="00712961" w:rsidRDefault="00ED5B88" w:rsidP="00744058">
      <w:r w:rsidRPr="00712961">
        <w:t>Use of trained peers (co-workers) to recognise and intervene with problem workers and change attitudes toward on-the-job use</w:t>
      </w:r>
    </w:p>
    <w:p w14:paraId="2EA55504" w14:textId="77777777" w:rsidR="00ED5B88" w:rsidRPr="00712961" w:rsidRDefault="00ED5B88" w:rsidP="00450166">
      <w:pPr>
        <w:pStyle w:val="Bulletlist"/>
      </w:pPr>
      <w:r w:rsidRPr="00712961">
        <w:t xml:space="preserve">Substantial support for efficacy in range of settings </w:t>
      </w:r>
    </w:p>
    <w:p w14:paraId="17BB4888" w14:textId="77777777" w:rsidR="00ED5B88" w:rsidRPr="00712961" w:rsidRDefault="00ED5B88" w:rsidP="00450166">
      <w:pPr>
        <w:pStyle w:val="Bulletlist"/>
      </w:pPr>
      <w:r w:rsidRPr="00712961">
        <w:t>Particularly efficacious when strong sense of identity among target group members</w:t>
      </w:r>
    </w:p>
    <w:p w14:paraId="06DA473A" w14:textId="77777777" w:rsidR="00ED5B88" w:rsidRPr="00712961" w:rsidRDefault="00ED5B88" w:rsidP="00450166">
      <w:pPr>
        <w:pStyle w:val="Bulletlist"/>
      </w:pPr>
      <w:r w:rsidRPr="00712961">
        <w:t>Long history of workplace use (Canada, US, Australia)</w:t>
      </w:r>
    </w:p>
    <w:p w14:paraId="7EEB29EC" w14:textId="77777777" w:rsidR="00ED5B88" w:rsidRPr="00712961" w:rsidRDefault="00ED5B88" w:rsidP="00450166">
      <w:pPr>
        <w:pStyle w:val="Bulletlist"/>
      </w:pPr>
      <w:r w:rsidRPr="00712961">
        <w:lastRenderedPageBreak/>
        <w:t>Can also:</w:t>
      </w:r>
    </w:p>
    <w:p w14:paraId="1EB4493C" w14:textId="77777777" w:rsidR="00ED5B88" w:rsidRPr="00712961" w:rsidRDefault="00ED5B88" w:rsidP="00450166">
      <w:pPr>
        <w:pStyle w:val="Bulletlist2"/>
      </w:pPr>
      <w:r w:rsidRPr="00712961">
        <w:t>improve management/union relationship</w:t>
      </w:r>
    </w:p>
    <w:p w14:paraId="056A3813" w14:textId="77777777" w:rsidR="00ED5B88" w:rsidRPr="00712961" w:rsidRDefault="00ED5B88" w:rsidP="00450166">
      <w:pPr>
        <w:pStyle w:val="Bulletlist2"/>
      </w:pPr>
      <w:r w:rsidRPr="00712961">
        <w:t>increase management/union partnerships in a range of issues</w:t>
      </w:r>
    </w:p>
    <w:p w14:paraId="56F5E9FF" w14:textId="77777777" w:rsidR="00ED5B88" w:rsidRPr="00712961" w:rsidRDefault="00ED5B88" w:rsidP="00744058"/>
    <w:p w14:paraId="331EC536" w14:textId="77777777" w:rsidR="00ED5B88" w:rsidRPr="00712961" w:rsidRDefault="00ED5B88" w:rsidP="00450166">
      <w:pPr>
        <w:pStyle w:val="Heading2"/>
      </w:pPr>
      <w:r w:rsidRPr="00ED5B88">
        <w:t>Drug testing?</w:t>
      </w:r>
    </w:p>
    <w:p w14:paraId="3E807FD6" w14:textId="77777777" w:rsidR="00ED5B88" w:rsidRPr="00712961" w:rsidRDefault="00ED5B88" w:rsidP="00744058"/>
    <w:p w14:paraId="62B4F8B3" w14:textId="77777777" w:rsidR="00ED5B88" w:rsidRPr="00712961" w:rsidRDefault="00ED5B88" w:rsidP="00744058">
      <w:r w:rsidRPr="00712961">
        <w:t>The US as an example:</w:t>
      </w:r>
    </w:p>
    <w:p w14:paraId="53B5E190" w14:textId="77777777" w:rsidR="00ED5B88" w:rsidRPr="00712961" w:rsidRDefault="00ED5B88" w:rsidP="00450166">
      <w:pPr>
        <w:pStyle w:val="Bulletlist"/>
      </w:pPr>
      <w:r w:rsidRPr="00712961">
        <w:t>Different legal framework</w:t>
      </w:r>
    </w:p>
    <w:p w14:paraId="039B38CB" w14:textId="77777777" w:rsidR="00ED5B88" w:rsidRPr="00712961" w:rsidRDefault="00ED5B88" w:rsidP="00450166">
      <w:pPr>
        <w:pStyle w:val="Bulletlist"/>
      </w:pPr>
      <w:r w:rsidRPr="00712961">
        <w:t>Different rationale for testing</w:t>
      </w:r>
    </w:p>
    <w:p w14:paraId="74DE714D" w14:textId="77777777" w:rsidR="00ED5B88" w:rsidRPr="00712961" w:rsidRDefault="00ED5B88" w:rsidP="00450166">
      <w:pPr>
        <w:pStyle w:val="Bulletlist"/>
      </w:pPr>
      <w:r w:rsidRPr="00712961">
        <w:t>Different quality control mechanisms</w:t>
      </w:r>
    </w:p>
    <w:p w14:paraId="14AD8199" w14:textId="77777777" w:rsidR="00ED5B88" w:rsidRPr="00712961" w:rsidRDefault="00ED5B88" w:rsidP="00450166">
      <w:pPr>
        <w:pStyle w:val="Bulletlist2"/>
      </w:pPr>
      <w:r w:rsidRPr="00712961">
        <w:t>Mandatory guidelines</w:t>
      </w:r>
    </w:p>
    <w:p w14:paraId="5F519057" w14:textId="77777777" w:rsidR="00ED5B88" w:rsidRPr="00712961" w:rsidRDefault="00ED5B88" w:rsidP="00450166">
      <w:pPr>
        <w:pStyle w:val="Bulletlist2"/>
      </w:pPr>
      <w:r w:rsidRPr="00712961">
        <w:t>Certification by government agency</w:t>
      </w:r>
    </w:p>
    <w:p w14:paraId="571B3791" w14:textId="77777777" w:rsidR="00ED5B88" w:rsidRPr="00712961" w:rsidRDefault="00ED5B88" w:rsidP="00450166">
      <w:pPr>
        <w:pStyle w:val="Bulletlist2"/>
      </w:pPr>
      <w:r w:rsidRPr="00712961">
        <w:t>MRO</w:t>
      </w:r>
    </w:p>
    <w:p w14:paraId="4A2F86F9" w14:textId="77777777" w:rsidR="00ED5B88" w:rsidRPr="00712961" w:rsidRDefault="00ED5B88" w:rsidP="00744058"/>
    <w:p w14:paraId="1C59DB5F" w14:textId="77777777" w:rsidR="00ED5B88" w:rsidRPr="00712961" w:rsidRDefault="00ED5B88" w:rsidP="00744058">
      <w:r w:rsidRPr="00712961">
        <w:t>Other issues:</w:t>
      </w:r>
    </w:p>
    <w:p w14:paraId="3E4187FB" w14:textId="77777777" w:rsidR="00ED5B88" w:rsidRPr="00712961" w:rsidRDefault="00ED5B88" w:rsidP="00450166">
      <w:pPr>
        <w:pStyle w:val="Bulletlist"/>
      </w:pPr>
      <w:r w:rsidRPr="00712961">
        <w:t>Focus on illicit drugs</w:t>
      </w:r>
    </w:p>
    <w:p w14:paraId="730A720F" w14:textId="77777777" w:rsidR="00ED5B88" w:rsidRPr="00712961" w:rsidRDefault="00ED5B88" w:rsidP="00450166">
      <w:pPr>
        <w:pStyle w:val="Bulletlist"/>
      </w:pPr>
      <w:r w:rsidRPr="00712961">
        <w:t>Focus on use, not on problems associated with use</w:t>
      </w:r>
    </w:p>
    <w:p w14:paraId="72C6AD65" w14:textId="77777777" w:rsidR="00ED5B88" w:rsidRPr="00712961" w:rsidRDefault="00ED5B88" w:rsidP="00450166">
      <w:pPr>
        <w:pStyle w:val="Bulletlist"/>
      </w:pPr>
      <w:r w:rsidRPr="00712961">
        <w:t>Accuracy of POCT on-site tests</w:t>
      </w:r>
    </w:p>
    <w:p w14:paraId="4AF6F6F3" w14:textId="77777777" w:rsidR="00ED5B88" w:rsidRPr="00712961" w:rsidRDefault="00ED5B88" w:rsidP="00450166">
      <w:pPr>
        <w:pStyle w:val="Bulletlist"/>
      </w:pPr>
      <w:r w:rsidRPr="00712961">
        <w:t>The problem of false negatives at POCT</w:t>
      </w:r>
    </w:p>
    <w:p w14:paraId="7F6C9A78" w14:textId="77777777" w:rsidR="00ED5B88" w:rsidRPr="00712961" w:rsidRDefault="00ED5B88" w:rsidP="00450166">
      <w:pPr>
        <w:pStyle w:val="Bulletlist"/>
      </w:pPr>
      <w:r w:rsidRPr="00712961">
        <w:t xml:space="preserve">The cannabis problem </w:t>
      </w:r>
    </w:p>
    <w:p w14:paraId="046EF7C4" w14:textId="77777777" w:rsidR="00032ABC" w:rsidRDefault="00032ABC" w:rsidP="00032ABC">
      <w:pPr>
        <w:pStyle w:val="Bulletlist"/>
        <w:numPr>
          <w:ilvl w:val="0"/>
          <w:numId w:val="0"/>
        </w:numPr>
      </w:pPr>
    </w:p>
    <w:p w14:paraId="3023CB95" w14:textId="77777777" w:rsidR="00ED5B88" w:rsidRPr="00712961" w:rsidRDefault="00ED5B88" w:rsidP="00032ABC">
      <w:pPr>
        <w:pStyle w:val="Bulletlist"/>
        <w:numPr>
          <w:ilvl w:val="0"/>
          <w:numId w:val="0"/>
        </w:numPr>
      </w:pPr>
      <w:r w:rsidRPr="00712961">
        <w:t xml:space="preserve">Some evidence that testing has a deterrent effect </w:t>
      </w:r>
    </w:p>
    <w:p w14:paraId="6845E180" w14:textId="77777777" w:rsidR="00ED5B88" w:rsidRPr="00712961" w:rsidRDefault="00ED5B88" w:rsidP="00032ABC">
      <w:pPr>
        <w:pStyle w:val="Bulletlist"/>
      </w:pPr>
      <w:r w:rsidRPr="00712961">
        <w:t>Effect relatively small</w:t>
      </w:r>
    </w:p>
    <w:p w14:paraId="5BE8EB8D" w14:textId="77777777" w:rsidR="00ED5B88" w:rsidRPr="00712961" w:rsidRDefault="00ED5B88" w:rsidP="00032ABC">
      <w:pPr>
        <w:pStyle w:val="Bulletlist2"/>
      </w:pPr>
      <w:r w:rsidRPr="00712961">
        <w:t>0.6 times less likely for instant dismissal</w:t>
      </w:r>
    </w:p>
    <w:p w14:paraId="11A16A53" w14:textId="77777777" w:rsidR="00ED5B88" w:rsidRPr="00712961" w:rsidRDefault="00ED5B88" w:rsidP="00032ABC">
      <w:pPr>
        <w:pStyle w:val="Bulletlist2"/>
      </w:pPr>
      <w:r w:rsidRPr="00712961">
        <w:t>0.7 times less likely for referral to treatment</w:t>
      </w:r>
    </w:p>
    <w:p w14:paraId="7878AD6B" w14:textId="77777777" w:rsidR="00ED5B88" w:rsidRPr="00712961" w:rsidRDefault="00ED5B88" w:rsidP="00032ABC">
      <w:pPr>
        <w:pStyle w:val="Bulletlist"/>
      </w:pPr>
      <w:r w:rsidRPr="00712961">
        <w:t>Similar effect for other responses</w:t>
      </w:r>
    </w:p>
    <w:p w14:paraId="48A1D5B6" w14:textId="77777777" w:rsidR="00ED5B88" w:rsidRPr="00712961" w:rsidRDefault="00ED5B88" w:rsidP="00032ABC">
      <w:pPr>
        <w:pStyle w:val="Bulletlist2"/>
      </w:pPr>
      <w:r w:rsidRPr="00712961">
        <w:t>0.7 times less likely for AOD education</w:t>
      </w:r>
    </w:p>
    <w:p w14:paraId="03907A11" w14:textId="77777777" w:rsidR="00ED5B88" w:rsidRPr="00712961" w:rsidRDefault="00ED5B88" w:rsidP="00032ABC">
      <w:pPr>
        <w:pStyle w:val="Bulletlist2"/>
      </w:pPr>
      <w:r w:rsidRPr="00712961">
        <w:t>0.7 times less likely for AOD policy</w:t>
      </w:r>
    </w:p>
    <w:p w14:paraId="58A79493" w14:textId="77777777" w:rsidR="00ED5B88" w:rsidRPr="00712961" w:rsidRDefault="00ED5B88" w:rsidP="00032ABC">
      <w:pPr>
        <w:pStyle w:val="Bulletlist2"/>
      </w:pPr>
      <w:r w:rsidRPr="00712961">
        <w:t>0.8 times less likely for EAP</w:t>
      </w:r>
    </w:p>
    <w:p w14:paraId="2FFBA04C" w14:textId="77777777" w:rsidR="00032ABC" w:rsidRDefault="00032ABC" w:rsidP="00744058"/>
    <w:p w14:paraId="634155BB" w14:textId="77777777" w:rsidR="00ED5B88" w:rsidRPr="00712961" w:rsidRDefault="00ED5B88" w:rsidP="00032ABC">
      <w:pPr>
        <w:pStyle w:val="Bulletlist"/>
      </w:pPr>
      <w:r w:rsidRPr="00712961">
        <w:t>Drug testing is not a substitute for good management</w:t>
      </w:r>
    </w:p>
    <w:p w14:paraId="5C82C3C5" w14:textId="77777777" w:rsidR="00ED5B88" w:rsidRPr="00712961" w:rsidRDefault="00ED5B88" w:rsidP="00032ABC">
      <w:pPr>
        <w:pStyle w:val="Bulletlist"/>
      </w:pPr>
      <w:r w:rsidRPr="00712961">
        <w:t>Drug testing can mask risk</w:t>
      </w:r>
    </w:p>
    <w:p w14:paraId="1F9D386E" w14:textId="77777777" w:rsidR="00ED5B88" w:rsidRPr="00712961" w:rsidRDefault="00ED5B88" w:rsidP="00032ABC">
      <w:pPr>
        <w:pStyle w:val="Bulletlist2"/>
      </w:pPr>
      <w:r w:rsidRPr="00712961">
        <w:t>Workers may change their behaviour to avoid detection</w:t>
      </w:r>
    </w:p>
    <w:p w14:paraId="6D8AA1F5" w14:textId="77777777" w:rsidR="00ED5B88" w:rsidRPr="00712961" w:rsidRDefault="00ED5B88" w:rsidP="00032ABC">
      <w:pPr>
        <w:pStyle w:val="Bulletlist2"/>
      </w:pPr>
      <w:r w:rsidRPr="00712961">
        <w:t>Workers may fail to report near misses and minor accidents/injuries</w:t>
      </w:r>
    </w:p>
    <w:p w14:paraId="7A743793" w14:textId="77777777" w:rsidR="00ED5B88" w:rsidRPr="00712961" w:rsidRDefault="00ED5B88" w:rsidP="00744058"/>
    <w:p w14:paraId="5785011B" w14:textId="77777777" w:rsidR="00ED5B88" w:rsidRPr="00712961" w:rsidRDefault="00ED5B88" w:rsidP="00032ABC">
      <w:r w:rsidRPr="00712961">
        <w:t xml:space="preserve">The main aim of drug testing is to eliminate drug-related risk to OH&amp;S by eliminating drug use.  However, </w:t>
      </w:r>
      <w:r w:rsidRPr="00ED5B88">
        <w:rPr>
          <w:bCs/>
          <w:u w:val="single"/>
        </w:rPr>
        <w:t>instead of eliminating use</w:t>
      </w:r>
      <w:r w:rsidRPr="00712961">
        <w:t xml:space="preserve">, workers may simply change their behaviour to make their drug use </w:t>
      </w:r>
      <w:r w:rsidRPr="00ED5B88">
        <w:rPr>
          <w:bCs/>
          <w:u w:val="single"/>
        </w:rPr>
        <w:t>less detectable</w:t>
      </w:r>
      <w:r w:rsidRPr="00712961">
        <w:t>, without reducing the risk of drug-related harm.</w:t>
      </w:r>
    </w:p>
    <w:p w14:paraId="248848A5" w14:textId="77777777" w:rsidR="00ED5B88" w:rsidRPr="00712961" w:rsidRDefault="00ED5B88" w:rsidP="00032ABC"/>
    <w:p w14:paraId="1B57A1A2" w14:textId="77777777" w:rsidR="00ED5B88" w:rsidRPr="00712961" w:rsidRDefault="00ED5B88" w:rsidP="00032ABC">
      <w:r w:rsidRPr="00712961">
        <w:t xml:space="preserve">For example, the most common form of testing program is pre-employment screening.  Applicants are aware in advance that testing is a part of the employment process, and may simply abstain from drug use for a sufficient period, and then resume use after gaining employment.  </w:t>
      </w:r>
    </w:p>
    <w:p w14:paraId="0BE08677" w14:textId="77777777" w:rsidR="00ED5B88" w:rsidRPr="00712961" w:rsidRDefault="00ED5B88" w:rsidP="00032ABC"/>
    <w:p w14:paraId="3F934910" w14:textId="77777777" w:rsidR="00ED5B88" w:rsidRPr="00712961" w:rsidRDefault="00ED5B88" w:rsidP="00032ABC">
      <w:r w:rsidRPr="00712961">
        <w:lastRenderedPageBreak/>
        <w:t xml:space="preserve">Alternatively, they may utilise many of the over the counter medications that are useful for masking drug use (eg Sudafed).  In addition, samples can be contaminated, or substituted, at time of collection. </w:t>
      </w:r>
    </w:p>
    <w:p w14:paraId="1066CFBE" w14:textId="77777777" w:rsidR="00ED5B88" w:rsidRPr="00712961" w:rsidRDefault="00ED5B88" w:rsidP="00032ABC"/>
    <w:p w14:paraId="533C7933" w14:textId="77777777" w:rsidR="00ED5B88" w:rsidRPr="00712961" w:rsidRDefault="00ED5B88" w:rsidP="00032ABC">
      <w:r w:rsidRPr="00712961">
        <w:t xml:space="preserve">Of more concern, however, is that changes in workers’ behaviour, that are directed at avoiding detection rather than reducing risk, may have serious consequences for the health and safety of workers.     </w:t>
      </w:r>
    </w:p>
    <w:p w14:paraId="520276D0" w14:textId="77777777" w:rsidR="00ED5B88" w:rsidRPr="00712961" w:rsidRDefault="00ED5B88" w:rsidP="00032ABC"/>
    <w:p w14:paraId="4394E8DF" w14:textId="77777777" w:rsidR="00ED5B88" w:rsidRPr="00712961" w:rsidRDefault="00ED5B88" w:rsidP="00032ABC">
      <w:r w:rsidRPr="00712961">
        <w:t xml:space="preserve">For example, marijuana metabolites can remain in an individual’s system for up to 30 days after use.  Due to this long window of detection, a worker may shift from occasional use of marijuana to chronic (but less detectable) alcohol use, or use of other (more dangerous) illicit drugs with a shorter detectable period.  </w:t>
      </w:r>
    </w:p>
    <w:p w14:paraId="42B68EA6" w14:textId="77777777" w:rsidR="00ED5B88" w:rsidRPr="00712961" w:rsidRDefault="00ED5B88" w:rsidP="00744058"/>
    <w:p w14:paraId="708B55C3" w14:textId="77777777" w:rsidR="00ED5B88" w:rsidRPr="00712961" w:rsidRDefault="00ED5B88" w:rsidP="00032ABC">
      <w:pPr>
        <w:pStyle w:val="Heading1"/>
      </w:pPr>
      <w:r w:rsidRPr="00ED5B88">
        <w:t>Final points</w:t>
      </w:r>
    </w:p>
    <w:p w14:paraId="2C66036A" w14:textId="77777777" w:rsidR="00ED5B88" w:rsidRPr="00712961" w:rsidRDefault="00ED5B88" w:rsidP="00744058"/>
    <w:p w14:paraId="609DD0CC" w14:textId="77777777" w:rsidR="00ED5B88" w:rsidRDefault="00ED5B88" w:rsidP="00744058">
      <w:r w:rsidRPr="00712961">
        <w:t xml:space="preserve">Management of AOD-related risk is no different to the management of any </w:t>
      </w:r>
      <w:r w:rsidR="00032ABC">
        <w:t xml:space="preserve">other OH&amp;S or productivity risk. </w:t>
      </w:r>
    </w:p>
    <w:p w14:paraId="21601367" w14:textId="77777777" w:rsidR="00032ABC" w:rsidRPr="00712961" w:rsidRDefault="00032ABC" w:rsidP="00744058"/>
    <w:p w14:paraId="7DD52277" w14:textId="77777777" w:rsidR="00ED5B88" w:rsidRPr="00712961" w:rsidRDefault="00ED5B88" w:rsidP="00032ABC">
      <w:pPr>
        <w:pStyle w:val="Bulletlist"/>
      </w:pPr>
      <w:r w:rsidRPr="00712961">
        <w:t>Risk assessment</w:t>
      </w:r>
    </w:p>
    <w:p w14:paraId="74983D71" w14:textId="77777777" w:rsidR="00ED5B88" w:rsidRPr="00712961" w:rsidRDefault="00ED5B88" w:rsidP="00032ABC">
      <w:pPr>
        <w:pStyle w:val="Bulletlist2"/>
      </w:pPr>
      <w:r w:rsidRPr="00712961">
        <w:t>identify nature/extent of risk and factors that contribute to this risk</w:t>
      </w:r>
    </w:p>
    <w:p w14:paraId="0F7A0EF7" w14:textId="77777777" w:rsidR="00ED5B88" w:rsidRPr="00712961" w:rsidRDefault="00ED5B88" w:rsidP="00032ABC">
      <w:pPr>
        <w:pStyle w:val="Bulletlist"/>
      </w:pPr>
      <w:r w:rsidRPr="00712961">
        <w:t>Needs assessment</w:t>
      </w:r>
    </w:p>
    <w:p w14:paraId="589CD765" w14:textId="77777777" w:rsidR="00ED5B88" w:rsidRPr="00712961" w:rsidRDefault="00ED5B88" w:rsidP="00032ABC">
      <w:pPr>
        <w:pStyle w:val="Bulletlist2"/>
      </w:pPr>
      <w:r w:rsidRPr="00712961">
        <w:t>strategies to remove/minimise this risk are identified</w:t>
      </w:r>
    </w:p>
    <w:p w14:paraId="14002A57" w14:textId="77777777" w:rsidR="00ED5B88" w:rsidRPr="00712961" w:rsidRDefault="00ED5B88" w:rsidP="00032ABC">
      <w:pPr>
        <w:pStyle w:val="Bulletlist"/>
      </w:pPr>
      <w:r w:rsidRPr="00712961">
        <w:t>No ‘one size fits all’</w:t>
      </w:r>
    </w:p>
    <w:p w14:paraId="65650D9E" w14:textId="77777777" w:rsidR="00ED5B88" w:rsidRPr="00712961" w:rsidRDefault="00ED5B88" w:rsidP="00032ABC">
      <w:pPr>
        <w:pStyle w:val="Bulletlist2"/>
      </w:pPr>
      <w:r w:rsidRPr="00712961">
        <w:t>a range of different strategies may be necessary</w:t>
      </w:r>
    </w:p>
    <w:p w14:paraId="70C84135" w14:textId="77777777" w:rsidR="00ED5B88" w:rsidRPr="00712961" w:rsidRDefault="00ED5B88" w:rsidP="00032ABC">
      <w:pPr>
        <w:pStyle w:val="Bulletlist2"/>
      </w:pPr>
      <w:r w:rsidRPr="00712961">
        <w:t>stand-alone responses may not be effective</w:t>
      </w:r>
    </w:p>
    <w:p w14:paraId="4D7A9426" w14:textId="77777777" w:rsidR="00ED5B88" w:rsidRPr="00712961" w:rsidRDefault="00ED5B88" w:rsidP="00032ABC">
      <w:pPr>
        <w:pStyle w:val="Bulletlist"/>
      </w:pPr>
      <w:r w:rsidRPr="00712961">
        <w:t>The influence of workplace culture</w:t>
      </w:r>
    </w:p>
    <w:p w14:paraId="7292666B" w14:textId="77777777" w:rsidR="00ED5B88" w:rsidRPr="00712961" w:rsidRDefault="00ED5B88" w:rsidP="00032ABC">
      <w:pPr>
        <w:pStyle w:val="Bulletlist2"/>
      </w:pPr>
      <w:r w:rsidRPr="00712961">
        <w:t>employees’ consumption patterns</w:t>
      </w:r>
    </w:p>
    <w:p w14:paraId="7570174C" w14:textId="77777777" w:rsidR="00ED5B88" w:rsidRPr="00712961" w:rsidRDefault="00ED5B88" w:rsidP="00032ABC">
      <w:pPr>
        <w:pStyle w:val="Bulletlist2"/>
      </w:pPr>
      <w:r w:rsidRPr="00712961">
        <w:t>the success/failure of response strategies</w:t>
      </w:r>
    </w:p>
    <w:p w14:paraId="683AA555" w14:textId="77777777" w:rsidR="00ED5B88" w:rsidRPr="00712961" w:rsidRDefault="00ED5B88" w:rsidP="00032ABC">
      <w:pPr>
        <w:pStyle w:val="Bulletlist"/>
      </w:pPr>
      <w:r w:rsidRPr="00712961">
        <w:t>Importance of employee involvement</w:t>
      </w:r>
    </w:p>
    <w:p w14:paraId="2CE5AF48" w14:textId="77777777" w:rsidR="00ED5B88" w:rsidRPr="00712961" w:rsidRDefault="00ED5B88" w:rsidP="00032ABC">
      <w:pPr>
        <w:pStyle w:val="Bulletlist2"/>
      </w:pPr>
      <w:r w:rsidRPr="00712961">
        <w:t>consultation</w:t>
      </w:r>
    </w:p>
    <w:p w14:paraId="02822B3C" w14:textId="77777777" w:rsidR="00ED5B88" w:rsidRPr="00712961" w:rsidRDefault="00ED5B88" w:rsidP="00032ABC">
      <w:pPr>
        <w:pStyle w:val="Bulletlist2"/>
      </w:pPr>
      <w:r w:rsidRPr="00712961">
        <w:t>development</w:t>
      </w:r>
    </w:p>
    <w:p w14:paraId="56C15A9D" w14:textId="77777777" w:rsidR="00ED5B88" w:rsidRPr="00712961" w:rsidRDefault="00ED5B88" w:rsidP="00032ABC">
      <w:pPr>
        <w:pStyle w:val="Bulletlist2"/>
      </w:pPr>
      <w:r w:rsidRPr="00712961">
        <w:t>implementation</w:t>
      </w:r>
    </w:p>
    <w:p w14:paraId="52BE0D42" w14:textId="77777777" w:rsidR="00ED5B88" w:rsidRPr="00712961" w:rsidRDefault="00ED5B88" w:rsidP="00032ABC">
      <w:pPr>
        <w:pStyle w:val="Bulletlist"/>
      </w:pPr>
      <w:r w:rsidRPr="00712961">
        <w:t>Consultancy &amp; Advice on:</w:t>
      </w:r>
    </w:p>
    <w:p w14:paraId="600F6DBF" w14:textId="77777777" w:rsidR="00ED5B88" w:rsidRPr="00712961" w:rsidRDefault="00ED5B88" w:rsidP="00032ABC">
      <w:pPr>
        <w:pStyle w:val="Bulletlist2"/>
      </w:pPr>
      <w:r w:rsidRPr="00712961">
        <w:t>Workplace AOD policies</w:t>
      </w:r>
    </w:p>
    <w:p w14:paraId="4AF2313F" w14:textId="77777777" w:rsidR="00ED5B88" w:rsidRPr="00712961" w:rsidRDefault="00ED5B88" w:rsidP="00032ABC">
      <w:pPr>
        <w:pStyle w:val="Bulletlist2"/>
      </w:pPr>
      <w:r w:rsidRPr="00712961">
        <w:t>Workplace AOD intervention strategies</w:t>
      </w:r>
    </w:p>
    <w:p w14:paraId="48581733" w14:textId="77777777" w:rsidR="00ED5B88" w:rsidRPr="00712961" w:rsidRDefault="00ED5B88" w:rsidP="00032ABC">
      <w:pPr>
        <w:pStyle w:val="Bulletlist2"/>
      </w:pPr>
      <w:r w:rsidRPr="00712961">
        <w:t>Tailored employee awareness &amp; education sessions</w:t>
      </w:r>
    </w:p>
    <w:p w14:paraId="767EED25" w14:textId="77777777" w:rsidR="00ED5B88" w:rsidRPr="00712961" w:rsidRDefault="00ED5B88" w:rsidP="00032ABC">
      <w:pPr>
        <w:pStyle w:val="Bulletlist2"/>
      </w:pPr>
      <w:r w:rsidRPr="00712961">
        <w:t>Tailored supervisor and OHS staff training programs</w:t>
      </w:r>
    </w:p>
    <w:p w14:paraId="7E5C9AAD" w14:textId="77777777" w:rsidR="00ED5B88" w:rsidRDefault="00ED5B88" w:rsidP="00032ABC">
      <w:pPr>
        <w:pStyle w:val="Bulletlist2"/>
      </w:pPr>
      <w:r w:rsidRPr="00712961">
        <w:t>Evaluation of education, training &amp; intervention strategies</w:t>
      </w:r>
    </w:p>
    <w:p w14:paraId="41A6D0F7" w14:textId="77777777" w:rsidR="00744058" w:rsidRPr="00712961" w:rsidRDefault="00744058" w:rsidP="00744058"/>
    <w:p w14:paraId="37AB5FC9" w14:textId="77777777" w:rsidR="00ED5B88" w:rsidRPr="00712961" w:rsidRDefault="00ED5B88" w:rsidP="00032ABC">
      <w:r w:rsidRPr="00ED5B88">
        <w:t>www.nceta.flinders.edu.au</w:t>
      </w:r>
    </w:p>
    <w:p w14:paraId="44866382" w14:textId="77777777" w:rsidR="00ED5B88" w:rsidRPr="00712961" w:rsidRDefault="00ED5B88" w:rsidP="00744058"/>
    <w:p w14:paraId="72A4429F" w14:textId="77777777" w:rsidR="00AB0A6F" w:rsidRPr="00ED5B88" w:rsidRDefault="00AB0A6F" w:rsidP="00744058"/>
    <w:sectPr w:rsidR="00AB0A6F" w:rsidRPr="00ED5B88" w:rsidSect="000F635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7863A" w14:textId="77777777" w:rsidR="00450166" w:rsidRDefault="00450166" w:rsidP="00744058">
      <w:r>
        <w:separator/>
      </w:r>
    </w:p>
  </w:endnote>
  <w:endnote w:type="continuationSeparator" w:id="0">
    <w:p w14:paraId="37FE8754" w14:textId="77777777" w:rsidR="00450166" w:rsidRDefault="00450166" w:rsidP="0074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287" w:usb1="00000000" w:usb2="00000000" w:usb3="00000000" w:csb0="0000009F" w:csb1="00000000"/>
  </w:font>
  <w:font w:name="Myriad Pro Light">
    <w:altName w:val="Arial"/>
    <w:panose1 w:val="00000000000000000000"/>
    <w:charset w:val="00"/>
    <w:family w:val="swiss"/>
    <w:notTrueType/>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3B4FF" w14:textId="77777777" w:rsidR="00450166" w:rsidRDefault="00450166" w:rsidP="00744058">
      <w:r>
        <w:separator/>
      </w:r>
    </w:p>
  </w:footnote>
  <w:footnote w:type="continuationSeparator" w:id="0">
    <w:p w14:paraId="32873F3C" w14:textId="77777777" w:rsidR="00450166" w:rsidRDefault="00450166" w:rsidP="00744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50BD9"/>
    <w:multiLevelType w:val="hybridMultilevel"/>
    <w:tmpl w:val="4BCA17DA"/>
    <w:lvl w:ilvl="0" w:tplc="E25A4CEE">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37C77FE"/>
    <w:multiLevelType w:val="multilevel"/>
    <w:tmpl w:val="3D0EC958"/>
    <w:lvl w:ilvl="0">
      <w:start w:val="1"/>
      <w:numFmt w:val="decimal"/>
      <w:pStyle w:val="ListBullet"/>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61DD1922"/>
    <w:multiLevelType w:val="hybridMultilevel"/>
    <w:tmpl w:val="C8888CC4"/>
    <w:lvl w:ilvl="0" w:tplc="C8121180">
      <w:start w:val="1"/>
      <w:numFmt w:val="bullet"/>
      <w:pStyle w:val="Bulletlist"/>
      <w:lvlText w:val=""/>
      <w:lvlJc w:val="left"/>
      <w:pPr>
        <w:ind w:left="720" w:hanging="360"/>
      </w:pPr>
      <w:rPr>
        <w:rFonts w:ascii="Symbol" w:hAnsi="Symbol" w:hint="default"/>
      </w:rPr>
    </w:lvl>
    <w:lvl w:ilvl="1" w:tplc="8A62333A">
      <w:start w:val="1"/>
      <w:numFmt w:val="bullet"/>
      <w:pStyle w:val="Bulletlis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196C19"/>
    <w:multiLevelType w:val="hybridMultilevel"/>
    <w:tmpl w:val="6F5EE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78"/>
    <w:rsid w:val="0000569A"/>
    <w:rsid w:val="0001449E"/>
    <w:rsid w:val="00032ABC"/>
    <w:rsid w:val="000711D0"/>
    <w:rsid w:val="00071945"/>
    <w:rsid w:val="00091D50"/>
    <w:rsid w:val="000B2645"/>
    <w:rsid w:val="000D1E50"/>
    <w:rsid w:val="000F6354"/>
    <w:rsid w:val="001310A6"/>
    <w:rsid w:val="001E6A85"/>
    <w:rsid w:val="00233643"/>
    <w:rsid w:val="002467C2"/>
    <w:rsid w:val="002B3E2D"/>
    <w:rsid w:val="002C017B"/>
    <w:rsid w:val="002F2D1E"/>
    <w:rsid w:val="00343818"/>
    <w:rsid w:val="00347D65"/>
    <w:rsid w:val="00364205"/>
    <w:rsid w:val="003A787F"/>
    <w:rsid w:val="00415510"/>
    <w:rsid w:val="00447D08"/>
    <w:rsid w:val="00450166"/>
    <w:rsid w:val="004922D3"/>
    <w:rsid w:val="00495FAD"/>
    <w:rsid w:val="004A439B"/>
    <w:rsid w:val="005101CC"/>
    <w:rsid w:val="0054126A"/>
    <w:rsid w:val="0054524A"/>
    <w:rsid w:val="00556475"/>
    <w:rsid w:val="00564CA2"/>
    <w:rsid w:val="00573E8D"/>
    <w:rsid w:val="005B001A"/>
    <w:rsid w:val="005D1F61"/>
    <w:rsid w:val="005D236C"/>
    <w:rsid w:val="006025B6"/>
    <w:rsid w:val="00615B10"/>
    <w:rsid w:val="00620EA1"/>
    <w:rsid w:val="00653FB1"/>
    <w:rsid w:val="00682BE6"/>
    <w:rsid w:val="006A3E98"/>
    <w:rsid w:val="006A6E11"/>
    <w:rsid w:val="006B0A05"/>
    <w:rsid w:val="006B5438"/>
    <w:rsid w:val="006C5959"/>
    <w:rsid w:val="006F596C"/>
    <w:rsid w:val="006F5F6A"/>
    <w:rsid w:val="00735538"/>
    <w:rsid w:val="00737AB0"/>
    <w:rsid w:val="00744058"/>
    <w:rsid w:val="00776712"/>
    <w:rsid w:val="007C1A49"/>
    <w:rsid w:val="007E522F"/>
    <w:rsid w:val="00807148"/>
    <w:rsid w:val="008233E0"/>
    <w:rsid w:val="008536E2"/>
    <w:rsid w:val="008615B0"/>
    <w:rsid w:val="008754BD"/>
    <w:rsid w:val="008A006A"/>
    <w:rsid w:val="008A32BE"/>
    <w:rsid w:val="008B7D78"/>
    <w:rsid w:val="008E47A3"/>
    <w:rsid w:val="008F5A73"/>
    <w:rsid w:val="00902D5C"/>
    <w:rsid w:val="00926F2A"/>
    <w:rsid w:val="00952872"/>
    <w:rsid w:val="009E4FBA"/>
    <w:rsid w:val="009E68A6"/>
    <w:rsid w:val="00A35BAC"/>
    <w:rsid w:val="00A36AFF"/>
    <w:rsid w:val="00A55C9E"/>
    <w:rsid w:val="00A87150"/>
    <w:rsid w:val="00A934C6"/>
    <w:rsid w:val="00AA7139"/>
    <w:rsid w:val="00AB0A6F"/>
    <w:rsid w:val="00AC399E"/>
    <w:rsid w:val="00AD63EB"/>
    <w:rsid w:val="00AF777E"/>
    <w:rsid w:val="00B4410E"/>
    <w:rsid w:val="00B57221"/>
    <w:rsid w:val="00B63072"/>
    <w:rsid w:val="00B72485"/>
    <w:rsid w:val="00B85321"/>
    <w:rsid w:val="00B85E45"/>
    <w:rsid w:val="00B96D6D"/>
    <w:rsid w:val="00BA5256"/>
    <w:rsid w:val="00BB334E"/>
    <w:rsid w:val="00C07646"/>
    <w:rsid w:val="00C83AF8"/>
    <w:rsid w:val="00C853D2"/>
    <w:rsid w:val="00CA5322"/>
    <w:rsid w:val="00CB029E"/>
    <w:rsid w:val="00CB256E"/>
    <w:rsid w:val="00CD0465"/>
    <w:rsid w:val="00CE510E"/>
    <w:rsid w:val="00CF3E45"/>
    <w:rsid w:val="00D01B28"/>
    <w:rsid w:val="00D0428C"/>
    <w:rsid w:val="00D3553B"/>
    <w:rsid w:val="00D5267F"/>
    <w:rsid w:val="00D7737F"/>
    <w:rsid w:val="00D84AC3"/>
    <w:rsid w:val="00D85B90"/>
    <w:rsid w:val="00DA4061"/>
    <w:rsid w:val="00DE20FE"/>
    <w:rsid w:val="00DF62FF"/>
    <w:rsid w:val="00DF63EC"/>
    <w:rsid w:val="00E17474"/>
    <w:rsid w:val="00E3317F"/>
    <w:rsid w:val="00E65DE5"/>
    <w:rsid w:val="00EA1932"/>
    <w:rsid w:val="00EB61EC"/>
    <w:rsid w:val="00EC433B"/>
    <w:rsid w:val="00ED5B88"/>
    <w:rsid w:val="00EF4E8D"/>
    <w:rsid w:val="00F164A1"/>
    <w:rsid w:val="00F24071"/>
    <w:rsid w:val="00F46C01"/>
    <w:rsid w:val="00F56CC7"/>
    <w:rsid w:val="00F73FE6"/>
    <w:rsid w:val="00F9206D"/>
    <w:rsid w:val="00FA6BD8"/>
    <w:rsid w:val="00FB4E79"/>
    <w:rsid w:val="00FC4CF6"/>
    <w:rsid w:val="00FD16BC"/>
    <w:rsid w:val="00FE566C"/>
    <w:rsid w:val="00FF2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6E25577"/>
  <w15:docId w15:val="{F3FB86DD-02A6-4687-9386-C3659136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058"/>
    <w:rPr>
      <w:rFonts w:asciiTheme="minorHAnsi" w:hAnsiTheme="minorHAnsi" w:cstheme="minorHAnsi"/>
      <w:sz w:val="22"/>
      <w:szCs w:val="22"/>
    </w:rPr>
  </w:style>
  <w:style w:type="paragraph" w:styleId="Heading1">
    <w:name w:val="heading 1"/>
    <w:basedOn w:val="Normal"/>
    <w:next w:val="Normal"/>
    <w:link w:val="Heading1Char"/>
    <w:uiPriority w:val="99"/>
    <w:qFormat/>
    <w:rsid w:val="00450166"/>
    <w:pPr>
      <w:keepNext/>
      <w:outlineLvl w:val="0"/>
    </w:pPr>
    <w:rPr>
      <w:rFonts w:eastAsia="Batang"/>
      <w:b/>
      <w:bCs/>
      <w:lang w:val="en-US" w:eastAsia="en-US"/>
    </w:rPr>
  </w:style>
  <w:style w:type="paragraph" w:styleId="Heading2">
    <w:name w:val="heading 2"/>
    <w:basedOn w:val="Normal"/>
    <w:next w:val="Normal"/>
    <w:qFormat/>
    <w:rsid w:val="00450166"/>
    <w:pPr>
      <w:keepNext/>
      <w:outlineLvl w:val="1"/>
    </w:pPr>
    <w:rPr>
      <w:bCs/>
      <w:iCs/>
      <w:u w:val="single"/>
      <w:lang w:val="en-US" w:eastAsia="en-US"/>
    </w:rPr>
  </w:style>
  <w:style w:type="paragraph" w:styleId="Heading3">
    <w:name w:val="heading 3"/>
    <w:basedOn w:val="Normal"/>
    <w:next w:val="Normal"/>
    <w:qFormat/>
    <w:rsid w:val="00FD16BC"/>
    <w:pPr>
      <w:keepNext/>
      <w:spacing w:before="240" w:after="60"/>
      <w:outlineLvl w:val="2"/>
    </w:pPr>
    <w:rPr>
      <w:rFonts w:ascii="Arial" w:hAnsi="Arial"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50166"/>
    <w:rPr>
      <w:rFonts w:asciiTheme="minorHAnsi" w:eastAsia="Batang" w:hAnsiTheme="minorHAnsi" w:cstheme="minorHAnsi"/>
      <w:b/>
      <w:bCs/>
      <w:sz w:val="22"/>
      <w:szCs w:val="22"/>
      <w:lang w:val="en-US" w:eastAsia="en-US"/>
    </w:rPr>
  </w:style>
  <w:style w:type="paragraph" w:styleId="BodyText">
    <w:name w:val="Body Text"/>
    <w:basedOn w:val="Normal"/>
    <w:link w:val="BodyTextChar"/>
    <w:uiPriority w:val="99"/>
    <w:rsid w:val="008B7D78"/>
  </w:style>
  <w:style w:type="character" w:customStyle="1" w:styleId="BodyTextChar">
    <w:name w:val="Body Text Char"/>
    <w:basedOn w:val="DefaultParagraphFont"/>
    <w:link w:val="BodyText"/>
    <w:uiPriority w:val="99"/>
    <w:rsid w:val="008B7D78"/>
    <w:rPr>
      <w:rFonts w:asciiTheme="minorHAnsi" w:hAnsiTheme="minorHAnsi" w:cstheme="minorHAnsi"/>
      <w:sz w:val="22"/>
      <w:szCs w:val="22"/>
    </w:rPr>
  </w:style>
  <w:style w:type="character" w:styleId="Hyperlink">
    <w:name w:val="Hyperlink"/>
    <w:basedOn w:val="DefaultParagraphFont"/>
    <w:uiPriority w:val="99"/>
    <w:rsid w:val="008B7D78"/>
    <w:rPr>
      <w:rFonts w:cs="Times New Roman"/>
      <w:color w:val="0000FF"/>
      <w:u w:val="single"/>
    </w:rPr>
  </w:style>
  <w:style w:type="paragraph" w:styleId="Title">
    <w:name w:val="Title"/>
    <w:basedOn w:val="BodyText"/>
    <w:next w:val="Normal"/>
    <w:link w:val="TitleChar"/>
    <w:uiPriority w:val="10"/>
    <w:qFormat/>
    <w:rsid w:val="008B7D78"/>
    <w:rPr>
      <w:b/>
      <w:sz w:val="32"/>
      <w:szCs w:val="32"/>
    </w:rPr>
  </w:style>
  <w:style w:type="character" w:customStyle="1" w:styleId="TitleChar">
    <w:name w:val="Title Char"/>
    <w:basedOn w:val="DefaultParagraphFont"/>
    <w:link w:val="Title"/>
    <w:uiPriority w:val="10"/>
    <w:rsid w:val="008B7D78"/>
    <w:rPr>
      <w:rFonts w:asciiTheme="minorHAnsi" w:hAnsiTheme="minorHAnsi" w:cstheme="minorHAnsi"/>
      <w:b/>
      <w:sz w:val="32"/>
      <w:szCs w:val="32"/>
    </w:rPr>
  </w:style>
  <w:style w:type="paragraph" w:styleId="ListParagraph">
    <w:name w:val="List Paragraph"/>
    <w:basedOn w:val="Normal"/>
    <w:uiPriority w:val="34"/>
    <w:qFormat/>
    <w:rsid w:val="008B7D78"/>
    <w:pPr>
      <w:ind w:left="720"/>
      <w:contextualSpacing/>
    </w:pPr>
  </w:style>
  <w:style w:type="paragraph" w:customStyle="1" w:styleId="H1">
    <w:name w:val="H1"/>
    <w:basedOn w:val="Normal"/>
    <w:rsid w:val="008754BD"/>
    <w:pPr>
      <w:tabs>
        <w:tab w:val="left" w:pos="283"/>
      </w:tabs>
      <w:suppressAutoHyphens/>
      <w:autoSpaceDE w:val="0"/>
      <w:autoSpaceDN w:val="0"/>
      <w:adjustRightInd w:val="0"/>
      <w:spacing w:before="113" w:after="113" w:line="280" w:lineRule="atLeast"/>
      <w:ind w:left="283" w:hanging="283"/>
      <w:textAlignment w:val="center"/>
    </w:pPr>
    <w:rPr>
      <w:rFonts w:ascii="Myriad Pro" w:hAnsi="Myriad Pro" w:cs="Myriad Pro"/>
      <w:color w:val="C3112F"/>
      <w:sz w:val="28"/>
      <w:szCs w:val="28"/>
      <w:lang w:val="en-GB"/>
    </w:rPr>
  </w:style>
  <w:style w:type="paragraph" w:customStyle="1" w:styleId="Body">
    <w:name w:val="Body"/>
    <w:basedOn w:val="Normal"/>
    <w:rsid w:val="008754BD"/>
    <w:pPr>
      <w:suppressAutoHyphens/>
      <w:autoSpaceDE w:val="0"/>
      <w:autoSpaceDN w:val="0"/>
      <w:adjustRightInd w:val="0"/>
      <w:spacing w:after="227" w:line="220" w:lineRule="atLeast"/>
      <w:textAlignment w:val="center"/>
    </w:pPr>
    <w:rPr>
      <w:rFonts w:ascii="Myriad Pro" w:hAnsi="Myriad Pro" w:cs="Myriad Pro"/>
      <w:color w:val="000000"/>
      <w:sz w:val="18"/>
      <w:szCs w:val="18"/>
      <w:lang w:val="en-GB"/>
    </w:rPr>
  </w:style>
  <w:style w:type="paragraph" w:customStyle="1" w:styleId="H2-boldred">
    <w:name w:val="H2 - bold red"/>
    <w:basedOn w:val="Body"/>
    <w:rsid w:val="008754BD"/>
    <w:pPr>
      <w:tabs>
        <w:tab w:val="left" w:pos="567"/>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s>
      <w:spacing w:before="113" w:after="28"/>
    </w:pPr>
    <w:rPr>
      <w:rFonts w:ascii="Myriad Pro Light" w:hAnsi="Myriad Pro Light" w:cs="Myriad Pro Light"/>
      <w:color w:val="C3112F"/>
      <w:sz w:val="22"/>
      <w:szCs w:val="22"/>
    </w:rPr>
  </w:style>
  <w:style w:type="paragraph" w:customStyle="1" w:styleId="Bodyindent">
    <w:name w:val="Body indent"/>
    <w:basedOn w:val="Normal"/>
    <w:next w:val="Body"/>
    <w:rsid w:val="008754BD"/>
    <w:pPr>
      <w:suppressAutoHyphens/>
      <w:autoSpaceDE w:val="0"/>
      <w:autoSpaceDN w:val="0"/>
      <w:adjustRightInd w:val="0"/>
      <w:spacing w:after="57" w:line="220" w:lineRule="atLeast"/>
      <w:ind w:left="283" w:right="283"/>
      <w:textAlignment w:val="center"/>
    </w:pPr>
    <w:rPr>
      <w:rFonts w:ascii="Myriad Pro" w:hAnsi="Myriad Pro" w:cs="Myriad Pro"/>
      <w:color w:val="000000"/>
      <w:sz w:val="18"/>
      <w:szCs w:val="18"/>
      <w:lang w:val="en-GB"/>
    </w:rPr>
  </w:style>
  <w:style w:type="character" w:customStyle="1" w:styleId="bold">
    <w:name w:val="bold"/>
    <w:rsid w:val="008754BD"/>
    <w:rPr>
      <w:b/>
      <w:bCs/>
    </w:rPr>
  </w:style>
  <w:style w:type="paragraph" w:customStyle="1" w:styleId="Bullets">
    <w:name w:val="Bullets"/>
    <w:basedOn w:val="Normal"/>
    <w:rsid w:val="008754BD"/>
    <w:pPr>
      <w:suppressAutoHyphens/>
      <w:autoSpaceDE w:val="0"/>
      <w:autoSpaceDN w:val="0"/>
      <w:adjustRightInd w:val="0"/>
      <w:spacing w:after="113" w:line="220" w:lineRule="atLeast"/>
      <w:ind w:left="227" w:hanging="227"/>
      <w:textAlignment w:val="center"/>
    </w:pPr>
    <w:rPr>
      <w:rFonts w:ascii="Myriad Pro" w:hAnsi="Myriad Pro" w:cs="Myriad Pro"/>
      <w:color w:val="000000"/>
      <w:sz w:val="18"/>
      <w:szCs w:val="18"/>
      <w:lang w:val="en-GB"/>
    </w:rPr>
  </w:style>
  <w:style w:type="paragraph" w:customStyle="1" w:styleId="Bulletlist">
    <w:name w:val="Bullet list"/>
    <w:basedOn w:val="ListParagraph"/>
    <w:qFormat/>
    <w:rsid w:val="008754BD"/>
    <w:pPr>
      <w:numPr>
        <w:numId w:val="1"/>
      </w:numPr>
    </w:pPr>
  </w:style>
  <w:style w:type="character" w:styleId="SubtleEmphasis">
    <w:name w:val="Subtle Emphasis"/>
    <w:basedOn w:val="DefaultParagraphFont"/>
    <w:uiPriority w:val="19"/>
    <w:qFormat/>
    <w:rsid w:val="008754BD"/>
    <w:rPr>
      <w:i/>
      <w:iCs/>
      <w:color w:val="808080" w:themeColor="text1" w:themeTint="7F"/>
    </w:rPr>
  </w:style>
  <w:style w:type="character" w:styleId="Emphasis">
    <w:name w:val="Emphasis"/>
    <w:basedOn w:val="DefaultParagraphFont"/>
    <w:uiPriority w:val="20"/>
    <w:qFormat/>
    <w:rsid w:val="008754BD"/>
    <w:rPr>
      <w:i/>
      <w:iCs/>
    </w:rPr>
  </w:style>
  <w:style w:type="character" w:styleId="Strong">
    <w:name w:val="Strong"/>
    <w:basedOn w:val="DefaultParagraphFont"/>
    <w:uiPriority w:val="22"/>
    <w:qFormat/>
    <w:rsid w:val="00FB4E79"/>
    <w:rPr>
      <w:b/>
      <w:bCs/>
    </w:rPr>
  </w:style>
  <w:style w:type="paragraph" w:styleId="Quote">
    <w:name w:val="Quote"/>
    <w:basedOn w:val="Normal"/>
    <w:next w:val="Normal"/>
    <w:link w:val="QuoteChar"/>
    <w:uiPriority w:val="29"/>
    <w:qFormat/>
    <w:rsid w:val="00347D65"/>
    <w:rPr>
      <w:i/>
      <w:iCs/>
      <w:color w:val="000000" w:themeColor="text1"/>
    </w:rPr>
  </w:style>
  <w:style w:type="character" w:customStyle="1" w:styleId="QuoteChar">
    <w:name w:val="Quote Char"/>
    <w:basedOn w:val="DefaultParagraphFont"/>
    <w:link w:val="Quote"/>
    <w:uiPriority w:val="29"/>
    <w:rsid w:val="00347D65"/>
    <w:rPr>
      <w:rFonts w:asciiTheme="minorHAnsi" w:hAnsiTheme="minorHAnsi" w:cstheme="minorHAnsi"/>
      <w:i/>
      <w:iCs/>
      <w:color w:val="000000" w:themeColor="text1"/>
      <w:sz w:val="22"/>
      <w:szCs w:val="22"/>
    </w:rPr>
  </w:style>
  <w:style w:type="paragraph" w:customStyle="1" w:styleId="Bulletlist2">
    <w:name w:val="Bullet list 2"/>
    <w:basedOn w:val="Bulletlist"/>
    <w:qFormat/>
    <w:rsid w:val="00C83AF8"/>
    <w:pPr>
      <w:numPr>
        <w:ilvl w:val="1"/>
      </w:numPr>
    </w:pPr>
  </w:style>
  <w:style w:type="paragraph" w:styleId="ListBullet">
    <w:name w:val="List Bullet"/>
    <w:basedOn w:val="Normal"/>
    <w:uiPriority w:val="99"/>
    <w:rsid w:val="00AA7139"/>
    <w:pPr>
      <w:numPr>
        <w:numId w:val="2"/>
      </w:numPr>
    </w:pPr>
    <w:rPr>
      <w:rFonts w:ascii="Arial" w:hAnsi="Arial" w:cs="Times New Roman"/>
      <w:sz w:val="20"/>
      <w:szCs w:val="24"/>
    </w:rPr>
  </w:style>
  <w:style w:type="paragraph" w:customStyle="1" w:styleId="Heading2Text">
    <w:name w:val="Heading 2Text"/>
    <w:basedOn w:val="Normal"/>
    <w:uiPriority w:val="99"/>
    <w:rsid w:val="00AA7139"/>
    <w:pPr>
      <w:tabs>
        <w:tab w:val="left" w:pos="720"/>
      </w:tabs>
      <w:spacing w:before="120"/>
      <w:jc w:val="both"/>
    </w:pPr>
    <w:rPr>
      <w:rFonts w:ascii="Times New Roman" w:hAnsi="Times New Roman" w:cs="Times New Roman"/>
      <w:sz w:val="24"/>
      <w:szCs w:val="20"/>
      <w:lang w:val="en-GB" w:eastAsia="en-US"/>
    </w:rPr>
  </w:style>
  <w:style w:type="paragraph" w:customStyle="1" w:styleId="Numbers">
    <w:name w:val="Numbers"/>
    <w:basedOn w:val="Heading2Text"/>
    <w:qFormat/>
    <w:rsid w:val="00CE510E"/>
    <w:pPr>
      <w:numPr>
        <w:numId w:val="3"/>
      </w:numPr>
      <w:tabs>
        <w:tab w:val="clear" w:pos="720"/>
      </w:tabs>
      <w:spacing w:before="60"/>
    </w:pPr>
    <w:rPr>
      <w:rFonts w:ascii="Arial" w:hAnsi="Arial" w:cs="Arial"/>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8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8" ma:contentTypeDescription="Create a new document." ma:contentTypeScope="" ma:versionID="0f825df1d1b52a4e02640f3c56bc8bc8">
  <xsd:schema xmlns:xsd="http://www.w3.org/2001/XMLSchema" xmlns:xs="http://www.w3.org/2001/XMLSchema" xmlns:p="http://schemas.microsoft.com/office/2006/metadata/properties" xmlns:ns3="c0fd65f7-4e73-4983-bb21-592ea7224115" targetNamespace="http://schemas.microsoft.com/office/2006/metadata/properties" ma:root="true" ma:fieldsID="247962be2ed3e6b2420b74fa18d30005"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A4294-5C93-4F65-908B-FF9F7F9B9BC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0fd65f7-4e73-4983-bb21-592ea7224115"/>
    <ds:schemaRef ds:uri="http://www.w3.org/XML/1998/namespace"/>
    <ds:schemaRef ds:uri="http://purl.org/dc/dcmitype/"/>
  </ds:schemaRefs>
</ds:datastoreItem>
</file>

<file path=customXml/itemProps2.xml><?xml version="1.0" encoding="utf-8"?>
<ds:datastoreItem xmlns:ds="http://schemas.openxmlformats.org/officeDocument/2006/customXml" ds:itemID="{6BC20226-204A-4350-BFBE-D7EE8F9AD3FE}">
  <ds:schemaRefs>
    <ds:schemaRef ds:uri="http://schemas.microsoft.com/sharepoint/v3/contenttype/forms"/>
  </ds:schemaRefs>
</ds:datastoreItem>
</file>

<file path=customXml/itemProps3.xml><?xml version="1.0" encoding="utf-8"?>
<ds:datastoreItem xmlns:ds="http://schemas.openxmlformats.org/officeDocument/2006/customXml" ds:itemID="{A7EAA230-E126-4055-A598-A8D8AE30C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B94B7-0C7A-424C-A4F8-97EFE1ED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1755</Words>
  <Characters>10007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Pennington</dc:creator>
  <cp:lastModifiedBy>SIMMS,Daniel</cp:lastModifiedBy>
  <cp:revision>2</cp:revision>
  <dcterms:created xsi:type="dcterms:W3CDTF">2020-02-04T21:22:00Z</dcterms:created>
  <dcterms:modified xsi:type="dcterms:W3CDTF">2020-02-04T21:22:00Z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