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9E" w:rsidRDefault="0065709E" w:rsidP="0065709E">
      <w:pPr>
        <w:jc w:val="center"/>
        <w:rPr>
          <w:rFonts w:ascii="Tahoma" w:hAnsi="Tahoma" w:cs="Tahoma"/>
          <w:b/>
          <w:sz w:val="32"/>
          <w:szCs w:val="32"/>
        </w:rPr>
      </w:pPr>
      <w:bookmarkStart w:id="0" w:name="_GoBack"/>
      <w:bookmarkEnd w:id="0"/>
    </w:p>
    <w:p w:rsidR="0065709E" w:rsidRDefault="0065709E" w:rsidP="0065709E">
      <w:pPr>
        <w:rPr>
          <w:rFonts w:ascii="Tahoma" w:hAnsi="Tahoma" w:cs="Tahoma"/>
          <w:b/>
          <w:sz w:val="32"/>
          <w:szCs w:val="32"/>
        </w:rPr>
      </w:pPr>
    </w:p>
    <w:p w:rsidR="0065709E" w:rsidRDefault="0065709E" w:rsidP="0065709E">
      <w:pPr>
        <w:rPr>
          <w:rFonts w:ascii="Tahoma" w:hAnsi="Tahoma" w:cs="Tahoma"/>
          <w:b/>
          <w:sz w:val="32"/>
          <w:szCs w:val="32"/>
        </w:rPr>
      </w:pPr>
    </w:p>
    <w:p w:rsidR="0065709E" w:rsidRDefault="0065709E" w:rsidP="0065709E">
      <w:pPr>
        <w:rPr>
          <w:rFonts w:ascii="Tahoma" w:hAnsi="Tahoma" w:cs="Tahoma"/>
          <w:b/>
          <w:sz w:val="32"/>
          <w:szCs w:val="32"/>
        </w:rPr>
      </w:pPr>
    </w:p>
    <w:p w:rsidR="0065709E" w:rsidRDefault="0065709E" w:rsidP="0065709E">
      <w:pPr>
        <w:rPr>
          <w:rFonts w:ascii="Tahoma" w:hAnsi="Tahoma" w:cs="Tahoma"/>
          <w:b/>
          <w:sz w:val="32"/>
          <w:szCs w:val="32"/>
        </w:rPr>
      </w:pPr>
    </w:p>
    <w:p w:rsidR="00B62EE8" w:rsidRDefault="00B62EE8" w:rsidP="0065709E">
      <w:pPr>
        <w:rPr>
          <w:rFonts w:ascii="Tahoma" w:hAnsi="Tahoma" w:cs="Tahoma"/>
          <w:b/>
          <w:sz w:val="32"/>
          <w:szCs w:val="32"/>
        </w:rPr>
      </w:pPr>
    </w:p>
    <w:p w:rsidR="00B62EE8" w:rsidRDefault="00B62EE8" w:rsidP="0065709E">
      <w:pPr>
        <w:rPr>
          <w:rFonts w:ascii="Tahoma" w:hAnsi="Tahoma" w:cs="Tahoma"/>
          <w:b/>
          <w:sz w:val="32"/>
          <w:szCs w:val="32"/>
        </w:rPr>
      </w:pPr>
    </w:p>
    <w:p w:rsidR="0065709E" w:rsidRDefault="0065709E" w:rsidP="0065709E">
      <w:pPr>
        <w:rPr>
          <w:rFonts w:ascii="Tahoma" w:hAnsi="Tahoma" w:cs="Tahoma"/>
          <w:b/>
          <w:sz w:val="32"/>
          <w:szCs w:val="32"/>
        </w:rPr>
      </w:pPr>
    </w:p>
    <w:p w:rsidR="0065709E" w:rsidRDefault="0065709E" w:rsidP="0065709E">
      <w:pPr>
        <w:rPr>
          <w:rFonts w:ascii="Tahoma" w:hAnsi="Tahoma" w:cs="Tahoma"/>
          <w:b/>
          <w:sz w:val="32"/>
          <w:szCs w:val="32"/>
        </w:rPr>
      </w:pPr>
    </w:p>
    <w:p w:rsidR="0061189A" w:rsidRPr="006C1AF2" w:rsidRDefault="0065709E" w:rsidP="006C1AF2">
      <w:pPr>
        <w:pStyle w:val="Title"/>
      </w:pPr>
      <w:r w:rsidRPr="006C1AF2">
        <w:t xml:space="preserve">ANALYSIS OF </w:t>
      </w:r>
      <w:r w:rsidR="00013114" w:rsidRPr="006C1AF2">
        <w:t>BI</w:t>
      </w:r>
      <w:r w:rsidRPr="006C1AF2">
        <w:t>ANNUAL DATA FROM</w:t>
      </w:r>
    </w:p>
    <w:p w:rsidR="0061189A" w:rsidRPr="006C1AF2" w:rsidRDefault="0065709E" w:rsidP="006C1AF2">
      <w:pPr>
        <w:pStyle w:val="Title"/>
      </w:pPr>
      <w:r w:rsidRPr="006C1AF2">
        <w:t xml:space="preserve">ACCREDITED CONTRACTORS </w:t>
      </w:r>
      <w:r w:rsidR="00013114" w:rsidRPr="006C1AF2">
        <w:t>FOR THE</w:t>
      </w:r>
    </w:p>
    <w:p w:rsidR="0061189A" w:rsidRPr="006C1AF2" w:rsidRDefault="00555EF0" w:rsidP="006C1AF2">
      <w:pPr>
        <w:pStyle w:val="Title"/>
      </w:pPr>
      <w:r w:rsidRPr="006C1AF2">
        <w:t>JANUARY</w:t>
      </w:r>
      <w:r w:rsidR="0061189A" w:rsidRPr="006C1AF2">
        <w:t xml:space="preserve"> TO </w:t>
      </w:r>
      <w:r w:rsidRPr="006C1AF2">
        <w:t>JUNE</w:t>
      </w:r>
      <w:r w:rsidR="00013114" w:rsidRPr="006C1AF2">
        <w:t xml:space="preserve"> 200</w:t>
      </w:r>
      <w:r w:rsidRPr="006C1AF2">
        <w:t>9</w:t>
      </w:r>
    </w:p>
    <w:p w:rsidR="0065709E" w:rsidRDefault="00013114" w:rsidP="006C1AF2">
      <w:pPr>
        <w:pStyle w:val="Title"/>
      </w:pPr>
      <w:r w:rsidRPr="006C1AF2">
        <w:t>REPORTING PERIOD</w:t>
      </w:r>
    </w:p>
    <w:p w:rsidR="0065709E" w:rsidRDefault="0065709E" w:rsidP="0065709E">
      <w:pPr>
        <w:jc w:val="center"/>
        <w:rPr>
          <w:rFonts w:ascii="Tahoma" w:hAnsi="Tahoma" w:cs="Tahoma"/>
          <w:b/>
          <w:sz w:val="32"/>
          <w:szCs w:val="32"/>
        </w:rPr>
      </w:pPr>
    </w:p>
    <w:p w:rsidR="0065709E" w:rsidRDefault="0065709E" w:rsidP="0065709E">
      <w:pPr>
        <w:rPr>
          <w:rFonts w:ascii="Tahoma" w:hAnsi="Tahoma" w:cs="Tahoma"/>
          <w:b/>
          <w:sz w:val="32"/>
          <w:szCs w:val="32"/>
        </w:rPr>
      </w:pPr>
    </w:p>
    <w:p w:rsidR="0065709E" w:rsidRDefault="0065709E" w:rsidP="0065709E">
      <w:pPr>
        <w:rPr>
          <w:rFonts w:ascii="Tahoma" w:hAnsi="Tahoma" w:cs="Tahoma"/>
          <w:b/>
          <w:sz w:val="32"/>
          <w:szCs w:val="32"/>
        </w:rPr>
      </w:pPr>
    </w:p>
    <w:p w:rsidR="00B62EE8" w:rsidRDefault="00B62EE8" w:rsidP="0065709E">
      <w:pPr>
        <w:rPr>
          <w:rFonts w:ascii="Tahoma" w:hAnsi="Tahoma" w:cs="Tahoma"/>
          <w:b/>
          <w:sz w:val="32"/>
          <w:szCs w:val="32"/>
        </w:rPr>
      </w:pPr>
    </w:p>
    <w:p w:rsidR="00B62EE8" w:rsidRDefault="00B62EE8" w:rsidP="0065709E">
      <w:pPr>
        <w:rPr>
          <w:rFonts w:ascii="Tahoma" w:hAnsi="Tahoma" w:cs="Tahoma"/>
          <w:b/>
          <w:sz w:val="32"/>
          <w:szCs w:val="32"/>
        </w:rPr>
      </w:pPr>
    </w:p>
    <w:p w:rsidR="00B62EE8" w:rsidRDefault="00B62EE8" w:rsidP="0065709E">
      <w:pPr>
        <w:rPr>
          <w:rFonts w:ascii="Tahoma" w:hAnsi="Tahoma" w:cs="Tahoma"/>
          <w:b/>
          <w:sz w:val="32"/>
          <w:szCs w:val="32"/>
        </w:rPr>
      </w:pPr>
    </w:p>
    <w:p w:rsidR="00B62EE8" w:rsidRDefault="00B62EE8" w:rsidP="0065709E">
      <w:pPr>
        <w:rPr>
          <w:rFonts w:ascii="Tahoma" w:hAnsi="Tahoma" w:cs="Tahoma"/>
          <w:b/>
          <w:sz w:val="32"/>
          <w:szCs w:val="32"/>
        </w:rPr>
      </w:pPr>
    </w:p>
    <w:p w:rsidR="0065709E" w:rsidRDefault="0065709E" w:rsidP="0065709E">
      <w:pPr>
        <w:rPr>
          <w:rFonts w:ascii="Tahoma" w:hAnsi="Tahoma" w:cs="Tahoma"/>
          <w:b/>
          <w:sz w:val="32"/>
          <w:szCs w:val="32"/>
        </w:rPr>
      </w:pPr>
    </w:p>
    <w:p w:rsidR="00B62EE8" w:rsidRDefault="00B62EE8" w:rsidP="0065709E">
      <w:pPr>
        <w:rPr>
          <w:rFonts w:ascii="Tahoma" w:hAnsi="Tahoma" w:cs="Tahoma"/>
          <w:b/>
          <w:sz w:val="32"/>
          <w:szCs w:val="32"/>
        </w:rPr>
      </w:pPr>
    </w:p>
    <w:p w:rsidR="0065709E" w:rsidRDefault="0065709E" w:rsidP="0065709E">
      <w:pPr>
        <w:rPr>
          <w:rFonts w:ascii="Tahoma" w:hAnsi="Tahoma" w:cs="Tahoma"/>
          <w:b/>
          <w:sz w:val="32"/>
          <w:szCs w:val="32"/>
        </w:rPr>
      </w:pPr>
    </w:p>
    <w:p w:rsidR="0065709E" w:rsidRPr="001D5C20" w:rsidRDefault="0065709E" w:rsidP="001D5C20">
      <w:pPr>
        <w:pStyle w:val="Subtitle"/>
      </w:pPr>
      <w:r w:rsidRPr="001D5C20">
        <w:t>Australian Government Building and Construction OHS Accreditation Scheme</w:t>
      </w:r>
    </w:p>
    <w:p w:rsidR="0065709E" w:rsidRDefault="0065709E" w:rsidP="0065709E">
      <w:pPr>
        <w:jc w:val="center"/>
        <w:rPr>
          <w:rFonts w:ascii="Tahoma" w:hAnsi="Tahoma" w:cs="Tahoma"/>
          <w:sz w:val="32"/>
          <w:szCs w:val="32"/>
        </w:rPr>
      </w:pPr>
    </w:p>
    <w:p w:rsidR="0065709E" w:rsidRDefault="0065709E" w:rsidP="0065709E">
      <w:pPr>
        <w:jc w:val="center"/>
        <w:rPr>
          <w:rFonts w:ascii="Tahoma" w:hAnsi="Tahoma" w:cs="Tahoma"/>
          <w:sz w:val="32"/>
          <w:szCs w:val="32"/>
        </w:rPr>
      </w:pPr>
    </w:p>
    <w:p w:rsidR="0065709E" w:rsidRPr="001D5C20" w:rsidRDefault="0025624F" w:rsidP="001D5C20">
      <w:pPr>
        <w:pStyle w:val="Subtitle"/>
        <w:rPr>
          <w:sz w:val="32"/>
          <w:szCs w:val="32"/>
        </w:rPr>
      </w:pPr>
      <w:r w:rsidRPr="001D5C20">
        <w:rPr>
          <w:sz w:val="32"/>
          <w:szCs w:val="32"/>
        </w:rPr>
        <w:t>November</w:t>
      </w:r>
      <w:r w:rsidR="0065709E" w:rsidRPr="001D5C20">
        <w:rPr>
          <w:sz w:val="32"/>
          <w:szCs w:val="32"/>
        </w:rPr>
        <w:t xml:space="preserve"> 200</w:t>
      </w:r>
      <w:r w:rsidR="00013114" w:rsidRPr="001D5C20">
        <w:rPr>
          <w:sz w:val="32"/>
          <w:szCs w:val="32"/>
        </w:rPr>
        <w:t>9</w:t>
      </w:r>
    </w:p>
    <w:p w:rsidR="0065709E" w:rsidRDefault="0065709E" w:rsidP="00BC4075">
      <w:pPr>
        <w:rPr>
          <w:rFonts w:ascii="Tahoma" w:hAnsi="Tahoma" w:cs="Tahoma"/>
          <w:sz w:val="22"/>
          <w:szCs w:val="22"/>
        </w:rPr>
      </w:pPr>
    </w:p>
    <w:p w:rsidR="00EA7290" w:rsidRDefault="00EA7290" w:rsidP="00BC4075">
      <w:pPr>
        <w:rPr>
          <w:rFonts w:ascii="Tahoma" w:hAnsi="Tahoma" w:cs="Tahoma"/>
          <w:sz w:val="22"/>
          <w:szCs w:val="22"/>
        </w:rPr>
      </w:pPr>
    </w:p>
    <w:p w:rsidR="00EA7290" w:rsidRDefault="00EA7290" w:rsidP="00BC4075">
      <w:pPr>
        <w:rPr>
          <w:rFonts w:ascii="Tahoma" w:hAnsi="Tahoma" w:cs="Tahoma"/>
          <w:sz w:val="22"/>
          <w:szCs w:val="22"/>
        </w:rPr>
      </w:pPr>
    </w:p>
    <w:p w:rsidR="00EA7290" w:rsidRDefault="00EA7290" w:rsidP="00BC4075">
      <w:pPr>
        <w:rPr>
          <w:rFonts w:ascii="Tahoma" w:hAnsi="Tahoma" w:cs="Tahoma"/>
          <w:sz w:val="22"/>
          <w:szCs w:val="22"/>
        </w:rPr>
      </w:pPr>
    </w:p>
    <w:p w:rsidR="00EA7290" w:rsidRDefault="00EA7290" w:rsidP="00BC4075">
      <w:pPr>
        <w:rPr>
          <w:rFonts w:ascii="Tahoma" w:hAnsi="Tahoma" w:cs="Tahoma"/>
          <w:sz w:val="22"/>
          <w:szCs w:val="22"/>
        </w:rPr>
      </w:pPr>
    </w:p>
    <w:p w:rsidR="00EA7290" w:rsidRDefault="00EA7290" w:rsidP="00BC4075">
      <w:pPr>
        <w:rPr>
          <w:rFonts w:ascii="Tahoma" w:hAnsi="Tahoma" w:cs="Tahoma"/>
          <w:sz w:val="22"/>
          <w:szCs w:val="22"/>
        </w:rPr>
      </w:pPr>
    </w:p>
    <w:p w:rsidR="00EA7290" w:rsidRDefault="00EA7290" w:rsidP="00BC4075">
      <w:pPr>
        <w:rPr>
          <w:rFonts w:ascii="Tahoma" w:hAnsi="Tahoma" w:cs="Tahoma"/>
          <w:sz w:val="22"/>
          <w:szCs w:val="22"/>
        </w:rPr>
      </w:pPr>
    </w:p>
    <w:p w:rsidR="00EA7290" w:rsidRDefault="00EA7290" w:rsidP="00BC4075">
      <w:pPr>
        <w:rPr>
          <w:rFonts w:ascii="Tahoma" w:hAnsi="Tahoma" w:cs="Tahoma"/>
          <w:sz w:val="22"/>
          <w:szCs w:val="22"/>
        </w:rPr>
      </w:pPr>
    </w:p>
    <w:p w:rsidR="00EA7290" w:rsidRDefault="00EA7290" w:rsidP="00BC4075">
      <w:pPr>
        <w:rPr>
          <w:rFonts w:ascii="Tahoma" w:hAnsi="Tahoma" w:cs="Tahoma"/>
          <w:sz w:val="22"/>
          <w:szCs w:val="22"/>
        </w:rPr>
      </w:pPr>
    </w:p>
    <w:p w:rsidR="00EA7290" w:rsidRPr="00BC4075" w:rsidRDefault="00EA7290" w:rsidP="00BC4075">
      <w:pPr>
        <w:rPr>
          <w:rFonts w:ascii="Tahoma" w:hAnsi="Tahoma" w:cs="Tahoma"/>
          <w:sz w:val="22"/>
          <w:szCs w:val="22"/>
        </w:rPr>
      </w:pPr>
    </w:p>
    <w:p w:rsidR="0065709E" w:rsidRDefault="0065709E" w:rsidP="0061189A">
      <w:pPr>
        <w:jc w:val="center"/>
        <w:rPr>
          <w:rFonts w:ascii="Tahoma" w:hAnsi="Tahoma" w:cs="Tahoma"/>
          <w:b/>
          <w:sz w:val="22"/>
          <w:szCs w:val="22"/>
        </w:rPr>
      </w:pPr>
      <w:r w:rsidRPr="0061189A">
        <w:rPr>
          <w:rFonts w:ascii="Tahoma" w:hAnsi="Tahoma" w:cs="Tahoma"/>
          <w:b/>
          <w:sz w:val="22"/>
          <w:szCs w:val="22"/>
        </w:rPr>
        <w:t>CONTENTS</w:t>
      </w:r>
    </w:p>
    <w:p w:rsidR="00571187" w:rsidRPr="00731032" w:rsidRDefault="00731032" w:rsidP="00731032">
      <w:pPr>
        <w:jc w:val="right"/>
        <w:rPr>
          <w:rFonts w:ascii="Tahoma" w:hAnsi="Tahoma" w:cs="Tahoma"/>
          <w:sz w:val="22"/>
          <w:szCs w:val="22"/>
        </w:rPr>
      </w:pPr>
      <w:r w:rsidRPr="00731032">
        <w:rPr>
          <w:rFonts w:ascii="Tahoma" w:hAnsi="Tahoma" w:cs="Tahoma"/>
          <w:sz w:val="22"/>
          <w:szCs w:val="22"/>
        </w:rPr>
        <w:t>Page</w:t>
      </w:r>
    </w:p>
    <w:p w:rsidR="000633D7" w:rsidRDefault="00643CD6">
      <w:pPr>
        <w:pStyle w:val="TOC1"/>
        <w:tabs>
          <w:tab w:val="left" w:pos="480"/>
          <w:tab w:val="right" w:leader="dot" w:pos="8303"/>
        </w:tabs>
        <w:rPr>
          <w:rFonts w:cs="Times New Roman"/>
          <w:b w:val="0"/>
          <w:bCs w:val="0"/>
          <w:caps w:val="0"/>
          <w:noProof/>
          <w:lang w:eastAsia="en-AU"/>
        </w:rPr>
      </w:pPr>
      <w:r>
        <w:rPr>
          <w:rFonts w:ascii="Tahoma" w:hAnsi="Tahoma" w:cs="Tahoma"/>
          <w:bCs w:val="0"/>
          <w:caps w:val="0"/>
          <w:noProof/>
          <w:sz w:val="22"/>
          <w:szCs w:val="22"/>
        </w:rPr>
        <w:fldChar w:fldCharType="begin"/>
      </w:r>
      <w:r w:rsidR="006B4A68">
        <w:rPr>
          <w:rFonts w:ascii="Tahoma" w:hAnsi="Tahoma" w:cs="Tahoma"/>
          <w:bCs w:val="0"/>
          <w:caps w:val="0"/>
          <w:noProof/>
          <w:sz w:val="22"/>
          <w:szCs w:val="22"/>
        </w:rPr>
        <w:instrText xml:space="preserve"> TOC \o "1-3" \h \z \u </w:instrText>
      </w:r>
      <w:r>
        <w:rPr>
          <w:rFonts w:ascii="Tahoma" w:hAnsi="Tahoma" w:cs="Tahoma"/>
          <w:bCs w:val="0"/>
          <w:caps w:val="0"/>
          <w:noProof/>
          <w:sz w:val="22"/>
          <w:szCs w:val="22"/>
        </w:rPr>
        <w:fldChar w:fldCharType="separate"/>
      </w:r>
      <w:hyperlink w:anchor="_Toc246296843" w:history="1">
        <w:r w:rsidR="000633D7" w:rsidRPr="005847DE">
          <w:rPr>
            <w:rStyle w:val="Hyperlink"/>
            <w:noProof/>
          </w:rPr>
          <w:t>1</w:t>
        </w:r>
        <w:r w:rsidR="000633D7">
          <w:rPr>
            <w:rFonts w:cs="Times New Roman"/>
            <w:b w:val="0"/>
            <w:bCs w:val="0"/>
            <w:caps w:val="0"/>
            <w:noProof/>
            <w:lang w:eastAsia="en-AU"/>
          </w:rPr>
          <w:tab/>
        </w:r>
        <w:r w:rsidR="000633D7" w:rsidRPr="005847DE">
          <w:rPr>
            <w:rStyle w:val="Hyperlink"/>
            <w:noProof/>
          </w:rPr>
          <w:t>INTRODUCTION</w:t>
        </w:r>
        <w:r w:rsidR="000633D7">
          <w:rPr>
            <w:noProof/>
            <w:webHidden/>
          </w:rPr>
          <w:tab/>
        </w:r>
        <w:r>
          <w:rPr>
            <w:noProof/>
            <w:webHidden/>
          </w:rPr>
          <w:fldChar w:fldCharType="begin"/>
        </w:r>
        <w:r w:rsidR="000633D7">
          <w:rPr>
            <w:noProof/>
            <w:webHidden/>
          </w:rPr>
          <w:instrText xml:space="preserve"> PAGEREF _Toc246296843 \h </w:instrText>
        </w:r>
        <w:r>
          <w:rPr>
            <w:noProof/>
            <w:webHidden/>
          </w:rPr>
        </w:r>
        <w:r>
          <w:rPr>
            <w:noProof/>
            <w:webHidden/>
          </w:rPr>
          <w:fldChar w:fldCharType="separate"/>
        </w:r>
        <w:r w:rsidR="00EA7290">
          <w:rPr>
            <w:noProof/>
            <w:webHidden/>
          </w:rPr>
          <w:t>3</w:t>
        </w:r>
        <w:r>
          <w:rPr>
            <w:noProof/>
            <w:webHidden/>
          </w:rPr>
          <w:fldChar w:fldCharType="end"/>
        </w:r>
      </w:hyperlink>
    </w:p>
    <w:p w:rsidR="000633D7" w:rsidRDefault="00120D44">
      <w:pPr>
        <w:pStyle w:val="TOC1"/>
        <w:tabs>
          <w:tab w:val="left" w:pos="480"/>
          <w:tab w:val="right" w:leader="dot" w:pos="8303"/>
        </w:tabs>
        <w:rPr>
          <w:rFonts w:cs="Times New Roman"/>
          <w:b w:val="0"/>
          <w:bCs w:val="0"/>
          <w:caps w:val="0"/>
          <w:noProof/>
          <w:lang w:eastAsia="en-AU"/>
        </w:rPr>
      </w:pPr>
      <w:hyperlink w:anchor="_Toc246296844" w:history="1">
        <w:r w:rsidR="000633D7" w:rsidRPr="005847DE">
          <w:rPr>
            <w:rStyle w:val="Hyperlink"/>
            <w:noProof/>
          </w:rPr>
          <w:t>2</w:t>
        </w:r>
        <w:r w:rsidR="000633D7">
          <w:rPr>
            <w:rFonts w:cs="Times New Roman"/>
            <w:b w:val="0"/>
            <w:bCs w:val="0"/>
            <w:caps w:val="0"/>
            <w:noProof/>
            <w:lang w:eastAsia="en-AU"/>
          </w:rPr>
          <w:tab/>
        </w:r>
        <w:r w:rsidR="000633D7" w:rsidRPr="005847DE">
          <w:rPr>
            <w:rStyle w:val="Hyperlink"/>
            <w:noProof/>
          </w:rPr>
          <w:t>SCHEME THRESHOLDS</w:t>
        </w:r>
        <w:r w:rsidR="000633D7">
          <w:rPr>
            <w:noProof/>
            <w:webHidden/>
          </w:rPr>
          <w:tab/>
        </w:r>
        <w:r w:rsidR="00643CD6">
          <w:rPr>
            <w:noProof/>
            <w:webHidden/>
          </w:rPr>
          <w:fldChar w:fldCharType="begin"/>
        </w:r>
        <w:r w:rsidR="000633D7">
          <w:rPr>
            <w:noProof/>
            <w:webHidden/>
          </w:rPr>
          <w:instrText xml:space="preserve"> PAGEREF _Toc246296844 \h </w:instrText>
        </w:r>
        <w:r w:rsidR="00643CD6">
          <w:rPr>
            <w:noProof/>
            <w:webHidden/>
          </w:rPr>
        </w:r>
        <w:r w:rsidR="00643CD6">
          <w:rPr>
            <w:noProof/>
            <w:webHidden/>
          </w:rPr>
          <w:fldChar w:fldCharType="separate"/>
        </w:r>
        <w:r w:rsidR="00EA7290">
          <w:rPr>
            <w:noProof/>
            <w:webHidden/>
          </w:rPr>
          <w:t>3</w:t>
        </w:r>
        <w:r w:rsidR="00643CD6">
          <w:rPr>
            <w:noProof/>
            <w:webHidden/>
          </w:rPr>
          <w:fldChar w:fldCharType="end"/>
        </w:r>
      </w:hyperlink>
    </w:p>
    <w:p w:rsidR="000633D7" w:rsidRDefault="00120D44">
      <w:pPr>
        <w:pStyle w:val="TOC1"/>
        <w:tabs>
          <w:tab w:val="left" w:pos="480"/>
          <w:tab w:val="right" w:leader="dot" w:pos="8303"/>
        </w:tabs>
        <w:rPr>
          <w:rFonts w:cs="Times New Roman"/>
          <w:b w:val="0"/>
          <w:bCs w:val="0"/>
          <w:caps w:val="0"/>
          <w:noProof/>
          <w:lang w:eastAsia="en-AU"/>
        </w:rPr>
      </w:pPr>
      <w:hyperlink w:anchor="_Toc246296845" w:history="1">
        <w:r w:rsidR="000633D7" w:rsidRPr="005847DE">
          <w:rPr>
            <w:rStyle w:val="Hyperlink"/>
            <w:noProof/>
          </w:rPr>
          <w:t>3</w:t>
        </w:r>
        <w:r w:rsidR="000633D7">
          <w:rPr>
            <w:rFonts w:cs="Times New Roman"/>
            <w:b w:val="0"/>
            <w:bCs w:val="0"/>
            <w:caps w:val="0"/>
            <w:noProof/>
            <w:lang w:eastAsia="en-AU"/>
          </w:rPr>
          <w:tab/>
        </w:r>
        <w:r w:rsidR="000633D7" w:rsidRPr="005847DE">
          <w:rPr>
            <w:rStyle w:val="Hyperlink"/>
            <w:noProof/>
          </w:rPr>
          <w:t>REPORTING</w:t>
        </w:r>
        <w:r w:rsidR="000633D7">
          <w:rPr>
            <w:noProof/>
            <w:webHidden/>
          </w:rPr>
          <w:tab/>
        </w:r>
        <w:r w:rsidR="00643CD6">
          <w:rPr>
            <w:noProof/>
            <w:webHidden/>
          </w:rPr>
          <w:fldChar w:fldCharType="begin"/>
        </w:r>
        <w:r w:rsidR="000633D7">
          <w:rPr>
            <w:noProof/>
            <w:webHidden/>
          </w:rPr>
          <w:instrText xml:space="preserve"> PAGEREF _Toc246296845 \h </w:instrText>
        </w:r>
        <w:r w:rsidR="00643CD6">
          <w:rPr>
            <w:noProof/>
            <w:webHidden/>
          </w:rPr>
        </w:r>
        <w:r w:rsidR="00643CD6">
          <w:rPr>
            <w:noProof/>
            <w:webHidden/>
          </w:rPr>
          <w:fldChar w:fldCharType="separate"/>
        </w:r>
        <w:r w:rsidR="00EA7290">
          <w:rPr>
            <w:noProof/>
            <w:webHidden/>
          </w:rPr>
          <w:t>3</w:t>
        </w:r>
        <w:r w:rsidR="00643CD6">
          <w:rPr>
            <w:noProof/>
            <w:webHidden/>
          </w:rPr>
          <w:fldChar w:fldCharType="end"/>
        </w:r>
      </w:hyperlink>
    </w:p>
    <w:p w:rsidR="000633D7" w:rsidRDefault="00120D44">
      <w:pPr>
        <w:pStyle w:val="TOC1"/>
        <w:tabs>
          <w:tab w:val="left" w:pos="480"/>
          <w:tab w:val="right" w:leader="dot" w:pos="8303"/>
        </w:tabs>
        <w:rPr>
          <w:rFonts w:cs="Times New Roman"/>
          <w:b w:val="0"/>
          <w:bCs w:val="0"/>
          <w:caps w:val="0"/>
          <w:noProof/>
          <w:lang w:eastAsia="en-AU"/>
        </w:rPr>
      </w:pPr>
      <w:hyperlink w:anchor="_Toc246296846" w:history="1">
        <w:r w:rsidR="000633D7" w:rsidRPr="005847DE">
          <w:rPr>
            <w:rStyle w:val="Hyperlink"/>
            <w:noProof/>
          </w:rPr>
          <w:t>4</w:t>
        </w:r>
        <w:r w:rsidR="000633D7">
          <w:rPr>
            <w:rFonts w:cs="Times New Roman"/>
            <w:b w:val="0"/>
            <w:bCs w:val="0"/>
            <w:caps w:val="0"/>
            <w:noProof/>
            <w:lang w:eastAsia="en-AU"/>
          </w:rPr>
          <w:tab/>
        </w:r>
        <w:r w:rsidR="000633D7" w:rsidRPr="005847DE">
          <w:rPr>
            <w:rStyle w:val="Hyperlink"/>
            <w:noProof/>
          </w:rPr>
          <w:t>ANALYSIS</w:t>
        </w:r>
        <w:r w:rsidR="000633D7">
          <w:rPr>
            <w:noProof/>
            <w:webHidden/>
          </w:rPr>
          <w:tab/>
        </w:r>
        <w:r w:rsidR="00643CD6">
          <w:rPr>
            <w:noProof/>
            <w:webHidden/>
          </w:rPr>
          <w:fldChar w:fldCharType="begin"/>
        </w:r>
        <w:r w:rsidR="000633D7">
          <w:rPr>
            <w:noProof/>
            <w:webHidden/>
          </w:rPr>
          <w:instrText xml:space="preserve"> PAGEREF _Toc246296846 \h </w:instrText>
        </w:r>
        <w:r w:rsidR="00643CD6">
          <w:rPr>
            <w:noProof/>
            <w:webHidden/>
          </w:rPr>
        </w:r>
        <w:r w:rsidR="00643CD6">
          <w:rPr>
            <w:noProof/>
            <w:webHidden/>
          </w:rPr>
          <w:fldChar w:fldCharType="separate"/>
        </w:r>
        <w:r w:rsidR="00EA7290">
          <w:rPr>
            <w:noProof/>
            <w:webHidden/>
          </w:rPr>
          <w:t>4</w:t>
        </w:r>
        <w:r w:rsidR="00643CD6">
          <w:rPr>
            <w:noProof/>
            <w:webHidden/>
          </w:rPr>
          <w:fldChar w:fldCharType="end"/>
        </w:r>
      </w:hyperlink>
    </w:p>
    <w:p w:rsidR="000633D7" w:rsidRDefault="00120D44">
      <w:pPr>
        <w:pStyle w:val="TOC2"/>
        <w:tabs>
          <w:tab w:val="left" w:pos="720"/>
          <w:tab w:val="right" w:leader="dot" w:pos="8303"/>
        </w:tabs>
        <w:rPr>
          <w:b w:val="0"/>
          <w:bCs w:val="0"/>
          <w:noProof/>
          <w:szCs w:val="24"/>
          <w:lang w:eastAsia="en-AU"/>
        </w:rPr>
      </w:pPr>
      <w:hyperlink w:anchor="_Toc246296847" w:history="1">
        <w:r w:rsidR="000633D7" w:rsidRPr="005847DE">
          <w:rPr>
            <w:rStyle w:val="Hyperlink"/>
            <w:noProof/>
          </w:rPr>
          <w:t>4.1</w:t>
        </w:r>
        <w:r w:rsidR="000633D7">
          <w:rPr>
            <w:b w:val="0"/>
            <w:bCs w:val="0"/>
            <w:noProof/>
            <w:szCs w:val="24"/>
            <w:lang w:eastAsia="en-AU"/>
          </w:rPr>
          <w:tab/>
        </w:r>
        <w:r w:rsidR="000633D7" w:rsidRPr="005847DE">
          <w:rPr>
            <w:rStyle w:val="Hyperlink"/>
            <w:noProof/>
          </w:rPr>
          <w:t>Contractors accredited</w:t>
        </w:r>
        <w:r w:rsidR="000633D7">
          <w:rPr>
            <w:noProof/>
            <w:webHidden/>
          </w:rPr>
          <w:tab/>
        </w:r>
        <w:r w:rsidR="00643CD6">
          <w:rPr>
            <w:noProof/>
            <w:webHidden/>
          </w:rPr>
          <w:fldChar w:fldCharType="begin"/>
        </w:r>
        <w:r w:rsidR="000633D7">
          <w:rPr>
            <w:noProof/>
            <w:webHidden/>
          </w:rPr>
          <w:instrText xml:space="preserve"> PAGEREF _Toc246296847 \h </w:instrText>
        </w:r>
        <w:r w:rsidR="00643CD6">
          <w:rPr>
            <w:noProof/>
            <w:webHidden/>
          </w:rPr>
        </w:r>
        <w:r w:rsidR="00643CD6">
          <w:rPr>
            <w:noProof/>
            <w:webHidden/>
          </w:rPr>
          <w:fldChar w:fldCharType="separate"/>
        </w:r>
        <w:r w:rsidR="00EA7290">
          <w:rPr>
            <w:noProof/>
            <w:webHidden/>
          </w:rPr>
          <w:t>4</w:t>
        </w:r>
        <w:r w:rsidR="00643CD6">
          <w:rPr>
            <w:noProof/>
            <w:webHidden/>
          </w:rPr>
          <w:fldChar w:fldCharType="end"/>
        </w:r>
      </w:hyperlink>
    </w:p>
    <w:p w:rsidR="000633D7" w:rsidRDefault="00120D44">
      <w:pPr>
        <w:pStyle w:val="TOC2"/>
        <w:tabs>
          <w:tab w:val="left" w:pos="720"/>
          <w:tab w:val="right" w:leader="dot" w:pos="8303"/>
        </w:tabs>
        <w:rPr>
          <w:b w:val="0"/>
          <w:bCs w:val="0"/>
          <w:noProof/>
          <w:szCs w:val="24"/>
          <w:lang w:eastAsia="en-AU"/>
        </w:rPr>
      </w:pPr>
      <w:hyperlink w:anchor="_Toc246296848" w:history="1">
        <w:r w:rsidR="000633D7" w:rsidRPr="005847DE">
          <w:rPr>
            <w:rStyle w:val="Hyperlink"/>
            <w:noProof/>
          </w:rPr>
          <w:t>4.2</w:t>
        </w:r>
        <w:r w:rsidR="000633D7">
          <w:rPr>
            <w:b w:val="0"/>
            <w:bCs w:val="0"/>
            <w:noProof/>
            <w:szCs w:val="24"/>
            <w:lang w:eastAsia="en-AU"/>
          </w:rPr>
          <w:tab/>
        </w:r>
        <w:r w:rsidR="000633D7" w:rsidRPr="005847DE">
          <w:rPr>
            <w:rStyle w:val="Hyperlink"/>
            <w:noProof/>
          </w:rPr>
          <w:t>Number of projects</w:t>
        </w:r>
        <w:r w:rsidR="000633D7">
          <w:rPr>
            <w:noProof/>
            <w:webHidden/>
          </w:rPr>
          <w:tab/>
        </w:r>
        <w:r w:rsidR="00643CD6">
          <w:rPr>
            <w:noProof/>
            <w:webHidden/>
          </w:rPr>
          <w:fldChar w:fldCharType="begin"/>
        </w:r>
        <w:r w:rsidR="000633D7">
          <w:rPr>
            <w:noProof/>
            <w:webHidden/>
          </w:rPr>
          <w:instrText xml:space="preserve"> PAGEREF _Toc246296848 \h </w:instrText>
        </w:r>
        <w:r w:rsidR="00643CD6">
          <w:rPr>
            <w:noProof/>
            <w:webHidden/>
          </w:rPr>
        </w:r>
        <w:r w:rsidR="00643CD6">
          <w:rPr>
            <w:noProof/>
            <w:webHidden/>
          </w:rPr>
          <w:fldChar w:fldCharType="separate"/>
        </w:r>
        <w:r w:rsidR="00EA7290">
          <w:rPr>
            <w:noProof/>
            <w:webHidden/>
          </w:rPr>
          <w:t>4</w:t>
        </w:r>
        <w:r w:rsidR="00643CD6">
          <w:rPr>
            <w:noProof/>
            <w:webHidden/>
          </w:rPr>
          <w:fldChar w:fldCharType="end"/>
        </w:r>
      </w:hyperlink>
    </w:p>
    <w:p w:rsidR="000633D7" w:rsidRDefault="00120D44">
      <w:pPr>
        <w:pStyle w:val="TOC2"/>
        <w:tabs>
          <w:tab w:val="left" w:pos="720"/>
          <w:tab w:val="right" w:leader="dot" w:pos="8303"/>
        </w:tabs>
        <w:rPr>
          <w:b w:val="0"/>
          <w:bCs w:val="0"/>
          <w:noProof/>
          <w:szCs w:val="24"/>
          <w:lang w:eastAsia="en-AU"/>
        </w:rPr>
      </w:pPr>
      <w:hyperlink w:anchor="_Toc246296849" w:history="1">
        <w:r w:rsidR="000633D7" w:rsidRPr="005847DE">
          <w:rPr>
            <w:rStyle w:val="Hyperlink"/>
            <w:noProof/>
          </w:rPr>
          <w:t>4.3</w:t>
        </w:r>
        <w:r w:rsidR="000633D7">
          <w:rPr>
            <w:b w:val="0"/>
            <w:bCs w:val="0"/>
            <w:noProof/>
            <w:szCs w:val="24"/>
            <w:lang w:eastAsia="en-AU"/>
          </w:rPr>
          <w:tab/>
        </w:r>
        <w:r w:rsidR="000633D7" w:rsidRPr="005847DE">
          <w:rPr>
            <w:rStyle w:val="Hyperlink"/>
            <w:noProof/>
          </w:rPr>
          <w:t>Number employed</w:t>
        </w:r>
        <w:r w:rsidR="000633D7">
          <w:rPr>
            <w:noProof/>
            <w:webHidden/>
          </w:rPr>
          <w:tab/>
        </w:r>
        <w:r w:rsidR="00643CD6">
          <w:rPr>
            <w:noProof/>
            <w:webHidden/>
          </w:rPr>
          <w:fldChar w:fldCharType="begin"/>
        </w:r>
        <w:r w:rsidR="000633D7">
          <w:rPr>
            <w:noProof/>
            <w:webHidden/>
          </w:rPr>
          <w:instrText xml:space="preserve"> PAGEREF _Toc246296849 \h </w:instrText>
        </w:r>
        <w:r w:rsidR="00643CD6">
          <w:rPr>
            <w:noProof/>
            <w:webHidden/>
          </w:rPr>
        </w:r>
        <w:r w:rsidR="00643CD6">
          <w:rPr>
            <w:noProof/>
            <w:webHidden/>
          </w:rPr>
          <w:fldChar w:fldCharType="separate"/>
        </w:r>
        <w:r w:rsidR="00EA7290">
          <w:rPr>
            <w:noProof/>
            <w:webHidden/>
          </w:rPr>
          <w:t>5</w:t>
        </w:r>
        <w:r w:rsidR="00643CD6">
          <w:rPr>
            <w:noProof/>
            <w:webHidden/>
          </w:rPr>
          <w:fldChar w:fldCharType="end"/>
        </w:r>
      </w:hyperlink>
    </w:p>
    <w:p w:rsidR="000633D7" w:rsidRDefault="00120D44">
      <w:pPr>
        <w:pStyle w:val="TOC2"/>
        <w:tabs>
          <w:tab w:val="left" w:pos="720"/>
          <w:tab w:val="right" w:leader="dot" w:pos="8303"/>
        </w:tabs>
        <w:rPr>
          <w:b w:val="0"/>
          <w:bCs w:val="0"/>
          <w:noProof/>
          <w:szCs w:val="24"/>
          <w:lang w:eastAsia="en-AU"/>
        </w:rPr>
      </w:pPr>
      <w:hyperlink w:anchor="_Toc246296850" w:history="1">
        <w:r w:rsidR="000633D7" w:rsidRPr="005847DE">
          <w:rPr>
            <w:rStyle w:val="Hyperlink"/>
            <w:noProof/>
          </w:rPr>
          <w:t>4.4</w:t>
        </w:r>
        <w:r w:rsidR="000633D7">
          <w:rPr>
            <w:b w:val="0"/>
            <w:bCs w:val="0"/>
            <w:noProof/>
            <w:szCs w:val="24"/>
            <w:lang w:eastAsia="en-AU"/>
          </w:rPr>
          <w:tab/>
        </w:r>
        <w:r w:rsidR="000633D7" w:rsidRPr="005847DE">
          <w:rPr>
            <w:rStyle w:val="Hyperlink"/>
            <w:noProof/>
          </w:rPr>
          <w:t>Fatalities</w:t>
        </w:r>
        <w:r w:rsidR="000633D7">
          <w:rPr>
            <w:noProof/>
            <w:webHidden/>
          </w:rPr>
          <w:tab/>
        </w:r>
        <w:r w:rsidR="00643CD6">
          <w:rPr>
            <w:noProof/>
            <w:webHidden/>
          </w:rPr>
          <w:fldChar w:fldCharType="begin"/>
        </w:r>
        <w:r w:rsidR="000633D7">
          <w:rPr>
            <w:noProof/>
            <w:webHidden/>
          </w:rPr>
          <w:instrText xml:space="preserve"> PAGEREF _Toc246296850 \h </w:instrText>
        </w:r>
        <w:r w:rsidR="00643CD6">
          <w:rPr>
            <w:noProof/>
            <w:webHidden/>
          </w:rPr>
        </w:r>
        <w:r w:rsidR="00643CD6">
          <w:rPr>
            <w:noProof/>
            <w:webHidden/>
          </w:rPr>
          <w:fldChar w:fldCharType="separate"/>
        </w:r>
        <w:r w:rsidR="00EA7290">
          <w:rPr>
            <w:noProof/>
            <w:webHidden/>
          </w:rPr>
          <w:t>6</w:t>
        </w:r>
        <w:r w:rsidR="00643CD6">
          <w:rPr>
            <w:noProof/>
            <w:webHidden/>
          </w:rPr>
          <w:fldChar w:fldCharType="end"/>
        </w:r>
      </w:hyperlink>
    </w:p>
    <w:p w:rsidR="000633D7" w:rsidRDefault="00120D44">
      <w:pPr>
        <w:pStyle w:val="TOC2"/>
        <w:tabs>
          <w:tab w:val="left" w:pos="720"/>
          <w:tab w:val="right" w:leader="dot" w:pos="8303"/>
        </w:tabs>
        <w:rPr>
          <w:b w:val="0"/>
          <w:bCs w:val="0"/>
          <w:noProof/>
          <w:szCs w:val="24"/>
          <w:lang w:eastAsia="en-AU"/>
        </w:rPr>
      </w:pPr>
      <w:hyperlink w:anchor="_Toc246296851" w:history="1">
        <w:r w:rsidR="000633D7" w:rsidRPr="005847DE">
          <w:rPr>
            <w:rStyle w:val="Hyperlink"/>
            <w:noProof/>
          </w:rPr>
          <w:t>4.5</w:t>
        </w:r>
        <w:r w:rsidR="000633D7">
          <w:rPr>
            <w:b w:val="0"/>
            <w:bCs w:val="0"/>
            <w:noProof/>
            <w:szCs w:val="24"/>
            <w:lang w:eastAsia="en-AU"/>
          </w:rPr>
          <w:tab/>
        </w:r>
        <w:r w:rsidR="000633D7" w:rsidRPr="005847DE">
          <w:rPr>
            <w:rStyle w:val="Hyperlink"/>
            <w:noProof/>
          </w:rPr>
          <w:t>Injury frequency rates</w:t>
        </w:r>
        <w:r w:rsidR="000633D7">
          <w:rPr>
            <w:noProof/>
            <w:webHidden/>
          </w:rPr>
          <w:tab/>
        </w:r>
        <w:r w:rsidR="00643CD6">
          <w:rPr>
            <w:noProof/>
            <w:webHidden/>
          </w:rPr>
          <w:fldChar w:fldCharType="begin"/>
        </w:r>
        <w:r w:rsidR="000633D7">
          <w:rPr>
            <w:noProof/>
            <w:webHidden/>
          </w:rPr>
          <w:instrText xml:space="preserve"> PAGEREF _Toc246296851 \h </w:instrText>
        </w:r>
        <w:r w:rsidR="00643CD6">
          <w:rPr>
            <w:noProof/>
            <w:webHidden/>
          </w:rPr>
        </w:r>
        <w:r w:rsidR="00643CD6">
          <w:rPr>
            <w:noProof/>
            <w:webHidden/>
          </w:rPr>
          <w:fldChar w:fldCharType="separate"/>
        </w:r>
        <w:r w:rsidR="00EA7290">
          <w:rPr>
            <w:noProof/>
            <w:webHidden/>
          </w:rPr>
          <w:t>6</w:t>
        </w:r>
        <w:r w:rsidR="00643CD6">
          <w:rPr>
            <w:noProof/>
            <w:webHidden/>
          </w:rPr>
          <w:fldChar w:fldCharType="end"/>
        </w:r>
      </w:hyperlink>
    </w:p>
    <w:p w:rsidR="000633D7" w:rsidRDefault="00120D44">
      <w:pPr>
        <w:pStyle w:val="TOC3"/>
        <w:tabs>
          <w:tab w:val="left" w:pos="1200"/>
          <w:tab w:val="right" w:leader="dot" w:pos="8303"/>
        </w:tabs>
        <w:rPr>
          <w:noProof/>
          <w:szCs w:val="24"/>
          <w:lang w:eastAsia="en-AU"/>
        </w:rPr>
      </w:pPr>
      <w:hyperlink w:anchor="_Toc246296852" w:history="1">
        <w:r w:rsidR="000633D7" w:rsidRPr="005847DE">
          <w:rPr>
            <w:rStyle w:val="Hyperlink"/>
            <w:noProof/>
          </w:rPr>
          <w:t>4.5.1</w:t>
        </w:r>
        <w:r w:rsidR="000633D7">
          <w:rPr>
            <w:noProof/>
            <w:szCs w:val="24"/>
            <w:lang w:eastAsia="en-AU"/>
          </w:rPr>
          <w:tab/>
        </w:r>
        <w:r w:rsidR="000633D7" w:rsidRPr="005847DE">
          <w:rPr>
            <w:rStyle w:val="Hyperlink"/>
            <w:noProof/>
          </w:rPr>
          <w:t>Lost Time Injury Frequency Rate (LTIFR)</w:t>
        </w:r>
        <w:r w:rsidR="000633D7">
          <w:rPr>
            <w:noProof/>
            <w:webHidden/>
          </w:rPr>
          <w:tab/>
        </w:r>
        <w:r w:rsidR="00643CD6">
          <w:rPr>
            <w:noProof/>
            <w:webHidden/>
          </w:rPr>
          <w:fldChar w:fldCharType="begin"/>
        </w:r>
        <w:r w:rsidR="000633D7">
          <w:rPr>
            <w:noProof/>
            <w:webHidden/>
          </w:rPr>
          <w:instrText xml:space="preserve"> PAGEREF _Toc246296852 \h </w:instrText>
        </w:r>
        <w:r w:rsidR="00643CD6">
          <w:rPr>
            <w:noProof/>
            <w:webHidden/>
          </w:rPr>
        </w:r>
        <w:r w:rsidR="00643CD6">
          <w:rPr>
            <w:noProof/>
            <w:webHidden/>
          </w:rPr>
          <w:fldChar w:fldCharType="separate"/>
        </w:r>
        <w:r w:rsidR="00EA7290">
          <w:rPr>
            <w:noProof/>
            <w:webHidden/>
          </w:rPr>
          <w:t>6</w:t>
        </w:r>
        <w:r w:rsidR="00643CD6">
          <w:rPr>
            <w:noProof/>
            <w:webHidden/>
          </w:rPr>
          <w:fldChar w:fldCharType="end"/>
        </w:r>
      </w:hyperlink>
    </w:p>
    <w:p w:rsidR="000633D7" w:rsidRDefault="00120D44">
      <w:pPr>
        <w:pStyle w:val="TOC3"/>
        <w:tabs>
          <w:tab w:val="left" w:pos="1200"/>
          <w:tab w:val="right" w:leader="dot" w:pos="8303"/>
        </w:tabs>
        <w:rPr>
          <w:noProof/>
          <w:szCs w:val="24"/>
          <w:lang w:eastAsia="en-AU"/>
        </w:rPr>
      </w:pPr>
      <w:hyperlink w:anchor="_Toc246296853" w:history="1">
        <w:r w:rsidR="000633D7" w:rsidRPr="005847DE">
          <w:rPr>
            <w:rStyle w:val="Hyperlink"/>
            <w:noProof/>
          </w:rPr>
          <w:t>4.5.2</w:t>
        </w:r>
        <w:r w:rsidR="000633D7">
          <w:rPr>
            <w:noProof/>
            <w:szCs w:val="24"/>
            <w:lang w:eastAsia="en-AU"/>
          </w:rPr>
          <w:tab/>
        </w:r>
        <w:r w:rsidR="000633D7" w:rsidRPr="005847DE">
          <w:rPr>
            <w:rStyle w:val="Hyperlink"/>
            <w:noProof/>
          </w:rPr>
          <w:t>Medically Treated Injury Frequency Rate (MTIFR)</w:t>
        </w:r>
        <w:r w:rsidR="000633D7">
          <w:rPr>
            <w:noProof/>
            <w:webHidden/>
          </w:rPr>
          <w:tab/>
        </w:r>
        <w:r w:rsidR="00643CD6">
          <w:rPr>
            <w:noProof/>
            <w:webHidden/>
          </w:rPr>
          <w:fldChar w:fldCharType="begin"/>
        </w:r>
        <w:r w:rsidR="000633D7">
          <w:rPr>
            <w:noProof/>
            <w:webHidden/>
          </w:rPr>
          <w:instrText xml:space="preserve"> PAGEREF _Toc246296853 \h </w:instrText>
        </w:r>
        <w:r w:rsidR="00643CD6">
          <w:rPr>
            <w:noProof/>
            <w:webHidden/>
          </w:rPr>
        </w:r>
        <w:r w:rsidR="00643CD6">
          <w:rPr>
            <w:noProof/>
            <w:webHidden/>
          </w:rPr>
          <w:fldChar w:fldCharType="separate"/>
        </w:r>
        <w:r w:rsidR="00EA7290">
          <w:rPr>
            <w:noProof/>
            <w:webHidden/>
          </w:rPr>
          <w:t>7</w:t>
        </w:r>
        <w:r w:rsidR="00643CD6">
          <w:rPr>
            <w:noProof/>
            <w:webHidden/>
          </w:rPr>
          <w:fldChar w:fldCharType="end"/>
        </w:r>
      </w:hyperlink>
    </w:p>
    <w:p w:rsidR="000633D7" w:rsidRDefault="00120D44">
      <w:pPr>
        <w:pStyle w:val="TOC2"/>
        <w:tabs>
          <w:tab w:val="left" w:pos="720"/>
          <w:tab w:val="right" w:leader="dot" w:pos="8303"/>
        </w:tabs>
        <w:rPr>
          <w:b w:val="0"/>
          <w:bCs w:val="0"/>
          <w:noProof/>
          <w:szCs w:val="24"/>
          <w:lang w:eastAsia="en-AU"/>
        </w:rPr>
      </w:pPr>
      <w:hyperlink w:anchor="_Toc246296854" w:history="1">
        <w:r w:rsidR="000633D7" w:rsidRPr="005847DE">
          <w:rPr>
            <w:rStyle w:val="Hyperlink"/>
            <w:noProof/>
          </w:rPr>
          <w:t>4.6</w:t>
        </w:r>
        <w:r w:rsidR="000633D7">
          <w:rPr>
            <w:b w:val="0"/>
            <w:bCs w:val="0"/>
            <w:noProof/>
            <w:szCs w:val="24"/>
            <w:lang w:eastAsia="en-AU"/>
          </w:rPr>
          <w:tab/>
        </w:r>
        <w:r w:rsidR="000633D7" w:rsidRPr="005847DE">
          <w:rPr>
            <w:rStyle w:val="Hyperlink"/>
            <w:noProof/>
          </w:rPr>
          <w:t>Profile of injuries</w:t>
        </w:r>
        <w:r w:rsidR="000633D7">
          <w:rPr>
            <w:noProof/>
            <w:webHidden/>
          </w:rPr>
          <w:tab/>
        </w:r>
        <w:r w:rsidR="00643CD6">
          <w:rPr>
            <w:noProof/>
            <w:webHidden/>
          </w:rPr>
          <w:fldChar w:fldCharType="begin"/>
        </w:r>
        <w:r w:rsidR="000633D7">
          <w:rPr>
            <w:noProof/>
            <w:webHidden/>
          </w:rPr>
          <w:instrText xml:space="preserve"> PAGEREF _Toc246296854 \h </w:instrText>
        </w:r>
        <w:r w:rsidR="00643CD6">
          <w:rPr>
            <w:noProof/>
            <w:webHidden/>
          </w:rPr>
        </w:r>
        <w:r w:rsidR="00643CD6">
          <w:rPr>
            <w:noProof/>
            <w:webHidden/>
          </w:rPr>
          <w:fldChar w:fldCharType="separate"/>
        </w:r>
        <w:r w:rsidR="00EA7290">
          <w:rPr>
            <w:noProof/>
            <w:webHidden/>
          </w:rPr>
          <w:t>8</w:t>
        </w:r>
        <w:r w:rsidR="00643CD6">
          <w:rPr>
            <w:noProof/>
            <w:webHidden/>
          </w:rPr>
          <w:fldChar w:fldCharType="end"/>
        </w:r>
      </w:hyperlink>
    </w:p>
    <w:p w:rsidR="000633D7" w:rsidRDefault="00120D44">
      <w:pPr>
        <w:pStyle w:val="TOC2"/>
        <w:tabs>
          <w:tab w:val="left" w:pos="720"/>
          <w:tab w:val="right" w:leader="dot" w:pos="8303"/>
        </w:tabs>
        <w:rPr>
          <w:b w:val="0"/>
          <w:bCs w:val="0"/>
          <w:noProof/>
          <w:szCs w:val="24"/>
          <w:lang w:eastAsia="en-AU"/>
        </w:rPr>
      </w:pPr>
      <w:hyperlink w:anchor="_Toc246296855" w:history="1">
        <w:r w:rsidR="000633D7" w:rsidRPr="005847DE">
          <w:rPr>
            <w:rStyle w:val="Hyperlink"/>
            <w:noProof/>
          </w:rPr>
          <w:t>4.7</w:t>
        </w:r>
        <w:r w:rsidR="000633D7">
          <w:rPr>
            <w:b w:val="0"/>
            <w:bCs w:val="0"/>
            <w:noProof/>
            <w:szCs w:val="24"/>
            <w:lang w:eastAsia="en-AU"/>
          </w:rPr>
          <w:tab/>
        </w:r>
        <w:r w:rsidR="000633D7" w:rsidRPr="005847DE">
          <w:rPr>
            <w:rStyle w:val="Hyperlink"/>
            <w:noProof/>
          </w:rPr>
          <w:t>High-risk construction work</w:t>
        </w:r>
        <w:r w:rsidR="000633D7">
          <w:rPr>
            <w:noProof/>
            <w:webHidden/>
          </w:rPr>
          <w:tab/>
        </w:r>
        <w:r w:rsidR="00643CD6">
          <w:rPr>
            <w:noProof/>
            <w:webHidden/>
          </w:rPr>
          <w:fldChar w:fldCharType="begin"/>
        </w:r>
        <w:r w:rsidR="000633D7">
          <w:rPr>
            <w:noProof/>
            <w:webHidden/>
          </w:rPr>
          <w:instrText xml:space="preserve"> PAGEREF _Toc246296855 \h </w:instrText>
        </w:r>
        <w:r w:rsidR="00643CD6">
          <w:rPr>
            <w:noProof/>
            <w:webHidden/>
          </w:rPr>
        </w:r>
        <w:r w:rsidR="00643CD6">
          <w:rPr>
            <w:noProof/>
            <w:webHidden/>
          </w:rPr>
          <w:fldChar w:fldCharType="separate"/>
        </w:r>
        <w:r w:rsidR="00EA7290">
          <w:rPr>
            <w:noProof/>
            <w:webHidden/>
          </w:rPr>
          <w:t>8</w:t>
        </w:r>
        <w:r w:rsidR="00643CD6">
          <w:rPr>
            <w:noProof/>
            <w:webHidden/>
          </w:rPr>
          <w:fldChar w:fldCharType="end"/>
        </w:r>
      </w:hyperlink>
    </w:p>
    <w:p w:rsidR="000633D7" w:rsidRDefault="00120D44">
      <w:pPr>
        <w:pStyle w:val="TOC2"/>
        <w:tabs>
          <w:tab w:val="left" w:pos="720"/>
          <w:tab w:val="right" w:leader="dot" w:pos="8303"/>
        </w:tabs>
        <w:rPr>
          <w:b w:val="0"/>
          <w:bCs w:val="0"/>
          <w:noProof/>
          <w:szCs w:val="24"/>
          <w:lang w:eastAsia="en-AU"/>
        </w:rPr>
      </w:pPr>
      <w:hyperlink w:anchor="_Toc246296856" w:history="1">
        <w:r w:rsidR="000633D7" w:rsidRPr="005847DE">
          <w:rPr>
            <w:rStyle w:val="Hyperlink"/>
            <w:noProof/>
          </w:rPr>
          <w:t>4.8</w:t>
        </w:r>
        <w:r w:rsidR="000633D7">
          <w:rPr>
            <w:b w:val="0"/>
            <w:bCs w:val="0"/>
            <w:noProof/>
            <w:szCs w:val="24"/>
            <w:lang w:eastAsia="en-AU"/>
          </w:rPr>
          <w:tab/>
        </w:r>
        <w:r w:rsidR="000633D7" w:rsidRPr="005847DE">
          <w:rPr>
            <w:rStyle w:val="Hyperlink"/>
            <w:noProof/>
          </w:rPr>
          <w:t>Workers compensation premium rates</w:t>
        </w:r>
        <w:r w:rsidR="000633D7">
          <w:rPr>
            <w:noProof/>
            <w:webHidden/>
          </w:rPr>
          <w:tab/>
        </w:r>
        <w:r w:rsidR="00643CD6">
          <w:rPr>
            <w:noProof/>
            <w:webHidden/>
          </w:rPr>
          <w:fldChar w:fldCharType="begin"/>
        </w:r>
        <w:r w:rsidR="000633D7">
          <w:rPr>
            <w:noProof/>
            <w:webHidden/>
          </w:rPr>
          <w:instrText xml:space="preserve"> PAGEREF _Toc246296856 \h </w:instrText>
        </w:r>
        <w:r w:rsidR="00643CD6">
          <w:rPr>
            <w:noProof/>
            <w:webHidden/>
          </w:rPr>
        </w:r>
        <w:r w:rsidR="00643CD6">
          <w:rPr>
            <w:noProof/>
            <w:webHidden/>
          </w:rPr>
          <w:fldChar w:fldCharType="separate"/>
        </w:r>
        <w:r w:rsidR="00EA7290">
          <w:rPr>
            <w:noProof/>
            <w:webHidden/>
          </w:rPr>
          <w:t>9</w:t>
        </w:r>
        <w:r w:rsidR="00643CD6">
          <w:rPr>
            <w:noProof/>
            <w:webHidden/>
          </w:rPr>
          <w:fldChar w:fldCharType="end"/>
        </w:r>
      </w:hyperlink>
    </w:p>
    <w:p w:rsidR="000633D7" w:rsidRDefault="00120D44">
      <w:pPr>
        <w:pStyle w:val="TOC2"/>
        <w:tabs>
          <w:tab w:val="left" w:pos="720"/>
          <w:tab w:val="right" w:leader="dot" w:pos="8303"/>
        </w:tabs>
        <w:rPr>
          <w:b w:val="0"/>
          <w:bCs w:val="0"/>
          <w:noProof/>
          <w:szCs w:val="24"/>
          <w:lang w:eastAsia="en-AU"/>
        </w:rPr>
      </w:pPr>
      <w:hyperlink w:anchor="_Toc246296857" w:history="1">
        <w:r w:rsidR="000633D7" w:rsidRPr="005847DE">
          <w:rPr>
            <w:rStyle w:val="Hyperlink"/>
            <w:noProof/>
          </w:rPr>
          <w:t>4.9</w:t>
        </w:r>
        <w:r w:rsidR="000633D7">
          <w:rPr>
            <w:b w:val="0"/>
            <w:bCs w:val="0"/>
            <w:noProof/>
            <w:szCs w:val="24"/>
            <w:lang w:eastAsia="en-AU"/>
          </w:rPr>
          <w:tab/>
        </w:r>
        <w:r w:rsidR="000633D7" w:rsidRPr="005847DE">
          <w:rPr>
            <w:rStyle w:val="Hyperlink"/>
            <w:noProof/>
          </w:rPr>
          <w:t>Positive performance indicators</w:t>
        </w:r>
        <w:r w:rsidR="000633D7">
          <w:rPr>
            <w:noProof/>
            <w:webHidden/>
          </w:rPr>
          <w:tab/>
        </w:r>
        <w:r w:rsidR="00643CD6">
          <w:rPr>
            <w:noProof/>
            <w:webHidden/>
          </w:rPr>
          <w:fldChar w:fldCharType="begin"/>
        </w:r>
        <w:r w:rsidR="000633D7">
          <w:rPr>
            <w:noProof/>
            <w:webHidden/>
          </w:rPr>
          <w:instrText xml:space="preserve"> PAGEREF _Toc246296857 \h </w:instrText>
        </w:r>
        <w:r w:rsidR="00643CD6">
          <w:rPr>
            <w:noProof/>
            <w:webHidden/>
          </w:rPr>
        </w:r>
        <w:r w:rsidR="00643CD6">
          <w:rPr>
            <w:noProof/>
            <w:webHidden/>
          </w:rPr>
          <w:fldChar w:fldCharType="separate"/>
        </w:r>
        <w:r w:rsidR="00EA7290">
          <w:rPr>
            <w:noProof/>
            <w:webHidden/>
          </w:rPr>
          <w:t>9</w:t>
        </w:r>
        <w:r w:rsidR="00643CD6">
          <w:rPr>
            <w:noProof/>
            <w:webHidden/>
          </w:rPr>
          <w:fldChar w:fldCharType="end"/>
        </w:r>
      </w:hyperlink>
    </w:p>
    <w:p w:rsidR="000633D7" w:rsidRPr="000633D7" w:rsidRDefault="00120D44">
      <w:pPr>
        <w:pStyle w:val="TOC1"/>
        <w:tabs>
          <w:tab w:val="right" w:leader="dot" w:pos="8303"/>
        </w:tabs>
        <w:rPr>
          <w:rStyle w:val="Hyperlink"/>
          <w:noProof/>
          <w:color w:val="auto"/>
        </w:rPr>
      </w:pPr>
      <w:hyperlink w:anchor="_Toc246296858" w:history="1">
        <w:r w:rsidR="000633D7" w:rsidRPr="005847DE">
          <w:rPr>
            <w:rStyle w:val="Hyperlink"/>
            <w:noProof/>
          </w:rPr>
          <w:t>GLOSSARY</w:t>
        </w:r>
        <w:r w:rsidR="000633D7">
          <w:rPr>
            <w:noProof/>
            <w:webHidden/>
          </w:rPr>
          <w:tab/>
        </w:r>
        <w:r w:rsidR="00643CD6">
          <w:rPr>
            <w:noProof/>
            <w:webHidden/>
          </w:rPr>
          <w:fldChar w:fldCharType="begin"/>
        </w:r>
        <w:r w:rsidR="000633D7">
          <w:rPr>
            <w:noProof/>
            <w:webHidden/>
          </w:rPr>
          <w:instrText xml:space="preserve"> PAGEREF _Toc246296858 \h </w:instrText>
        </w:r>
        <w:r w:rsidR="00643CD6">
          <w:rPr>
            <w:noProof/>
            <w:webHidden/>
          </w:rPr>
        </w:r>
        <w:r w:rsidR="00643CD6">
          <w:rPr>
            <w:noProof/>
            <w:webHidden/>
          </w:rPr>
          <w:fldChar w:fldCharType="separate"/>
        </w:r>
        <w:r w:rsidR="00EA7290">
          <w:rPr>
            <w:noProof/>
            <w:webHidden/>
          </w:rPr>
          <w:t>11</w:t>
        </w:r>
        <w:r w:rsidR="00643CD6">
          <w:rPr>
            <w:noProof/>
            <w:webHidden/>
          </w:rPr>
          <w:fldChar w:fldCharType="end"/>
        </w:r>
      </w:hyperlink>
    </w:p>
    <w:p w:rsidR="000633D7" w:rsidRDefault="000633D7" w:rsidP="000633D7">
      <w:pPr>
        <w:rPr>
          <w:noProof/>
        </w:rPr>
      </w:pPr>
    </w:p>
    <w:p w:rsidR="000633D7" w:rsidRDefault="000633D7" w:rsidP="000633D7">
      <w:pPr>
        <w:rPr>
          <w:noProof/>
        </w:rPr>
      </w:pPr>
    </w:p>
    <w:p w:rsidR="000633D7" w:rsidRDefault="000633D7" w:rsidP="000633D7">
      <w:pPr>
        <w:rPr>
          <w:noProof/>
        </w:rPr>
      </w:pPr>
    </w:p>
    <w:p w:rsidR="000633D7" w:rsidRDefault="000633D7" w:rsidP="000633D7">
      <w:pPr>
        <w:rPr>
          <w:noProof/>
        </w:rPr>
      </w:pPr>
    </w:p>
    <w:p w:rsidR="000633D7" w:rsidRDefault="000633D7" w:rsidP="000633D7">
      <w:pPr>
        <w:rPr>
          <w:noProof/>
        </w:rPr>
      </w:pPr>
    </w:p>
    <w:p w:rsidR="00AA7FCB" w:rsidRDefault="00AA7FCB" w:rsidP="000633D7">
      <w:pPr>
        <w:rPr>
          <w:noProof/>
        </w:rPr>
      </w:pPr>
    </w:p>
    <w:p w:rsidR="00AA7FCB" w:rsidRDefault="00AA7FCB" w:rsidP="000633D7">
      <w:pPr>
        <w:rPr>
          <w:noProof/>
        </w:rPr>
      </w:pPr>
    </w:p>
    <w:p w:rsidR="00AA7FCB" w:rsidRDefault="00AA7FCB" w:rsidP="000633D7">
      <w:pPr>
        <w:rPr>
          <w:noProof/>
        </w:rPr>
      </w:pPr>
    </w:p>
    <w:p w:rsidR="00AA7FCB" w:rsidRDefault="00AA7FCB" w:rsidP="000633D7">
      <w:pPr>
        <w:rPr>
          <w:noProof/>
        </w:rPr>
      </w:pPr>
    </w:p>
    <w:p w:rsidR="000633D7" w:rsidRDefault="000633D7" w:rsidP="000633D7">
      <w:pPr>
        <w:rPr>
          <w:noProof/>
        </w:rPr>
      </w:pPr>
    </w:p>
    <w:p w:rsidR="000633D7" w:rsidRDefault="000633D7" w:rsidP="000633D7">
      <w:pPr>
        <w:rPr>
          <w:noProof/>
        </w:rPr>
      </w:pPr>
    </w:p>
    <w:p w:rsidR="000633D7" w:rsidRDefault="000633D7" w:rsidP="000633D7">
      <w:pPr>
        <w:rPr>
          <w:noProof/>
        </w:rPr>
      </w:pPr>
    </w:p>
    <w:p w:rsidR="006C1AF2" w:rsidRDefault="006C1AF2" w:rsidP="000633D7">
      <w:pPr>
        <w:rPr>
          <w:noProof/>
        </w:rPr>
      </w:pPr>
    </w:p>
    <w:p w:rsidR="00E24C9F" w:rsidRPr="00F917CF" w:rsidRDefault="00643CD6" w:rsidP="00F917CF">
      <w:pPr>
        <w:pStyle w:val="Heading1"/>
        <w:rPr>
          <w:rFonts w:ascii="Tahoma" w:hAnsi="Tahoma" w:cs="Tahoma"/>
        </w:rPr>
      </w:pPr>
      <w:r>
        <w:rPr>
          <w:rFonts w:ascii="Tahoma" w:hAnsi="Tahoma" w:cs="Tahoma"/>
          <w:bCs w:val="0"/>
          <w:caps/>
          <w:noProof/>
          <w:sz w:val="22"/>
          <w:szCs w:val="22"/>
        </w:rPr>
        <w:fldChar w:fldCharType="end"/>
      </w:r>
      <w:bookmarkStart w:id="1" w:name="_Toc226431173"/>
      <w:bookmarkStart w:id="2" w:name="_Toc246296843"/>
      <w:r w:rsidR="00E24C9F" w:rsidRPr="00F917CF">
        <w:t>INTRODUCTION</w:t>
      </w:r>
      <w:bookmarkEnd w:id="1"/>
      <w:bookmarkEnd w:id="2"/>
    </w:p>
    <w:p w:rsidR="00E24C9F" w:rsidRDefault="00452B11" w:rsidP="00D03898">
      <w:pPr>
        <w:spacing w:before="100" w:beforeAutospacing="1" w:after="120"/>
        <w:rPr>
          <w:rFonts w:ascii="Tahoma" w:hAnsi="Tahoma" w:cs="Tahoma"/>
          <w:sz w:val="22"/>
          <w:szCs w:val="22"/>
          <w:lang w:val="en-GB"/>
        </w:rPr>
      </w:pPr>
      <w:r>
        <w:rPr>
          <w:rFonts w:ascii="Tahoma" w:hAnsi="Tahoma" w:cs="Tahoma"/>
          <w:sz w:val="22"/>
          <w:szCs w:val="22"/>
          <w:lang w:val="en-GB"/>
        </w:rPr>
        <w:t>The role of the Federal Safety Commissioner (FSC) is to promote and foster improved occupational health and safety in the</w:t>
      </w:r>
      <w:r w:rsidR="008370E4">
        <w:rPr>
          <w:rFonts w:ascii="Tahoma" w:hAnsi="Tahoma" w:cs="Tahoma"/>
          <w:sz w:val="22"/>
          <w:szCs w:val="22"/>
          <w:lang w:val="en-GB"/>
        </w:rPr>
        <w:t xml:space="preserve"> Australian</w:t>
      </w:r>
      <w:r>
        <w:rPr>
          <w:rFonts w:ascii="Tahoma" w:hAnsi="Tahoma" w:cs="Tahoma"/>
          <w:sz w:val="22"/>
          <w:szCs w:val="22"/>
          <w:lang w:val="en-GB"/>
        </w:rPr>
        <w:t xml:space="preserve"> building and construction industry</w:t>
      </w:r>
      <w:r w:rsidR="008370E4">
        <w:rPr>
          <w:rFonts w:ascii="Tahoma" w:hAnsi="Tahoma" w:cs="Tahoma"/>
          <w:sz w:val="22"/>
          <w:szCs w:val="22"/>
          <w:lang w:val="en-GB"/>
        </w:rPr>
        <w:t>, so that work is performed safely, as well as on time and on budget</w:t>
      </w:r>
      <w:r>
        <w:rPr>
          <w:rFonts w:ascii="Tahoma" w:hAnsi="Tahoma" w:cs="Tahoma"/>
          <w:sz w:val="22"/>
          <w:szCs w:val="22"/>
          <w:lang w:val="en-GB"/>
        </w:rPr>
        <w:t>.</w:t>
      </w:r>
      <w:r w:rsidR="00E24C9F" w:rsidRPr="00AF696F">
        <w:rPr>
          <w:rFonts w:ascii="Tahoma" w:hAnsi="Tahoma" w:cs="Tahoma"/>
          <w:sz w:val="22"/>
          <w:szCs w:val="22"/>
          <w:lang w:val="en-GB"/>
        </w:rPr>
        <w:t xml:space="preserve"> The powers and functions of the FSC are outlined in the </w:t>
      </w:r>
      <w:r w:rsidR="00E24C9F" w:rsidRPr="00AF696F">
        <w:rPr>
          <w:rStyle w:val="Emphasis"/>
        </w:rPr>
        <w:t>Building and Construction Industry Improvement Act 2005</w:t>
      </w:r>
      <w:r w:rsidR="00E24C9F" w:rsidRPr="00AF696F">
        <w:rPr>
          <w:rFonts w:ascii="Tahoma" w:hAnsi="Tahoma" w:cs="Tahoma"/>
          <w:sz w:val="22"/>
          <w:szCs w:val="22"/>
        </w:rPr>
        <w:t> (BCII Act). The FSC is supported by the Office of the Federal Safety Commissioner (OFSC)</w:t>
      </w:r>
      <w:r w:rsidR="00E24C9F" w:rsidRPr="00AF696F">
        <w:rPr>
          <w:rFonts w:ascii="Tahoma" w:hAnsi="Tahoma" w:cs="Tahoma"/>
          <w:sz w:val="22"/>
          <w:szCs w:val="22"/>
          <w:lang w:val="en-GB"/>
        </w:rPr>
        <w:t>.</w:t>
      </w:r>
    </w:p>
    <w:p w:rsidR="00E24C9F" w:rsidRPr="00FC3EB3" w:rsidRDefault="00E24C9F" w:rsidP="00D03898">
      <w:pPr>
        <w:autoSpaceDE w:val="0"/>
        <w:autoSpaceDN w:val="0"/>
        <w:adjustRightInd w:val="0"/>
        <w:spacing w:before="100" w:beforeAutospacing="1" w:after="120"/>
        <w:rPr>
          <w:rFonts w:ascii="Tahoma" w:hAnsi="Tahoma" w:cs="Tahoma"/>
          <w:sz w:val="22"/>
          <w:szCs w:val="22"/>
          <w:lang w:val="en-GB"/>
        </w:rPr>
      </w:pPr>
      <w:r w:rsidRPr="00AF696F">
        <w:rPr>
          <w:rFonts w:ascii="Tahoma" w:hAnsi="Tahoma" w:cs="Tahoma"/>
          <w:sz w:val="22"/>
          <w:szCs w:val="22"/>
          <w:lang w:val="en-GB"/>
        </w:rPr>
        <w:t xml:space="preserve">A key function of the OFSC has been to develop, implement and administer the </w:t>
      </w:r>
      <w:smartTag w:uri="urn:schemas-microsoft-com:office:smarttags" w:element="PlaceName">
        <w:smartTag w:uri="urn:schemas-microsoft-com:office:smarttags" w:element="place">
          <w:r w:rsidRPr="00AF696F">
            <w:rPr>
              <w:rFonts w:ascii="Tahoma" w:hAnsi="Tahoma" w:cs="Tahoma"/>
              <w:sz w:val="22"/>
              <w:szCs w:val="22"/>
              <w:lang w:val="en-GB"/>
            </w:rPr>
            <w:t>Australian</w:t>
          </w:r>
        </w:smartTag>
        <w:r w:rsidRPr="00AF696F">
          <w:rPr>
            <w:rFonts w:ascii="Tahoma" w:hAnsi="Tahoma" w:cs="Tahoma"/>
            <w:sz w:val="22"/>
            <w:szCs w:val="22"/>
            <w:lang w:val="en-GB"/>
          </w:rPr>
          <w:t xml:space="preserve"> </w:t>
        </w:r>
        <w:smartTag w:uri="urn:schemas-microsoft-com:office:smarttags" w:element="State">
          <w:r w:rsidRPr="00AF696F">
            <w:rPr>
              <w:rFonts w:ascii="Tahoma" w:hAnsi="Tahoma" w:cs="Tahoma"/>
              <w:sz w:val="22"/>
              <w:szCs w:val="22"/>
              <w:lang w:val="en-GB"/>
            </w:rPr>
            <w:t>Government</w:t>
          </w:r>
        </w:smartTag>
        <w:r w:rsidRPr="00AF696F">
          <w:rPr>
            <w:rFonts w:ascii="Tahoma" w:hAnsi="Tahoma" w:cs="Tahoma"/>
            <w:sz w:val="22"/>
            <w:szCs w:val="22"/>
            <w:lang w:val="en-GB"/>
          </w:rPr>
          <w:t xml:space="preserve"> </w:t>
        </w:r>
        <w:smartTag w:uri="urn:schemas-microsoft-com:office:smarttags" w:element="State">
          <w:r w:rsidRPr="00AF696F">
            <w:rPr>
              <w:rFonts w:ascii="Tahoma" w:hAnsi="Tahoma" w:cs="Tahoma"/>
              <w:sz w:val="22"/>
              <w:szCs w:val="22"/>
              <w:lang w:val="en-GB"/>
            </w:rPr>
            <w:t>Building</w:t>
          </w:r>
        </w:smartTag>
      </w:smartTag>
      <w:r w:rsidRPr="00AF696F">
        <w:rPr>
          <w:rFonts w:ascii="Tahoma" w:hAnsi="Tahoma" w:cs="Tahoma"/>
          <w:sz w:val="22"/>
          <w:szCs w:val="22"/>
          <w:lang w:val="en-GB"/>
        </w:rPr>
        <w:t xml:space="preserve"> and Construction OHS Accreditation Scheme (the Scheme</w:t>
      </w:r>
      <w:r w:rsidRPr="00FC3EB3">
        <w:rPr>
          <w:rFonts w:ascii="Tahoma" w:hAnsi="Tahoma" w:cs="Tahoma"/>
          <w:sz w:val="22"/>
          <w:szCs w:val="22"/>
          <w:lang w:val="en-GB"/>
        </w:rPr>
        <w:t xml:space="preserve">). </w:t>
      </w:r>
      <w:r w:rsidRPr="00FC3EB3">
        <w:rPr>
          <w:rFonts w:ascii="Tahoma" w:hAnsi="Tahoma" w:cs="Tahoma"/>
          <w:sz w:val="22"/>
          <w:szCs w:val="22"/>
          <w:lang w:eastAsia="en-AU"/>
        </w:rPr>
        <w:t xml:space="preserve">Through the Scheme, the </w:t>
      </w:r>
      <w:r>
        <w:rPr>
          <w:rFonts w:ascii="Tahoma" w:hAnsi="Tahoma" w:cs="Tahoma"/>
          <w:sz w:val="22"/>
          <w:szCs w:val="22"/>
          <w:lang w:eastAsia="en-AU"/>
        </w:rPr>
        <w:t>OFSC</w:t>
      </w:r>
      <w:r w:rsidRPr="00FC3EB3">
        <w:rPr>
          <w:rFonts w:ascii="Tahoma" w:hAnsi="Tahoma" w:cs="Tahoma"/>
          <w:sz w:val="22"/>
          <w:szCs w:val="22"/>
          <w:lang w:eastAsia="en-AU"/>
        </w:rPr>
        <w:t xml:space="preserve"> is using the power and influence of the Australian Government as a major client and</w:t>
      </w:r>
      <w:r>
        <w:rPr>
          <w:rFonts w:ascii="Tahoma" w:hAnsi="Tahoma" w:cs="Tahoma"/>
          <w:sz w:val="22"/>
          <w:szCs w:val="22"/>
          <w:lang w:eastAsia="en-AU"/>
        </w:rPr>
        <w:t xml:space="preserve"> </w:t>
      </w:r>
      <w:r w:rsidRPr="00FC3EB3">
        <w:rPr>
          <w:rFonts w:ascii="Tahoma" w:hAnsi="Tahoma" w:cs="Tahoma"/>
          <w:sz w:val="22"/>
          <w:szCs w:val="22"/>
          <w:lang w:eastAsia="en-AU"/>
        </w:rPr>
        <w:t>provider of capital in the building and construction industry, to promote and improve positive health and safety</w:t>
      </w:r>
      <w:r>
        <w:rPr>
          <w:rFonts w:ascii="Tahoma" w:hAnsi="Tahoma" w:cs="Tahoma"/>
          <w:sz w:val="22"/>
          <w:szCs w:val="22"/>
          <w:lang w:eastAsia="en-AU"/>
        </w:rPr>
        <w:t xml:space="preserve"> </w:t>
      </w:r>
      <w:r w:rsidRPr="00FC3EB3">
        <w:rPr>
          <w:rFonts w:ascii="Tahoma" w:hAnsi="Tahoma" w:cs="Tahoma"/>
          <w:sz w:val="22"/>
          <w:szCs w:val="22"/>
          <w:lang w:eastAsia="en-AU"/>
        </w:rPr>
        <w:t>outcomes.</w:t>
      </w:r>
    </w:p>
    <w:p w:rsidR="00817E83" w:rsidRPr="00817E83" w:rsidRDefault="00817E83" w:rsidP="00F917CF">
      <w:pPr>
        <w:pStyle w:val="Heading1"/>
      </w:pPr>
      <w:bookmarkStart w:id="3" w:name="_Toc246296844"/>
      <w:r w:rsidRPr="00817E83">
        <w:t>SCHEME THRESHOLDS</w:t>
      </w:r>
      <w:bookmarkEnd w:id="3"/>
    </w:p>
    <w:p w:rsidR="00817E83" w:rsidRDefault="00817E83" w:rsidP="00D03898">
      <w:pPr>
        <w:spacing w:before="100" w:beforeAutospacing="1" w:after="120"/>
        <w:rPr>
          <w:rFonts w:ascii="Tahoma" w:hAnsi="Tahoma" w:cs="Tahoma"/>
          <w:sz w:val="22"/>
          <w:szCs w:val="22"/>
        </w:rPr>
      </w:pPr>
      <w:r w:rsidRPr="002E01B1">
        <w:rPr>
          <w:rFonts w:ascii="Tahoma" w:hAnsi="Tahoma" w:cs="Tahoma"/>
          <w:sz w:val="22"/>
          <w:szCs w:val="22"/>
        </w:rPr>
        <w:t>Scheme thresholds apply to directly funded Australian Government projects with a value of $3 million or more and include indirectly funded Australian Government building projects where:</w:t>
      </w:r>
    </w:p>
    <w:p w:rsidR="00817E83" w:rsidRPr="002E01B1" w:rsidRDefault="00817E83" w:rsidP="00BB1FFE">
      <w:pPr>
        <w:numPr>
          <w:ilvl w:val="0"/>
          <w:numId w:val="8"/>
        </w:numPr>
        <w:spacing w:before="100" w:beforeAutospacing="1" w:after="120"/>
        <w:ind w:hanging="294"/>
        <w:rPr>
          <w:rFonts w:ascii="Tahoma" w:hAnsi="Tahoma" w:cs="Tahoma"/>
          <w:sz w:val="22"/>
          <w:szCs w:val="22"/>
        </w:rPr>
      </w:pPr>
      <w:r w:rsidRPr="002E01B1">
        <w:rPr>
          <w:rFonts w:ascii="Tahoma" w:hAnsi="Tahoma" w:cs="Tahoma"/>
          <w:sz w:val="22"/>
          <w:szCs w:val="22"/>
        </w:rPr>
        <w:t>The value of the Australian Government contribution to a project is at least $5 million and represents at least 50 per</w:t>
      </w:r>
      <w:r w:rsidR="008370E4">
        <w:rPr>
          <w:rFonts w:ascii="Tahoma" w:hAnsi="Tahoma" w:cs="Tahoma"/>
          <w:sz w:val="22"/>
          <w:szCs w:val="22"/>
        </w:rPr>
        <w:t> </w:t>
      </w:r>
      <w:r w:rsidRPr="002E01B1">
        <w:rPr>
          <w:rFonts w:ascii="Tahoma" w:hAnsi="Tahoma" w:cs="Tahoma"/>
          <w:sz w:val="22"/>
          <w:szCs w:val="22"/>
        </w:rPr>
        <w:t>cent of the total construction project value; or</w:t>
      </w:r>
    </w:p>
    <w:p w:rsidR="00817E83" w:rsidRDefault="002E01B1" w:rsidP="00BB1FFE">
      <w:pPr>
        <w:numPr>
          <w:ilvl w:val="0"/>
          <w:numId w:val="8"/>
        </w:numPr>
        <w:spacing w:before="100" w:beforeAutospacing="1" w:after="120"/>
        <w:ind w:hanging="294"/>
        <w:rPr>
          <w:rFonts w:ascii="Tahoma" w:hAnsi="Tahoma" w:cs="Tahoma"/>
          <w:sz w:val="22"/>
          <w:szCs w:val="22"/>
        </w:rPr>
      </w:pPr>
      <w:r w:rsidRPr="002E01B1">
        <w:rPr>
          <w:rFonts w:ascii="Tahoma" w:hAnsi="Tahoma" w:cs="Tahoma"/>
          <w:sz w:val="22"/>
          <w:szCs w:val="22"/>
        </w:rPr>
        <w:lastRenderedPageBreak/>
        <w:t>The Australian Government contribution to a project is $10 million or more, irrespective of the proportion of Australian Government funding.</w:t>
      </w:r>
    </w:p>
    <w:p w:rsidR="002E01B1" w:rsidRDefault="002E01B1" w:rsidP="00D03898">
      <w:pPr>
        <w:spacing w:before="100" w:beforeAutospacing="1" w:after="120"/>
        <w:rPr>
          <w:rFonts w:ascii="Tahoma" w:hAnsi="Tahoma" w:cs="Tahoma"/>
          <w:sz w:val="22"/>
          <w:szCs w:val="22"/>
        </w:rPr>
      </w:pPr>
      <w:r>
        <w:rPr>
          <w:rFonts w:ascii="Tahoma" w:hAnsi="Tahoma" w:cs="Tahoma"/>
          <w:sz w:val="22"/>
          <w:szCs w:val="22"/>
        </w:rPr>
        <w:t>Building work is considered directly funded where the Australian Government or a Commonwealth authority enters into a contract with persons who will carry out the building work, or who may arrange for the building work to be carried out.</w:t>
      </w:r>
    </w:p>
    <w:p w:rsidR="00FE25E4" w:rsidRPr="002E01B1" w:rsidRDefault="002E01B1" w:rsidP="00D03898">
      <w:pPr>
        <w:spacing w:before="100" w:beforeAutospacing="1" w:after="120"/>
        <w:rPr>
          <w:rFonts w:ascii="Tahoma" w:hAnsi="Tahoma" w:cs="Tahoma"/>
          <w:sz w:val="22"/>
          <w:szCs w:val="22"/>
        </w:rPr>
      </w:pPr>
      <w:r>
        <w:rPr>
          <w:rFonts w:ascii="Tahoma" w:hAnsi="Tahoma" w:cs="Tahoma"/>
          <w:sz w:val="22"/>
          <w:szCs w:val="22"/>
        </w:rPr>
        <w:t>Building work is considered indirectly funded where it is funded by the Australian Government or a Commonwealth authority through grants or other programs. This includes building projects where the Australian Government provides funding through a funding agreement or grants to a body that may then contract with persons who will undertake the building work or arrange for the building work to be carried out.</w:t>
      </w:r>
    </w:p>
    <w:p w:rsidR="00ED336C" w:rsidRPr="002E01B1" w:rsidRDefault="00643817" w:rsidP="00CE7244">
      <w:pPr>
        <w:pStyle w:val="Heading1"/>
        <w:spacing w:before="120" w:after="120"/>
        <w:ind w:left="431" w:hanging="431"/>
      </w:pPr>
      <w:bookmarkStart w:id="4" w:name="_Toc226431174"/>
      <w:bookmarkStart w:id="5" w:name="_Toc246296845"/>
      <w:r>
        <w:t>REPORTING</w:t>
      </w:r>
      <w:bookmarkEnd w:id="4"/>
      <w:bookmarkEnd w:id="5"/>
    </w:p>
    <w:p w:rsidR="005A4FFA" w:rsidRDefault="005A4FFA" w:rsidP="00D03898">
      <w:pPr>
        <w:spacing w:before="100" w:beforeAutospacing="1" w:after="120"/>
        <w:rPr>
          <w:rFonts w:ascii="Tahoma" w:hAnsi="Tahoma" w:cs="Tahoma"/>
          <w:sz w:val="22"/>
          <w:szCs w:val="22"/>
        </w:rPr>
      </w:pPr>
      <w:r>
        <w:rPr>
          <w:rFonts w:ascii="Tahoma" w:hAnsi="Tahoma" w:cs="Tahoma"/>
          <w:sz w:val="22"/>
          <w:szCs w:val="22"/>
        </w:rPr>
        <w:t xml:space="preserve">Under Regulation 14 of the </w:t>
      </w:r>
      <w:r w:rsidRPr="00CC62D6">
        <w:rPr>
          <w:rStyle w:val="Emphasis"/>
        </w:rPr>
        <w:t>Building and Construction Industry Improvement (Accreditation Scheme) Regulations 2005</w:t>
      </w:r>
      <w:r>
        <w:rPr>
          <w:rFonts w:ascii="Tahoma" w:hAnsi="Tahoma" w:cs="Tahoma"/>
          <w:sz w:val="22"/>
          <w:szCs w:val="22"/>
        </w:rPr>
        <w:t xml:space="preserve"> (the Regulations), it is a condition of accreditation under the Scheme that accredited contractors comply with the reporting requirements of the OFSC.</w:t>
      </w:r>
    </w:p>
    <w:p w:rsidR="00ED336C" w:rsidRDefault="00E24C9F" w:rsidP="00D03898">
      <w:pPr>
        <w:tabs>
          <w:tab w:val="left" w:pos="1418"/>
        </w:tabs>
        <w:spacing w:before="100" w:beforeAutospacing="1" w:after="120"/>
        <w:rPr>
          <w:rFonts w:ascii="Tahoma" w:hAnsi="Tahoma" w:cs="Arial"/>
          <w:sz w:val="22"/>
          <w:szCs w:val="22"/>
        </w:rPr>
      </w:pPr>
      <w:r w:rsidRPr="00817E83">
        <w:rPr>
          <w:rFonts w:ascii="Tahoma" w:hAnsi="Tahoma" w:cs="Arial"/>
          <w:sz w:val="22"/>
          <w:szCs w:val="22"/>
        </w:rPr>
        <w:t>E</w:t>
      </w:r>
      <w:r w:rsidR="00ED336C" w:rsidRPr="00817E83">
        <w:rPr>
          <w:rFonts w:ascii="Tahoma" w:hAnsi="Tahoma" w:cs="Arial"/>
          <w:sz w:val="22"/>
          <w:szCs w:val="22"/>
        </w:rPr>
        <w:t xml:space="preserve">ach accredited contractor is required to lodge </w:t>
      </w:r>
      <w:r w:rsidRPr="00817E83">
        <w:rPr>
          <w:rFonts w:ascii="Tahoma" w:hAnsi="Tahoma" w:cs="Arial"/>
          <w:sz w:val="22"/>
          <w:szCs w:val="22"/>
        </w:rPr>
        <w:t>biannual</w:t>
      </w:r>
      <w:r w:rsidR="00ED336C" w:rsidRPr="00817E83">
        <w:rPr>
          <w:rFonts w:ascii="Tahoma" w:hAnsi="Tahoma" w:cs="Arial"/>
          <w:sz w:val="22"/>
          <w:szCs w:val="22"/>
        </w:rPr>
        <w:t xml:space="preserve"> </w:t>
      </w:r>
      <w:r w:rsidRPr="00817E83">
        <w:rPr>
          <w:rFonts w:ascii="Tahoma" w:hAnsi="Tahoma" w:cs="Arial"/>
          <w:sz w:val="22"/>
          <w:szCs w:val="22"/>
        </w:rPr>
        <w:t>a</w:t>
      </w:r>
      <w:r w:rsidR="00ED336C" w:rsidRPr="00817E83">
        <w:rPr>
          <w:rFonts w:ascii="Tahoma" w:hAnsi="Tahoma" w:cs="Arial"/>
          <w:sz w:val="22"/>
          <w:szCs w:val="22"/>
        </w:rPr>
        <w:t xml:space="preserve">ctivity </w:t>
      </w:r>
      <w:r w:rsidRPr="00817E83">
        <w:rPr>
          <w:rFonts w:ascii="Tahoma" w:hAnsi="Tahoma" w:cs="Arial"/>
          <w:sz w:val="22"/>
          <w:szCs w:val="22"/>
        </w:rPr>
        <w:t>r</w:t>
      </w:r>
      <w:r w:rsidR="00ED336C" w:rsidRPr="00817E83">
        <w:rPr>
          <w:rFonts w:ascii="Tahoma" w:hAnsi="Tahoma" w:cs="Arial"/>
          <w:sz w:val="22"/>
          <w:szCs w:val="22"/>
        </w:rPr>
        <w:t>eport</w:t>
      </w:r>
      <w:r w:rsidRPr="00817E83">
        <w:rPr>
          <w:rFonts w:ascii="Tahoma" w:hAnsi="Tahoma" w:cs="Arial"/>
          <w:sz w:val="22"/>
          <w:szCs w:val="22"/>
        </w:rPr>
        <w:t>s</w:t>
      </w:r>
      <w:r w:rsidR="00ED336C" w:rsidRPr="00817E83">
        <w:rPr>
          <w:rFonts w:ascii="Tahoma" w:hAnsi="Tahoma" w:cs="Arial"/>
          <w:sz w:val="22"/>
          <w:szCs w:val="22"/>
        </w:rPr>
        <w:t xml:space="preserve"> to </w:t>
      </w:r>
      <w:r w:rsidRPr="00817E83">
        <w:rPr>
          <w:rFonts w:ascii="Tahoma" w:hAnsi="Tahoma" w:cs="Arial"/>
          <w:sz w:val="22"/>
          <w:szCs w:val="22"/>
        </w:rPr>
        <w:t>document the operation of their OHS management systems</w:t>
      </w:r>
      <w:r w:rsidR="00DB0465">
        <w:rPr>
          <w:rFonts w:ascii="Tahoma" w:hAnsi="Tahoma" w:cs="Arial"/>
          <w:sz w:val="22"/>
          <w:szCs w:val="22"/>
        </w:rPr>
        <w:t>,</w:t>
      </w:r>
      <w:r w:rsidRPr="00817E83">
        <w:rPr>
          <w:rFonts w:ascii="Tahoma" w:hAnsi="Tahoma" w:cs="Arial"/>
          <w:sz w:val="22"/>
          <w:szCs w:val="22"/>
        </w:rPr>
        <w:t xml:space="preserve"> even when no </w:t>
      </w:r>
      <w:r w:rsidR="00817E83">
        <w:rPr>
          <w:rFonts w:ascii="Tahoma" w:hAnsi="Tahoma" w:cs="Arial"/>
          <w:sz w:val="22"/>
          <w:szCs w:val="22"/>
        </w:rPr>
        <w:t>S</w:t>
      </w:r>
      <w:r w:rsidRPr="00817E83">
        <w:rPr>
          <w:rFonts w:ascii="Tahoma" w:hAnsi="Tahoma" w:cs="Arial"/>
          <w:sz w:val="22"/>
          <w:szCs w:val="22"/>
        </w:rPr>
        <w:t>cheme projects are currently being undertaken.</w:t>
      </w:r>
      <w:r w:rsidR="00ED336C" w:rsidRPr="00817E83">
        <w:rPr>
          <w:rFonts w:ascii="Tahoma" w:hAnsi="Tahoma" w:cs="Arial"/>
          <w:sz w:val="22"/>
          <w:szCs w:val="22"/>
        </w:rPr>
        <w:t xml:space="preserve"> The </w:t>
      </w:r>
      <w:r w:rsidRPr="00817E83">
        <w:rPr>
          <w:rFonts w:ascii="Tahoma" w:hAnsi="Tahoma" w:cs="Arial"/>
          <w:sz w:val="22"/>
          <w:szCs w:val="22"/>
        </w:rPr>
        <w:t>biannual</w:t>
      </w:r>
      <w:r w:rsidR="00ED336C" w:rsidRPr="00817E83">
        <w:rPr>
          <w:rFonts w:ascii="Tahoma" w:hAnsi="Tahoma" w:cs="Arial"/>
          <w:sz w:val="22"/>
          <w:szCs w:val="22"/>
        </w:rPr>
        <w:t xml:space="preserve"> report collect</w:t>
      </w:r>
      <w:r w:rsidR="0077340E" w:rsidRPr="00817E83">
        <w:rPr>
          <w:rFonts w:ascii="Tahoma" w:hAnsi="Tahoma" w:cs="Arial"/>
          <w:sz w:val="22"/>
          <w:szCs w:val="22"/>
        </w:rPr>
        <w:t>s</w:t>
      </w:r>
      <w:r w:rsidR="00ED336C" w:rsidRPr="00817E83">
        <w:rPr>
          <w:rFonts w:ascii="Tahoma" w:hAnsi="Tahoma" w:cs="Arial"/>
          <w:sz w:val="22"/>
          <w:szCs w:val="22"/>
        </w:rPr>
        <w:t xml:space="preserve"> updated figures on a defined set of measures and is used to help the OFSC to assess the current OHS status of all accredited contractors, and to determine trends in accredited contractor OHS performance.</w:t>
      </w:r>
    </w:p>
    <w:p w:rsidR="00CC62D6" w:rsidRDefault="00ED336C" w:rsidP="00CC62D6">
      <w:pPr>
        <w:spacing w:before="100" w:beforeAutospacing="1" w:after="120"/>
        <w:rPr>
          <w:rFonts w:ascii="Tahoma" w:hAnsi="Tahoma" w:cs="Tahoma"/>
          <w:sz w:val="22"/>
          <w:szCs w:val="22"/>
        </w:rPr>
      </w:pPr>
      <w:r w:rsidRPr="00817E83">
        <w:rPr>
          <w:rFonts w:ascii="Tahoma" w:hAnsi="Tahoma" w:cs="Tahoma"/>
          <w:sz w:val="22"/>
          <w:szCs w:val="22"/>
        </w:rPr>
        <w:t xml:space="preserve">This </w:t>
      </w:r>
      <w:r w:rsidR="00643817">
        <w:rPr>
          <w:rFonts w:ascii="Tahoma" w:hAnsi="Tahoma" w:cs="Tahoma"/>
          <w:sz w:val="22"/>
          <w:szCs w:val="22"/>
        </w:rPr>
        <w:t>report</w:t>
      </w:r>
      <w:r w:rsidRPr="00817E83">
        <w:rPr>
          <w:rFonts w:ascii="Tahoma" w:hAnsi="Tahoma" w:cs="Tahoma"/>
          <w:sz w:val="22"/>
          <w:szCs w:val="22"/>
        </w:rPr>
        <w:t xml:space="preserve"> provides an overview </w:t>
      </w:r>
      <w:r w:rsidR="00D720CB">
        <w:rPr>
          <w:rFonts w:ascii="Tahoma" w:hAnsi="Tahoma" w:cs="Tahoma"/>
          <w:sz w:val="22"/>
          <w:szCs w:val="22"/>
        </w:rPr>
        <w:t>and</w:t>
      </w:r>
      <w:r w:rsidRPr="00817E83">
        <w:rPr>
          <w:rFonts w:ascii="Tahoma" w:hAnsi="Tahoma" w:cs="Tahoma"/>
          <w:sz w:val="22"/>
          <w:szCs w:val="22"/>
        </w:rPr>
        <w:t xml:space="preserve"> analysis of data collected from </w:t>
      </w:r>
      <w:r w:rsidR="00801DBD" w:rsidRPr="00817E83">
        <w:rPr>
          <w:rFonts w:ascii="Tahoma" w:hAnsi="Tahoma" w:cs="Tahoma"/>
          <w:sz w:val="22"/>
          <w:szCs w:val="22"/>
        </w:rPr>
        <w:t>biannual activity report</w:t>
      </w:r>
      <w:r w:rsidR="0077340E" w:rsidRPr="00817E83">
        <w:rPr>
          <w:rFonts w:ascii="Tahoma" w:hAnsi="Tahoma" w:cs="Tahoma"/>
          <w:sz w:val="22"/>
          <w:szCs w:val="22"/>
        </w:rPr>
        <w:t>s</w:t>
      </w:r>
      <w:r w:rsidR="00801DBD" w:rsidRPr="00817E83">
        <w:rPr>
          <w:rFonts w:ascii="Tahoma" w:hAnsi="Tahoma" w:cs="Tahoma"/>
          <w:sz w:val="22"/>
          <w:szCs w:val="22"/>
        </w:rPr>
        <w:t xml:space="preserve"> for the period J</w:t>
      </w:r>
      <w:r w:rsidR="00555EF0">
        <w:rPr>
          <w:rFonts w:ascii="Tahoma" w:hAnsi="Tahoma" w:cs="Tahoma"/>
          <w:sz w:val="22"/>
          <w:szCs w:val="22"/>
        </w:rPr>
        <w:t>anuary</w:t>
      </w:r>
      <w:r w:rsidR="00643817">
        <w:rPr>
          <w:rFonts w:ascii="Tahoma" w:hAnsi="Tahoma" w:cs="Tahoma"/>
          <w:sz w:val="22"/>
          <w:szCs w:val="22"/>
        </w:rPr>
        <w:t xml:space="preserve"> to </w:t>
      </w:r>
      <w:r w:rsidR="00555EF0">
        <w:rPr>
          <w:rFonts w:ascii="Tahoma" w:hAnsi="Tahoma" w:cs="Tahoma"/>
          <w:sz w:val="22"/>
          <w:szCs w:val="22"/>
        </w:rPr>
        <w:t>June</w:t>
      </w:r>
      <w:r w:rsidR="00801DBD" w:rsidRPr="00817E83">
        <w:rPr>
          <w:rFonts w:ascii="Tahoma" w:hAnsi="Tahoma" w:cs="Tahoma"/>
          <w:sz w:val="22"/>
          <w:szCs w:val="22"/>
        </w:rPr>
        <w:t xml:space="preserve"> 200</w:t>
      </w:r>
      <w:r w:rsidR="00555EF0">
        <w:rPr>
          <w:rFonts w:ascii="Tahoma" w:hAnsi="Tahoma" w:cs="Tahoma"/>
          <w:sz w:val="22"/>
          <w:szCs w:val="22"/>
        </w:rPr>
        <w:t>9</w:t>
      </w:r>
      <w:r w:rsidRPr="00817E83">
        <w:rPr>
          <w:rFonts w:ascii="Tahoma" w:hAnsi="Tahoma" w:cs="Tahoma"/>
          <w:sz w:val="22"/>
          <w:szCs w:val="22"/>
        </w:rPr>
        <w:t xml:space="preserve">. Comparisons are also made with data collected </w:t>
      </w:r>
      <w:r w:rsidR="00801DBD" w:rsidRPr="00817E83">
        <w:rPr>
          <w:rFonts w:ascii="Tahoma" w:hAnsi="Tahoma" w:cs="Tahoma"/>
          <w:sz w:val="22"/>
          <w:szCs w:val="22"/>
        </w:rPr>
        <w:t>in previous biannual periods</w:t>
      </w:r>
      <w:r w:rsidRPr="00817E83">
        <w:rPr>
          <w:rFonts w:ascii="Tahoma" w:hAnsi="Tahoma" w:cs="Tahoma"/>
          <w:sz w:val="22"/>
          <w:szCs w:val="22"/>
        </w:rPr>
        <w:t>.</w:t>
      </w:r>
    </w:p>
    <w:p w:rsidR="00CC62D6" w:rsidRDefault="004352E0" w:rsidP="00CC62D6">
      <w:pPr>
        <w:spacing w:before="100" w:beforeAutospacing="1" w:after="120"/>
        <w:rPr>
          <w:rFonts w:ascii="Tahoma" w:hAnsi="Tahoma" w:cs="Tahoma"/>
          <w:sz w:val="22"/>
          <w:szCs w:val="22"/>
        </w:rPr>
      </w:pPr>
      <w:r w:rsidRPr="004352E0">
        <w:rPr>
          <w:rFonts w:ascii="Tahoma" w:hAnsi="Tahoma" w:cs="Tahoma"/>
          <w:sz w:val="22"/>
          <w:szCs w:val="22"/>
        </w:rPr>
        <w:t xml:space="preserve">Data provided by accredited companies that is used in this report, apart from workers compensation data, generally </w:t>
      </w:r>
      <w:r w:rsidRPr="004352E0">
        <w:rPr>
          <w:rFonts w:ascii="Tahoma" w:hAnsi="Tahoma" w:cs="Tahoma"/>
          <w:sz w:val="22"/>
          <w:szCs w:val="22"/>
        </w:rPr>
        <w:lastRenderedPageBreak/>
        <w:t xml:space="preserve">excludes reports of injury from disease. </w:t>
      </w:r>
      <w:r w:rsidR="00E02903">
        <w:rPr>
          <w:rFonts w:ascii="Tahoma" w:hAnsi="Tahoma" w:cs="Tahoma"/>
          <w:sz w:val="22"/>
          <w:szCs w:val="22"/>
        </w:rPr>
        <w:t>W</w:t>
      </w:r>
      <w:r w:rsidRPr="004352E0">
        <w:rPr>
          <w:rFonts w:ascii="Tahoma" w:hAnsi="Tahoma" w:cs="Tahoma"/>
          <w:sz w:val="22"/>
          <w:szCs w:val="22"/>
        </w:rPr>
        <w:t>orkers compensation data industry rates indicate that around a quarter of claims are disease-related.</w:t>
      </w:r>
      <w:r w:rsidRPr="004352E0">
        <w:rPr>
          <w:rStyle w:val="FootnoteReference"/>
          <w:rFonts w:ascii="Tahoma" w:hAnsi="Tahoma" w:cs="Tahoma"/>
          <w:sz w:val="22"/>
          <w:szCs w:val="22"/>
        </w:rPr>
        <w:footnoteReference w:id="1"/>
      </w:r>
      <w:bookmarkStart w:id="6" w:name="_Toc190678757"/>
    </w:p>
    <w:p w:rsidR="00C86D3E" w:rsidRPr="00817E83" w:rsidRDefault="004352E0" w:rsidP="00CC62D6">
      <w:pPr>
        <w:rPr>
          <w:rFonts w:ascii="Tahoma" w:hAnsi="Tahoma" w:cs="Tahoma"/>
          <w:sz w:val="22"/>
          <w:szCs w:val="22"/>
        </w:rPr>
      </w:pPr>
      <w:r>
        <w:rPr>
          <w:rFonts w:ascii="Tahoma" w:hAnsi="Tahoma" w:cs="Tahoma"/>
          <w:sz w:val="22"/>
          <w:szCs w:val="22"/>
        </w:rPr>
        <w:t>Please</w:t>
      </w:r>
      <w:r w:rsidR="0077340E" w:rsidRPr="00817E83">
        <w:rPr>
          <w:rFonts w:ascii="Tahoma" w:hAnsi="Tahoma" w:cs="Tahoma"/>
          <w:sz w:val="22"/>
          <w:szCs w:val="22"/>
        </w:rPr>
        <w:t xml:space="preserve"> </w:t>
      </w:r>
      <w:r>
        <w:rPr>
          <w:rFonts w:ascii="Tahoma" w:hAnsi="Tahoma" w:cs="Tahoma"/>
          <w:sz w:val="22"/>
          <w:szCs w:val="22"/>
        </w:rPr>
        <w:t xml:space="preserve">note </w:t>
      </w:r>
      <w:r w:rsidR="0077340E" w:rsidRPr="00817E83">
        <w:rPr>
          <w:rFonts w:ascii="Tahoma" w:hAnsi="Tahoma" w:cs="Tahoma"/>
          <w:sz w:val="22"/>
          <w:szCs w:val="22"/>
        </w:rPr>
        <w:t xml:space="preserve">that data provided to the </w:t>
      </w:r>
      <w:r w:rsidR="00452B11">
        <w:rPr>
          <w:rFonts w:ascii="Tahoma" w:hAnsi="Tahoma" w:cs="Tahoma"/>
          <w:sz w:val="22"/>
          <w:szCs w:val="22"/>
        </w:rPr>
        <w:t>OFSC</w:t>
      </w:r>
      <w:r w:rsidR="0077340E" w:rsidRPr="00817E83">
        <w:rPr>
          <w:rFonts w:ascii="Tahoma" w:hAnsi="Tahoma" w:cs="Tahoma"/>
          <w:sz w:val="22"/>
          <w:szCs w:val="22"/>
        </w:rPr>
        <w:t xml:space="preserve"> by accredited contractors has not been the subject of independent audit or verification</w:t>
      </w:r>
      <w:r>
        <w:rPr>
          <w:rFonts w:ascii="Tahoma" w:hAnsi="Tahoma" w:cs="Tahoma"/>
          <w:sz w:val="22"/>
          <w:szCs w:val="22"/>
        </w:rPr>
        <w:t xml:space="preserve"> but is checked for consistency. S</w:t>
      </w:r>
      <w:r w:rsidR="00C86D3E">
        <w:rPr>
          <w:rFonts w:ascii="Tahoma" w:hAnsi="Tahoma" w:cs="Tahoma"/>
          <w:sz w:val="22"/>
          <w:szCs w:val="22"/>
        </w:rPr>
        <w:t xml:space="preserve">ome </w:t>
      </w:r>
      <w:r>
        <w:rPr>
          <w:rFonts w:ascii="Tahoma" w:hAnsi="Tahoma" w:cs="Tahoma"/>
          <w:sz w:val="22"/>
          <w:szCs w:val="22"/>
        </w:rPr>
        <w:t>historical</w:t>
      </w:r>
      <w:r w:rsidR="00C86D3E">
        <w:rPr>
          <w:rFonts w:ascii="Tahoma" w:hAnsi="Tahoma" w:cs="Tahoma"/>
          <w:sz w:val="22"/>
          <w:szCs w:val="22"/>
        </w:rPr>
        <w:t xml:space="preserve"> data ha</w:t>
      </w:r>
      <w:r>
        <w:rPr>
          <w:rFonts w:ascii="Tahoma" w:hAnsi="Tahoma" w:cs="Tahoma"/>
          <w:sz w:val="22"/>
          <w:szCs w:val="22"/>
        </w:rPr>
        <w:t>s</w:t>
      </w:r>
      <w:r w:rsidR="00C86D3E">
        <w:rPr>
          <w:rFonts w:ascii="Tahoma" w:hAnsi="Tahoma" w:cs="Tahoma"/>
          <w:sz w:val="22"/>
          <w:szCs w:val="22"/>
        </w:rPr>
        <w:t xml:space="preserve"> been subject to revision and may differ from previously published data.</w:t>
      </w:r>
    </w:p>
    <w:p w:rsidR="00ED336C" w:rsidRDefault="00643817" w:rsidP="00CE7244">
      <w:pPr>
        <w:pStyle w:val="Heading1"/>
        <w:spacing w:before="120" w:after="120"/>
        <w:ind w:left="431" w:hanging="431"/>
      </w:pPr>
      <w:bookmarkStart w:id="7" w:name="_Toc226431175"/>
      <w:bookmarkStart w:id="8" w:name="_Toc246296846"/>
      <w:r>
        <w:t>ANALYSIS</w:t>
      </w:r>
      <w:bookmarkEnd w:id="6"/>
      <w:bookmarkEnd w:id="7"/>
      <w:bookmarkEnd w:id="8"/>
    </w:p>
    <w:p w:rsidR="0026519F" w:rsidRDefault="0026519F" w:rsidP="00D03898">
      <w:pPr>
        <w:spacing w:before="100" w:beforeAutospacing="1" w:after="120"/>
        <w:rPr>
          <w:rFonts w:ascii="Tahoma" w:hAnsi="Tahoma" w:cs="Tahoma"/>
          <w:sz w:val="22"/>
          <w:szCs w:val="22"/>
        </w:rPr>
      </w:pPr>
      <w:r w:rsidRPr="0026519F">
        <w:rPr>
          <w:rFonts w:ascii="Tahoma" w:hAnsi="Tahoma" w:cs="Tahoma"/>
          <w:sz w:val="22"/>
          <w:szCs w:val="22"/>
        </w:rPr>
        <w:t>Prior to the introduction of biannual reporting</w:t>
      </w:r>
      <w:r w:rsidR="00E34DD3">
        <w:rPr>
          <w:rFonts w:ascii="Tahoma" w:hAnsi="Tahoma" w:cs="Tahoma"/>
          <w:sz w:val="22"/>
          <w:szCs w:val="22"/>
        </w:rPr>
        <w:t xml:space="preserve"> in the December</w:t>
      </w:r>
      <w:r w:rsidR="00B329A3">
        <w:rPr>
          <w:rFonts w:ascii="Tahoma" w:hAnsi="Tahoma" w:cs="Tahoma"/>
          <w:sz w:val="22"/>
          <w:szCs w:val="22"/>
        </w:rPr>
        <w:t> </w:t>
      </w:r>
      <w:r w:rsidR="00E34DD3">
        <w:rPr>
          <w:rFonts w:ascii="Tahoma" w:hAnsi="Tahoma" w:cs="Tahoma"/>
          <w:sz w:val="22"/>
          <w:szCs w:val="22"/>
        </w:rPr>
        <w:t>2007 reporting period</w:t>
      </w:r>
      <w:r w:rsidRPr="0026519F">
        <w:rPr>
          <w:rFonts w:ascii="Tahoma" w:hAnsi="Tahoma" w:cs="Tahoma"/>
          <w:sz w:val="22"/>
          <w:szCs w:val="22"/>
        </w:rPr>
        <w:t xml:space="preserve">, </w:t>
      </w:r>
      <w:r>
        <w:rPr>
          <w:rFonts w:ascii="Tahoma" w:hAnsi="Tahoma" w:cs="Tahoma"/>
          <w:sz w:val="22"/>
          <w:szCs w:val="22"/>
        </w:rPr>
        <w:t>data</w:t>
      </w:r>
      <w:r w:rsidRPr="0026519F">
        <w:rPr>
          <w:rFonts w:ascii="Tahoma" w:hAnsi="Tahoma" w:cs="Tahoma"/>
          <w:sz w:val="22"/>
          <w:szCs w:val="22"/>
        </w:rPr>
        <w:t xml:space="preserve"> w</w:t>
      </w:r>
      <w:r w:rsidR="00E34DD3">
        <w:rPr>
          <w:rFonts w:ascii="Tahoma" w:hAnsi="Tahoma" w:cs="Tahoma"/>
          <w:sz w:val="22"/>
          <w:szCs w:val="22"/>
        </w:rPr>
        <w:t>as</w:t>
      </w:r>
      <w:r w:rsidRPr="0026519F">
        <w:rPr>
          <w:rFonts w:ascii="Tahoma" w:hAnsi="Tahoma" w:cs="Tahoma"/>
          <w:sz w:val="22"/>
          <w:szCs w:val="22"/>
        </w:rPr>
        <w:t xml:space="preserve"> not split by type of project (</w:t>
      </w:r>
      <w:r>
        <w:rPr>
          <w:rFonts w:ascii="Tahoma" w:hAnsi="Tahoma" w:cs="Tahoma"/>
          <w:sz w:val="22"/>
          <w:szCs w:val="22"/>
        </w:rPr>
        <w:t>Scheme</w:t>
      </w:r>
      <w:r w:rsidR="009018C8">
        <w:rPr>
          <w:rFonts w:ascii="Tahoma" w:hAnsi="Tahoma" w:cs="Tahoma"/>
          <w:sz w:val="22"/>
          <w:szCs w:val="22"/>
        </w:rPr>
        <w:t xml:space="preserve"> </w:t>
      </w:r>
      <w:r w:rsidRPr="0026519F">
        <w:rPr>
          <w:rFonts w:ascii="Tahoma" w:hAnsi="Tahoma" w:cs="Tahoma"/>
          <w:sz w:val="22"/>
          <w:szCs w:val="22"/>
        </w:rPr>
        <w:t>/ non-</w:t>
      </w:r>
      <w:r>
        <w:rPr>
          <w:rFonts w:ascii="Tahoma" w:hAnsi="Tahoma" w:cs="Tahoma"/>
          <w:sz w:val="22"/>
          <w:szCs w:val="22"/>
        </w:rPr>
        <w:t>Scheme</w:t>
      </w:r>
      <w:r w:rsidRPr="0026519F">
        <w:rPr>
          <w:rFonts w:ascii="Tahoma" w:hAnsi="Tahoma" w:cs="Tahoma"/>
          <w:sz w:val="22"/>
          <w:szCs w:val="22"/>
        </w:rPr>
        <w:t>). As a consequence, direct comparisons between biannual data and annual data are not practicable.</w:t>
      </w:r>
    </w:p>
    <w:p w:rsidR="00FE25E4" w:rsidRPr="0026519F" w:rsidRDefault="00175B57" w:rsidP="00D03898">
      <w:pPr>
        <w:spacing w:before="100" w:beforeAutospacing="1" w:after="120"/>
        <w:rPr>
          <w:rFonts w:ascii="Tahoma" w:hAnsi="Tahoma" w:cs="Tahoma"/>
          <w:sz w:val="22"/>
          <w:szCs w:val="22"/>
        </w:rPr>
      </w:pPr>
      <w:r>
        <w:rPr>
          <w:rFonts w:ascii="Tahoma" w:hAnsi="Tahoma" w:cs="Tahoma"/>
          <w:sz w:val="22"/>
          <w:szCs w:val="22"/>
        </w:rPr>
        <w:t xml:space="preserve">Where possible comparisons </w:t>
      </w:r>
      <w:r w:rsidR="00EF4065">
        <w:rPr>
          <w:rFonts w:ascii="Tahoma" w:hAnsi="Tahoma" w:cs="Tahoma"/>
          <w:sz w:val="22"/>
          <w:szCs w:val="22"/>
        </w:rPr>
        <w:t>with</w:t>
      </w:r>
      <w:r>
        <w:rPr>
          <w:rFonts w:ascii="Tahoma" w:hAnsi="Tahoma" w:cs="Tahoma"/>
          <w:sz w:val="22"/>
          <w:szCs w:val="22"/>
        </w:rPr>
        <w:t xml:space="preserve"> industry wide data</w:t>
      </w:r>
      <w:r w:rsidR="00EF4065">
        <w:rPr>
          <w:rFonts w:ascii="Tahoma" w:hAnsi="Tahoma" w:cs="Tahoma"/>
          <w:sz w:val="22"/>
          <w:szCs w:val="22"/>
        </w:rPr>
        <w:t xml:space="preserve"> are provided</w:t>
      </w:r>
      <w:r>
        <w:rPr>
          <w:rFonts w:ascii="Tahoma" w:hAnsi="Tahoma" w:cs="Tahoma"/>
          <w:sz w:val="22"/>
          <w:szCs w:val="22"/>
        </w:rPr>
        <w:t>, however, the availability of th</w:t>
      </w:r>
      <w:r w:rsidR="00EF4065">
        <w:rPr>
          <w:rFonts w:ascii="Tahoma" w:hAnsi="Tahoma" w:cs="Tahoma"/>
          <w:sz w:val="22"/>
          <w:szCs w:val="22"/>
        </w:rPr>
        <w:t>ese</w:t>
      </w:r>
      <w:r>
        <w:rPr>
          <w:rFonts w:ascii="Tahoma" w:hAnsi="Tahoma" w:cs="Tahoma"/>
          <w:sz w:val="22"/>
          <w:szCs w:val="22"/>
        </w:rPr>
        <w:t xml:space="preserve"> data </w:t>
      </w:r>
      <w:r w:rsidR="00EF4065">
        <w:rPr>
          <w:rFonts w:ascii="Tahoma" w:hAnsi="Tahoma" w:cs="Tahoma"/>
          <w:sz w:val="22"/>
          <w:szCs w:val="22"/>
        </w:rPr>
        <w:t>are</w:t>
      </w:r>
      <w:r>
        <w:rPr>
          <w:rFonts w:ascii="Tahoma" w:hAnsi="Tahoma" w:cs="Tahoma"/>
          <w:sz w:val="22"/>
          <w:szCs w:val="22"/>
        </w:rPr>
        <w:t xml:space="preserve"> limited and </w:t>
      </w:r>
      <w:r w:rsidR="00CE7244">
        <w:rPr>
          <w:rFonts w:ascii="Tahoma" w:hAnsi="Tahoma" w:cs="Tahoma"/>
          <w:sz w:val="22"/>
          <w:szCs w:val="22"/>
        </w:rPr>
        <w:t>are</w:t>
      </w:r>
      <w:r>
        <w:rPr>
          <w:rFonts w:ascii="Tahoma" w:hAnsi="Tahoma" w:cs="Tahoma"/>
          <w:sz w:val="22"/>
          <w:szCs w:val="22"/>
        </w:rPr>
        <w:t xml:space="preserve"> often not available until much later than the data reported by the OFSC.</w:t>
      </w:r>
    </w:p>
    <w:p w:rsidR="00487D1B" w:rsidRPr="00FE25E4" w:rsidRDefault="00ED336C" w:rsidP="00487D1B">
      <w:pPr>
        <w:pStyle w:val="Heading2"/>
        <w:numPr>
          <w:ilvl w:val="1"/>
          <w:numId w:val="12"/>
        </w:numPr>
        <w:spacing w:before="120" w:after="120"/>
        <w:ind w:left="578" w:hanging="578"/>
      </w:pPr>
      <w:bookmarkStart w:id="9" w:name="_Toc226431176"/>
      <w:bookmarkStart w:id="10" w:name="_Toc246296847"/>
      <w:r w:rsidRPr="00643817">
        <w:t xml:space="preserve">Contractors </w:t>
      </w:r>
      <w:r w:rsidR="00C3356F">
        <w:t>a</w:t>
      </w:r>
      <w:r w:rsidR="00080D33" w:rsidRPr="00643817">
        <w:t>ccredited</w:t>
      </w:r>
      <w:bookmarkEnd w:id="9"/>
      <w:bookmarkEnd w:id="10"/>
    </w:p>
    <w:p w:rsidR="00EF07A2" w:rsidRDefault="00E912FD" w:rsidP="00BB1FFE">
      <w:pPr>
        <w:numPr>
          <w:ilvl w:val="0"/>
          <w:numId w:val="20"/>
        </w:numPr>
        <w:tabs>
          <w:tab w:val="clear" w:pos="568"/>
          <w:tab w:val="num" w:pos="709"/>
        </w:tabs>
        <w:spacing w:before="100" w:beforeAutospacing="1" w:after="120"/>
        <w:ind w:left="709"/>
        <w:rPr>
          <w:rFonts w:ascii="Tahoma" w:hAnsi="Tahoma" w:cs="Tahoma"/>
          <w:sz w:val="22"/>
          <w:szCs w:val="22"/>
        </w:rPr>
      </w:pPr>
      <w:r>
        <w:rPr>
          <w:rFonts w:ascii="Tahoma" w:hAnsi="Tahoma" w:cs="Tahoma"/>
          <w:sz w:val="22"/>
          <w:szCs w:val="22"/>
        </w:rPr>
        <w:t>Between the June 2008 and June 2009 reporting periods there has been a 53 per cent increase in the number of accredited contractors providing</w:t>
      </w:r>
      <w:r w:rsidR="00106E78">
        <w:rPr>
          <w:rFonts w:ascii="Tahoma" w:hAnsi="Tahoma" w:cs="Tahoma"/>
          <w:sz w:val="22"/>
          <w:szCs w:val="22"/>
        </w:rPr>
        <w:t xml:space="preserve"> </w:t>
      </w:r>
      <w:r>
        <w:rPr>
          <w:rFonts w:ascii="Tahoma" w:hAnsi="Tahoma" w:cs="Tahoma"/>
          <w:sz w:val="22"/>
          <w:szCs w:val="22"/>
        </w:rPr>
        <w:t>biannual data, with 95 accredited contractors reporting in the June 2008 period and 145 reporting in the June 2009 period</w:t>
      </w:r>
      <w:r w:rsidR="00EF07A2">
        <w:rPr>
          <w:rStyle w:val="FootnoteReference"/>
          <w:rFonts w:ascii="Tahoma" w:hAnsi="Tahoma"/>
          <w:sz w:val="22"/>
          <w:szCs w:val="22"/>
        </w:rPr>
        <w:footnoteReference w:id="2"/>
      </w:r>
      <w:r>
        <w:rPr>
          <w:rFonts w:ascii="Tahoma" w:hAnsi="Tahoma" w:cs="Tahoma"/>
          <w:sz w:val="22"/>
          <w:szCs w:val="22"/>
        </w:rPr>
        <w:t>.</w:t>
      </w:r>
    </w:p>
    <w:p w:rsidR="00FE25E4" w:rsidRPr="00FE25E4" w:rsidRDefault="00E912FD" w:rsidP="00FE25E4">
      <w:pPr>
        <w:numPr>
          <w:ilvl w:val="0"/>
          <w:numId w:val="20"/>
        </w:numPr>
        <w:tabs>
          <w:tab w:val="clear" w:pos="568"/>
          <w:tab w:val="num" w:pos="709"/>
        </w:tabs>
        <w:spacing w:before="100" w:beforeAutospacing="1" w:after="120"/>
        <w:ind w:left="709"/>
        <w:rPr>
          <w:rFonts w:ascii="Tahoma" w:hAnsi="Tahoma" w:cs="Tahoma"/>
          <w:sz w:val="22"/>
          <w:szCs w:val="22"/>
        </w:rPr>
      </w:pPr>
      <w:r>
        <w:rPr>
          <w:rFonts w:ascii="Tahoma" w:hAnsi="Tahoma" w:cs="Tahoma"/>
          <w:sz w:val="22"/>
          <w:szCs w:val="22"/>
        </w:rPr>
        <w:t xml:space="preserve"> Of the 145 accredited contractors reporting in the June 2009 period, 1</w:t>
      </w:r>
      <w:r w:rsidR="00B02A92">
        <w:rPr>
          <w:rFonts w:ascii="Tahoma" w:hAnsi="Tahoma" w:cs="Tahoma"/>
          <w:sz w:val="22"/>
          <w:szCs w:val="22"/>
        </w:rPr>
        <w:t>6</w:t>
      </w:r>
      <w:r>
        <w:rPr>
          <w:rFonts w:ascii="Tahoma" w:hAnsi="Tahoma" w:cs="Tahoma"/>
          <w:sz w:val="22"/>
          <w:szCs w:val="22"/>
        </w:rPr>
        <w:t xml:space="preserve"> (1</w:t>
      </w:r>
      <w:r w:rsidR="00B02A92">
        <w:rPr>
          <w:rFonts w:ascii="Tahoma" w:hAnsi="Tahoma" w:cs="Tahoma"/>
          <w:sz w:val="22"/>
          <w:szCs w:val="22"/>
        </w:rPr>
        <w:t>1</w:t>
      </w:r>
      <w:r>
        <w:rPr>
          <w:rFonts w:ascii="Tahoma" w:hAnsi="Tahoma" w:cs="Tahoma"/>
          <w:sz w:val="22"/>
          <w:szCs w:val="22"/>
        </w:rPr>
        <w:t> per cent) reported nil projects</w:t>
      </w:r>
      <w:r w:rsidR="00EF07A2">
        <w:rPr>
          <w:rFonts w:ascii="Tahoma" w:hAnsi="Tahoma" w:cs="Tahoma"/>
          <w:sz w:val="22"/>
          <w:szCs w:val="22"/>
        </w:rPr>
        <w:t xml:space="preserve"> compared to </w:t>
      </w:r>
      <w:r w:rsidR="00F4280C">
        <w:rPr>
          <w:rFonts w:ascii="Tahoma" w:hAnsi="Tahoma" w:cs="Tahoma"/>
          <w:sz w:val="22"/>
          <w:szCs w:val="22"/>
        </w:rPr>
        <w:t>seven</w:t>
      </w:r>
      <w:r w:rsidR="00EF07A2">
        <w:rPr>
          <w:rFonts w:ascii="Tahoma" w:hAnsi="Tahoma" w:cs="Tahoma"/>
          <w:sz w:val="22"/>
          <w:szCs w:val="22"/>
        </w:rPr>
        <w:t xml:space="preserve"> (7 per cent) in the June 2008 period</w:t>
      </w:r>
      <w:r>
        <w:rPr>
          <w:rFonts w:ascii="Tahoma" w:hAnsi="Tahoma" w:cs="Tahoma"/>
          <w:sz w:val="22"/>
          <w:szCs w:val="22"/>
        </w:rPr>
        <w:t>.</w:t>
      </w:r>
    </w:p>
    <w:p w:rsidR="00487D1B" w:rsidRPr="00CC62D6" w:rsidRDefault="00ED336C" w:rsidP="00487D1B">
      <w:pPr>
        <w:pStyle w:val="Heading2"/>
        <w:spacing w:before="120" w:after="120"/>
        <w:ind w:left="578" w:hanging="578"/>
        <w:rPr>
          <w:bCs w:val="0"/>
          <w:iCs w:val="0"/>
        </w:rPr>
      </w:pPr>
      <w:bookmarkStart w:id="11" w:name="_Toc226431177"/>
      <w:bookmarkStart w:id="12" w:name="_Toc246296848"/>
      <w:r w:rsidRPr="00647029">
        <w:rPr>
          <w:rStyle w:val="Heading2Char"/>
          <w:b/>
          <w:i/>
        </w:rPr>
        <w:t xml:space="preserve">Number of </w:t>
      </w:r>
      <w:r w:rsidR="00C3356F" w:rsidRPr="00647029">
        <w:rPr>
          <w:rStyle w:val="Heading2Char"/>
          <w:b/>
          <w:i/>
        </w:rPr>
        <w:t>p</w:t>
      </w:r>
      <w:r w:rsidRPr="00647029">
        <w:rPr>
          <w:rStyle w:val="Heading2Char"/>
          <w:b/>
          <w:i/>
        </w:rPr>
        <w:t>rojects</w:t>
      </w:r>
      <w:bookmarkEnd w:id="11"/>
      <w:bookmarkEnd w:id="12"/>
    </w:p>
    <w:tbl>
      <w:tblPr>
        <w:tblStyle w:val="TableGrid"/>
        <w:tblW w:w="0" w:type="auto"/>
        <w:jc w:val="center"/>
        <w:tblCellMar>
          <w:left w:w="57" w:type="dxa"/>
          <w:right w:w="57" w:type="dxa"/>
        </w:tblCellMar>
        <w:tblLook w:val="01E0" w:firstRow="1" w:lastRow="1" w:firstColumn="1" w:lastColumn="1" w:noHBand="0" w:noVBand="0"/>
      </w:tblPr>
      <w:tblGrid>
        <w:gridCol w:w="1628"/>
        <w:gridCol w:w="1733"/>
        <w:gridCol w:w="1666"/>
        <w:gridCol w:w="1734"/>
        <w:gridCol w:w="1666"/>
      </w:tblGrid>
      <w:tr w:rsidR="00B74BB6" w:rsidTr="006950B6">
        <w:trPr>
          <w:jc w:val="center"/>
        </w:trPr>
        <w:tc>
          <w:tcPr>
            <w:tcW w:w="1628" w:type="dxa"/>
            <w:vAlign w:val="bottom"/>
          </w:tcPr>
          <w:p w:rsidR="00B74BB6" w:rsidRPr="00341CD4" w:rsidRDefault="005405FD" w:rsidP="00270DD5">
            <w:pPr>
              <w:spacing w:before="20" w:after="20"/>
              <w:jc w:val="center"/>
              <w:rPr>
                <w:rFonts w:ascii="Tahoma" w:hAnsi="Tahoma" w:cs="Tahoma"/>
                <w:b/>
                <w:sz w:val="20"/>
              </w:rPr>
            </w:pPr>
            <w:r w:rsidRPr="00341CD4">
              <w:rPr>
                <w:rFonts w:ascii="Tahoma" w:hAnsi="Tahoma" w:cs="Tahoma"/>
                <w:b/>
                <w:sz w:val="20"/>
              </w:rPr>
              <w:t>Period</w:t>
            </w:r>
          </w:p>
        </w:tc>
        <w:tc>
          <w:tcPr>
            <w:tcW w:w="1733" w:type="dxa"/>
            <w:vAlign w:val="bottom"/>
          </w:tcPr>
          <w:p w:rsidR="00B74BB6" w:rsidRPr="00341CD4" w:rsidRDefault="006950B6" w:rsidP="00270DD5">
            <w:pPr>
              <w:spacing w:before="20" w:after="20"/>
              <w:jc w:val="center"/>
              <w:rPr>
                <w:rFonts w:ascii="Tahoma" w:hAnsi="Tahoma" w:cs="Tahoma"/>
                <w:b/>
                <w:sz w:val="20"/>
              </w:rPr>
            </w:pPr>
            <w:r>
              <w:rPr>
                <w:rFonts w:ascii="Tahoma" w:hAnsi="Tahoma" w:cs="Tahoma"/>
                <w:b/>
                <w:sz w:val="20"/>
              </w:rPr>
              <w:t xml:space="preserve">Number of </w:t>
            </w:r>
            <w:r w:rsidR="00B74BB6" w:rsidRPr="00341CD4">
              <w:rPr>
                <w:rFonts w:ascii="Tahoma" w:hAnsi="Tahoma" w:cs="Tahoma"/>
                <w:b/>
                <w:sz w:val="20"/>
              </w:rPr>
              <w:t>Accredited contractors</w:t>
            </w:r>
            <w:r>
              <w:rPr>
                <w:rFonts w:ascii="Tahoma" w:hAnsi="Tahoma" w:cs="Tahoma"/>
                <w:b/>
                <w:sz w:val="20"/>
              </w:rPr>
              <w:t xml:space="preserve"> with Scheme Projects</w:t>
            </w:r>
          </w:p>
        </w:tc>
        <w:tc>
          <w:tcPr>
            <w:tcW w:w="1666" w:type="dxa"/>
            <w:vAlign w:val="bottom"/>
          </w:tcPr>
          <w:p w:rsidR="00B74BB6" w:rsidRPr="00341CD4" w:rsidRDefault="006950B6" w:rsidP="00270DD5">
            <w:pPr>
              <w:spacing w:before="20" w:after="20"/>
              <w:jc w:val="center"/>
              <w:rPr>
                <w:rFonts w:ascii="Tahoma" w:hAnsi="Tahoma" w:cs="Tahoma"/>
                <w:b/>
                <w:sz w:val="20"/>
              </w:rPr>
            </w:pPr>
            <w:r>
              <w:rPr>
                <w:rFonts w:ascii="Tahoma" w:hAnsi="Tahoma" w:cs="Tahoma"/>
                <w:b/>
                <w:sz w:val="20"/>
              </w:rPr>
              <w:t xml:space="preserve">Number of Scheme </w:t>
            </w:r>
            <w:r w:rsidR="00B74BB6" w:rsidRPr="00341CD4">
              <w:rPr>
                <w:rFonts w:ascii="Tahoma" w:hAnsi="Tahoma" w:cs="Tahoma"/>
                <w:b/>
                <w:sz w:val="20"/>
              </w:rPr>
              <w:t>Projects</w:t>
            </w:r>
          </w:p>
        </w:tc>
        <w:tc>
          <w:tcPr>
            <w:tcW w:w="1734" w:type="dxa"/>
            <w:vAlign w:val="bottom"/>
          </w:tcPr>
          <w:p w:rsidR="00B74BB6" w:rsidRPr="00341CD4" w:rsidRDefault="006950B6" w:rsidP="00270DD5">
            <w:pPr>
              <w:spacing w:before="20" w:after="20"/>
              <w:jc w:val="center"/>
              <w:rPr>
                <w:rFonts w:ascii="Tahoma" w:hAnsi="Tahoma" w:cs="Tahoma"/>
                <w:b/>
                <w:sz w:val="20"/>
              </w:rPr>
            </w:pPr>
            <w:r>
              <w:rPr>
                <w:rFonts w:ascii="Tahoma" w:hAnsi="Tahoma" w:cs="Tahoma"/>
                <w:b/>
                <w:sz w:val="20"/>
              </w:rPr>
              <w:t xml:space="preserve">Number of </w:t>
            </w:r>
            <w:r w:rsidR="00B74BB6" w:rsidRPr="00341CD4">
              <w:rPr>
                <w:rFonts w:ascii="Tahoma" w:hAnsi="Tahoma" w:cs="Tahoma"/>
                <w:b/>
                <w:sz w:val="20"/>
              </w:rPr>
              <w:t>Accredited contractors</w:t>
            </w:r>
            <w:r>
              <w:rPr>
                <w:rFonts w:ascii="Tahoma" w:hAnsi="Tahoma" w:cs="Tahoma"/>
                <w:b/>
                <w:sz w:val="20"/>
              </w:rPr>
              <w:t xml:space="preserve"> with Non-Scheme Projects</w:t>
            </w:r>
          </w:p>
        </w:tc>
        <w:tc>
          <w:tcPr>
            <w:tcW w:w="1666" w:type="dxa"/>
            <w:vAlign w:val="bottom"/>
          </w:tcPr>
          <w:p w:rsidR="00B74BB6" w:rsidRPr="00341CD4" w:rsidRDefault="006950B6" w:rsidP="00270DD5">
            <w:pPr>
              <w:spacing w:before="20" w:after="20"/>
              <w:jc w:val="center"/>
              <w:rPr>
                <w:rFonts w:ascii="Tahoma" w:hAnsi="Tahoma" w:cs="Tahoma"/>
                <w:b/>
                <w:sz w:val="20"/>
              </w:rPr>
            </w:pPr>
            <w:r>
              <w:rPr>
                <w:rFonts w:ascii="Tahoma" w:hAnsi="Tahoma" w:cs="Tahoma"/>
                <w:b/>
                <w:sz w:val="20"/>
              </w:rPr>
              <w:t xml:space="preserve">Number of Non-Scheme </w:t>
            </w:r>
            <w:r w:rsidR="00B74BB6" w:rsidRPr="00341CD4">
              <w:rPr>
                <w:rFonts w:ascii="Tahoma" w:hAnsi="Tahoma" w:cs="Tahoma"/>
                <w:b/>
                <w:sz w:val="20"/>
              </w:rPr>
              <w:t>Projects</w:t>
            </w:r>
          </w:p>
        </w:tc>
      </w:tr>
      <w:tr w:rsidR="00B74BB6" w:rsidTr="00555AE2">
        <w:trPr>
          <w:jc w:val="center"/>
        </w:trPr>
        <w:tc>
          <w:tcPr>
            <w:tcW w:w="1628"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Jul to Dec 2007</w:t>
            </w:r>
          </w:p>
        </w:tc>
        <w:tc>
          <w:tcPr>
            <w:tcW w:w="1733"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25</w:t>
            </w:r>
          </w:p>
        </w:tc>
        <w:tc>
          <w:tcPr>
            <w:tcW w:w="1666"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42</w:t>
            </w:r>
          </w:p>
        </w:tc>
        <w:tc>
          <w:tcPr>
            <w:tcW w:w="1734"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58</w:t>
            </w:r>
          </w:p>
        </w:tc>
        <w:tc>
          <w:tcPr>
            <w:tcW w:w="1666"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1,019</w:t>
            </w:r>
          </w:p>
        </w:tc>
      </w:tr>
      <w:tr w:rsidR="00B74BB6" w:rsidTr="00555AE2">
        <w:trPr>
          <w:jc w:val="center"/>
        </w:trPr>
        <w:tc>
          <w:tcPr>
            <w:tcW w:w="1628"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Jan to Jun 2008</w:t>
            </w:r>
          </w:p>
        </w:tc>
        <w:tc>
          <w:tcPr>
            <w:tcW w:w="1733"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32</w:t>
            </w:r>
          </w:p>
        </w:tc>
        <w:tc>
          <w:tcPr>
            <w:tcW w:w="1666"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71</w:t>
            </w:r>
          </w:p>
        </w:tc>
        <w:tc>
          <w:tcPr>
            <w:tcW w:w="1734"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85</w:t>
            </w:r>
          </w:p>
        </w:tc>
        <w:tc>
          <w:tcPr>
            <w:tcW w:w="1666"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1,212</w:t>
            </w:r>
          </w:p>
        </w:tc>
      </w:tr>
      <w:tr w:rsidR="00B74BB6" w:rsidTr="00555AE2">
        <w:trPr>
          <w:jc w:val="center"/>
        </w:trPr>
        <w:tc>
          <w:tcPr>
            <w:tcW w:w="1628"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Jul to Dec 2008</w:t>
            </w:r>
          </w:p>
        </w:tc>
        <w:tc>
          <w:tcPr>
            <w:tcW w:w="1733"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44</w:t>
            </w:r>
          </w:p>
        </w:tc>
        <w:tc>
          <w:tcPr>
            <w:tcW w:w="1666"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103</w:t>
            </w:r>
          </w:p>
        </w:tc>
        <w:tc>
          <w:tcPr>
            <w:tcW w:w="1734"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107</w:t>
            </w:r>
          </w:p>
        </w:tc>
        <w:tc>
          <w:tcPr>
            <w:tcW w:w="1666"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1,416</w:t>
            </w:r>
          </w:p>
        </w:tc>
      </w:tr>
      <w:tr w:rsidR="00C86D3E" w:rsidTr="00555AE2">
        <w:trPr>
          <w:jc w:val="center"/>
        </w:trPr>
        <w:tc>
          <w:tcPr>
            <w:tcW w:w="1628" w:type="dxa"/>
            <w:vAlign w:val="bottom"/>
          </w:tcPr>
          <w:p w:rsidR="00C86D3E" w:rsidRPr="00341CD4" w:rsidRDefault="00C86D3E" w:rsidP="00270DD5">
            <w:pPr>
              <w:spacing w:before="20" w:after="20"/>
              <w:jc w:val="center"/>
              <w:rPr>
                <w:rFonts w:ascii="Tahoma" w:hAnsi="Tahoma" w:cs="Tahoma"/>
                <w:sz w:val="20"/>
              </w:rPr>
            </w:pPr>
            <w:r w:rsidRPr="00341CD4">
              <w:rPr>
                <w:rFonts w:ascii="Tahoma" w:hAnsi="Tahoma" w:cs="Tahoma"/>
                <w:sz w:val="20"/>
              </w:rPr>
              <w:t>Jan to Jun 200</w:t>
            </w:r>
            <w:r>
              <w:rPr>
                <w:rFonts w:ascii="Tahoma" w:hAnsi="Tahoma" w:cs="Tahoma"/>
                <w:sz w:val="20"/>
              </w:rPr>
              <w:t>9</w:t>
            </w:r>
          </w:p>
        </w:tc>
        <w:tc>
          <w:tcPr>
            <w:tcW w:w="1733" w:type="dxa"/>
            <w:vAlign w:val="bottom"/>
          </w:tcPr>
          <w:p w:rsidR="00C86D3E" w:rsidRPr="00341CD4" w:rsidRDefault="005E16ED" w:rsidP="00270DD5">
            <w:pPr>
              <w:spacing w:before="20" w:after="20"/>
              <w:jc w:val="center"/>
              <w:rPr>
                <w:rFonts w:ascii="Tahoma" w:hAnsi="Tahoma" w:cs="Tahoma"/>
                <w:sz w:val="20"/>
              </w:rPr>
            </w:pPr>
            <w:r>
              <w:rPr>
                <w:rFonts w:ascii="Tahoma" w:hAnsi="Tahoma" w:cs="Tahoma"/>
                <w:sz w:val="20"/>
              </w:rPr>
              <w:t>6</w:t>
            </w:r>
            <w:r w:rsidR="00B02A92">
              <w:rPr>
                <w:rFonts w:ascii="Tahoma" w:hAnsi="Tahoma" w:cs="Tahoma"/>
                <w:sz w:val="20"/>
              </w:rPr>
              <w:t>1</w:t>
            </w:r>
          </w:p>
        </w:tc>
        <w:tc>
          <w:tcPr>
            <w:tcW w:w="1666" w:type="dxa"/>
            <w:vAlign w:val="bottom"/>
          </w:tcPr>
          <w:p w:rsidR="00C86D3E" w:rsidRPr="00341CD4" w:rsidRDefault="005E16ED" w:rsidP="00270DD5">
            <w:pPr>
              <w:spacing w:before="20" w:after="20"/>
              <w:jc w:val="center"/>
              <w:rPr>
                <w:rFonts w:ascii="Tahoma" w:hAnsi="Tahoma" w:cs="Tahoma"/>
                <w:sz w:val="20"/>
              </w:rPr>
            </w:pPr>
            <w:r>
              <w:rPr>
                <w:rFonts w:ascii="Tahoma" w:hAnsi="Tahoma" w:cs="Tahoma"/>
                <w:sz w:val="20"/>
              </w:rPr>
              <w:t>12</w:t>
            </w:r>
            <w:r w:rsidR="00B02A92">
              <w:rPr>
                <w:rFonts w:ascii="Tahoma" w:hAnsi="Tahoma" w:cs="Tahoma"/>
                <w:sz w:val="20"/>
              </w:rPr>
              <w:t>8</w:t>
            </w:r>
          </w:p>
        </w:tc>
        <w:tc>
          <w:tcPr>
            <w:tcW w:w="1734" w:type="dxa"/>
            <w:vAlign w:val="bottom"/>
          </w:tcPr>
          <w:p w:rsidR="00C86D3E" w:rsidRPr="00341CD4" w:rsidRDefault="005E16ED" w:rsidP="00270DD5">
            <w:pPr>
              <w:spacing w:before="20" w:after="20"/>
              <w:jc w:val="center"/>
              <w:rPr>
                <w:rFonts w:ascii="Tahoma" w:hAnsi="Tahoma" w:cs="Tahoma"/>
                <w:sz w:val="20"/>
              </w:rPr>
            </w:pPr>
            <w:r>
              <w:rPr>
                <w:rFonts w:ascii="Tahoma" w:hAnsi="Tahoma" w:cs="Tahoma"/>
                <w:sz w:val="20"/>
              </w:rPr>
              <w:t>12</w:t>
            </w:r>
            <w:r w:rsidR="00B02A92">
              <w:rPr>
                <w:rFonts w:ascii="Tahoma" w:hAnsi="Tahoma" w:cs="Tahoma"/>
                <w:sz w:val="20"/>
              </w:rPr>
              <w:t>3</w:t>
            </w:r>
          </w:p>
        </w:tc>
        <w:tc>
          <w:tcPr>
            <w:tcW w:w="1666" w:type="dxa"/>
            <w:vAlign w:val="bottom"/>
          </w:tcPr>
          <w:p w:rsidR="00C86D3E" w:rsidRPr="00341CD4" w:rsidRDefault="005E16ED" w:rsidP="00270DD5">
            <w:pPr>
              <w:spacing w:before="20" w:after="20"/>
              <w:jc w:val="center"/>
              <w:rPr>
                <w:rFonts w:ascii="Tahoma" w:hAnsi="Tahoma" w:cs="Tahoma"/>
                <w:sz w:val="20"/>
              </w:rPr>
            </w:pPr>
            <w:r>
              <w:rPr>
                <w:rFonts w:ascii="Tahoma" w:hAnsi="Tahoma" w:cs="Tahoma"/>
                <w:sz w:val="20"/>
              </w:rPr>
              <w:t>1,</w:t>
            </w:r>
            <w:r w:rsidR="00D87F72">
              <w:rPr>
                <w:rFonts w:ascii="Tahoma" w:hAnsi="Tahoma" w:cs="Tahoma"/>
                <w:sz w:val="20"/>
              </w:rPr>
              <w:t>7</w:t>
            </w:r>
            <w:r w:rsidR="00B02A92">
              <w:rPr>
                <w:rFonts w:ascii="Tahoma" w:hAnsi="Tahoma" w:cs="Tahoma"/>
                <w:sz w:val="20"/>
              </w:rPr>
              <w:t>14</w:t>
            </w:r>
          </w:p>
        </w:tc>
      </w:tr>
    </w:tbl>
    <w:p w:rsidR="00487D1B" w:rsidRPr="00487D1B" w:rsidRDefault="00487D1B" w:rsidP="00487D1B">
      <w:pPr>
        <w:rPr>
          <w:rFonts w:ascii="Tahoma" w:hAnsi="Tahoma" w:cs="Tahoma"/>
          <w:bCs/>
          <w:sz w:val="22"/>
          <w:szCs w:val="22"/>
        </w:rPr>
      </w:pPr>
    </w:p>
    <w:p w:rsidR="00341CD4" w:rsidRPr="00341CD4" w:rsidRDefault="00341CD4" w:rsidP="00BB1FFE">
      <w:pPr>
        <w:numPr>
          <w:ilvl w:val="0"/>
          <w:numId w:val="7"/>
        </w:numPr>
        <w:spacing w:before="100" w:beforeAutospacing="1" w:after="120"/>
        <w:ind w:left="714" w:hanging="288"/>
        <w:rPr>
          <w:rFonts w:ascii="Tahoma" w:hAnsi="Tahoma" w:cs="Tahoma"/>
          <w:bCs/>
          <w:sz w:val="22"/>
          <w:szCs w:val="22"/>
        </w:rPr>
      </w:pPr>
      <w:r>
        <w:rPr>
          <w:rFonts w:ascii="Tahoma" w:hAnsi="Tahoma" w:cs="Tahoma"/>
          <w:sz w:val="22"/>
          <w:szCs w:val="22"/>
        </w:rPr>
        <w:t xml:space="preserve">Between the </w:t>
      </w:r>
      <w:r w:rsidR="00D973EF">
        <w:rPr>
          <w:rFonts w:ascii="Tahoma" w:hAnsi="Tahoma" w:cs="Tahoma"/>
          <w:sz w:val="22"/>
          <w:szCs w:val="22"/>
        </w:rPr>
        <w:t>June</w:t>
      </w:r>
      <w:r w:rsidR="00B329A3">
        <w:rPr>
          <w:rFonts w:ascii="Tahoma" w:hAnsi="Tahoma" w:cs="Tahoma"/>
          <w:sz w:val="22"/>
          <w:szCs w:val="22"/>
        </w:rPr>
        <w:t> </w:t>
      </w:r>
      <w:r w:rsidR="00D973EF">
        <w:rPr>
          <w:rFonts w:ascii="Tahoma" w:hAnsi="Tahoma" w:cs="Tahoma"/>
          <w:sz w:val="22"/>
          <w:szCs w:val="22"/>
        </w:rPr>
        <w:t>2008</w:t>
      </w:r>
      <w:r>
        <w:rPr>
          <w:rFonts w:ascii="Tahoma" w:hAnsi="Tahoma" w:cs="Tahoma"/>
          <w:sz w:val="22"/>
          <w:szCs w:val="22"/>
        </w:rPr>
        <w:t xml:space="preserve"> and </w:t>
      </w:r>
      <w:r w:rsidR="00A55B1A">
        <w:rPr>
          <w:rFonts w:ascii="Tahoma" w:hAnsi="Tahoma" w:cs="Tahoma"/>
          <w:sz w:val="22"/>
          <w:szCs w:val="22"/>
        </w:rPr>
        <w:t>June</w:t>
      </w:r>
      <w:r w:rsidR="00B329A3">
        <w:rPr>
          <w:rFonts w:ascii="Tahoma" w:hAnsi="Tahoma" w:cs="Tahoma"/>
          <w:sz w:val="22"/>
          <w:szCs w:val="22"/>
        </w:rPr>
        <w:t> </w:t>
      </w:r>
      <w:r w:rsidR="00A55B1A">
        <w:rPr>
          <w:rFonts w:ascii="Tahoma" w:hAnsi="Tahoma" w:cs="Tahoma"/>
          <w:sz w:val="22"/>
          <w:szCs w:val="22"/>
        </w:rPr>
        <w:t>2009</w:t>
      </w:r>
      <w:r>
        <w:rPr>
          <w:rFonts w:ascii="Tahoma" w:hAnsi="Tahoma" w:cs="Tahoma"/>
          <w:sz w:val="22"/>
          <w:szCs w:val="22"/>
        </w:rPr>
        <w:t xml:space="preserve"> reporting periods the number of Scheme projects increased </w:t>
      </w:r>
      <w:r w:rsidR="00D973EF">
        <w:rPr>
          <w:rFonts w:ascii="Tahoma" w:hAnsi="Tahoma" w:cs="Tahoma"/>
          <w:sz w:val="22"/>
          <w:szCs w:val="22"/>
        </w:rPr>
        <w:t>8</w:t>
      </w:r>
      <w:r w:rsidR="00B02A92">
        <w:rPr>
          <w:rFonts w:ascii="Tahoma" w:hAnsi="Tahoma" w:cs="Tahoma"/>
          <w:sz w:val="22"/>
          <w:szCs w:val="22"/>
        </w:rPr>
        <w:t>0</w:t>
      </w:r>
      <w:r w:rsidR="00E14C9A">
        <w:rPr>
          <w:rFonts w:ascii="Tahoma" w:hAnsi="Tahoma" w:cs="Tahoma"/>
          <w:sz w:val="22"/>
          <w:szCs w:val="22"/>
        </w:rPr>
        <w:t> </w:t>
      </w:r>
      <w:r>
        <w:rPr>
          <w:rFonts w:ascii="Tahoma" w:hAnsi="Tahoma" w:cs="Tahoma"/>
          <w:sz w:val="22"/>
          <w:szCs w:val="22"/>
        </w:rPr>
        <w:t>per</w:t>
      </w:r>
      <w:r w:rsidR="00E14C9A">
        <w:rPr>
          <w:rFonts w:ascii="Tahoma" w:hAnsi="Tahoma" w:cs="Tahoma"/>
          <w:sz w:val="22"/>
          <w:szCs w:val="22"/>
        </w:rPr>
        <w:t> </w:t>
      </w:r>
      <w:r w:rsidR="00580F1A">
        <w:rPr>
          <w:rFonts w:ascii="Tahoma" w:hAnsi="Tahoma" w:cs="Tahoma"/>
          <w:sz w:val="22"/>
          <w:szCs w:val="22"/>
        </w:rPr>
        <w:t>c</w:t>
      </w:r>
      <w:r>
        <w:rPr>
          <w:rFonts w:ascii="Tahoma" w:hAnsi="Tahoma" w:cs="Tahoma"/>
          <w:sz w:val="22"/>
          <w:szCs w:val="22"/>
        </w:rPr>
        <w:t xml:space="preserve">ent, while the number of accredited contractors undertaking these projects increased </w:t>
      </w:r>
      <w:r w:rsidR="00D973EF">
        <w:rPr>
          <w:rFonts w:ascii="Tahoma" w:hAnsi="Tahoma" w:cs="Tahoma"/>
          <w:sz w:val="22"/>
          <w:szCs w:val="22"/>
        </w:rPr>
        <w:t>9</w:t>
      </w:r>
      <w:r w:rsidR="00B02A92">
        <w:rPr>
          <w:rFonts w:ascii="Tahoma" w:hAnsi="Tahoma" w:cs="Tahoma"/>
          <w:sz w:val="22"/>
          <w:szCs w:val="22"/>
        </w:rPr>
        <w:t>1</w:t>
      </w:r>
      <w:r w:rsidR="00E14C9A">
        <w:rPr>
          <w:rFonts w:ascii="Tahoma" w:hAnsi="Tahoma" w:cs="Tahoma"/>
          <w:sz w:val="22"/>
          <w:szCs w:val="22"/>
        </w:rPr>
        <w:t> </w:t>
      </w:r>
      <w:r>
        <w:rPr>
          <w:rFonts w:ascii="Tahoma" w:hAnsi="Tahoma" w:cs="Tahoma"/>
          <w:sz w:val="22"/>
          <w:szCs w:val="22"/>
        </w:rPr>
        <w:t>per</w:t>
      </w:r>
      <w:r w:rsidR="00E14C9A">
        <w:rPr>
          <w:rFonts w:ascii="Tahoma" w:hAnsi="Tahoma" w:cs="Tahoma"/>
          <w:sz w:val="22"/>
          <w:szCs w:val="22"/>
        </w:rPr>
        <w:t> </w:t>
      </w:r>
      <w:r>
        <w:rPr>
          <w:rFonts w:ascii="Tahoma" w:hAnsi="Tahoma" w:cs="Tahoma"/>
          <w:sz w:val="22"/>
          <w:szCs w:val="22"/>
        </w:rPr>
        <w:t>cent.</w:t>
      </w:r>
    </w:p>
    <w:p w:rsidR="00FE25E4" w:rsidRPr="00CC62D6" w:rsidRDefault="00341CD4" w:rsidP="00FE25E4">
      <w:pPr>
        <w:numPr>
          <w:ilvl w:val="0"/>
          <w:numId w:val="7"/>
        </w:numPr>
        <w:spacing w:before="100" w:beforeAutospacing="1" w:after="120"/>
        <w:ind w:left="714" w:hanging="288"/>
        <w:rPr>
          <w:rFonts w:ascii="Tahoma" w:hAnsi="Tahoma" w:cs="Tahoma"/>
          <w:bCs/>
          <w:sz w:val="22"/>
          <w:szCs w:val="22"/>
        </w:rPr>
      </w:pPr>
      <w:r>
        <w:rPr>
          <w:rFonts w:ascii="Tahoma" w:hAnsi="Tahoma" w:cs="Tahoma"/>
          <w:sz w:val="22"/>
          <w:szCs w:val="22"/>
        </w:rPr>
        <w:t xml:space="preserve">Over the same time, the number of non-Scheme projects increased </w:t>
      </w:r>
      <w:r w:rsidR="00D973EF">
        <w:rPr>
          <w:rFonts w:ascii="Tahoma" w:hAnsi="Tahoma" w:cs="Tahoma"/>
          <w:sz w:val="22"/>
          <w:szCs w:val="22"/>
        </w:rPr>
        <w:t>41</w:t>
      </w:r>
      <w:r w:rsidR="00E14C9A">
        <w:rPr>
          <w:rFonts w:ascii="Tahoma" w:hAnsi="Tahoma" w:cs="Tahoma"/>
          <w:sz w:val="22"/>
          <w:szCs w:val="22"/>
        </w:rPr>
        <w:t> </w:t>
      </w:r>
      <w:r>
        <w:rPr>
          <w:rFonts w:ascii="Tahoma" w:hAnsi="Tahoma" w:cs="Tahoma"/>
          <w:sz w:val="22"/>
          <w:szCs w:val="22"/>
        </w:rPr>
        <w:t>per</w:t>
      </w:r>
      <w:r w:rsidR="00E14C9A">
        <w:rPr>
          <w:rFonts w:ascii="Tahoma" w:hAnsi="Tahoma" w:cs="Tahoma"/>
          <w:sz w:val="22"/>
          <w:szCs w:val="22"/>
        </w:rPr>
        <w:t> </w:t>
      </w:r>
      <w:r>
        <w:rPr>
          <w:rFonts w:ascii="Tahoma" w:hAnsi="Tahoma" w:cs="Tahoma"/>
          <w:sz w:val="22"/>
          <w:szCs w:val="22"/>
        </w:rPr>
        <w:t xml:space="preserve">cent, while the number of accredited contractors undertaking these projects increased </w:t>
      </w:r>
      <w:r w:rsidR="00D973EF">
        <w:rPr>
          <w:rFonts w:ascii="Tahoma" w:hAnsi="Tahoma" w:cs="Tahoma"/>
          <w:sz w:val="22"/>
          <w:szCs w:val="22"/>
        </w:rPr>
        <w:t>4</w:t>
      </w:r>
      <w:r w:rsidR="00B02A92">
        <w:rPr>
          <w:rFonts w:ascii="Tahoma" w:hAnsi="Tahoma" w:cs="Tahoma"/>
          <w:sz w:val="22"/>
          <w:szCs w:val="22"/>
        </w:rPr>
        <w:t>5</w:t>
      </w:r>
      <w:r w:rsidR="00E14C9A">
        <w:rPr>
          <w:rFonts w:ascii="Tahoma" w:hAnsi="Tahoma" w:cs="Tahoma"/>
          <w:sz w:val="22"/>
          <w:szCs w:val="22"/>
        </w:rPr>
        <w:t> </w:t>
      </w:r>
      <w:r>
        <w:rPr>
          <w:rFonts w:ascii="Tahoma" w:hAnsi="Tahoma" w:cs="Tahoma"/>
          <w:sz w:val="22"/>
          <w:szCs w:val="22"/>
        </w:rPr>
        <w:t>per</w:t>
      </w:r>
      <w:r w:rsidR="00E14C9A">
        <w:rPr>
          <w:rFonts w:ascii="Tahoma" w:hAnsi="Tahoma" w:cs="Tahoma"/>
          <w:sz w:val="22"/>
          <w:szCs w:val="22"/>
        </w:rPr>
        <w:t> </w:t>
      </w:r>
      <w:r>
        <w:rPr>
          <w:rFonts w:ascii="Tahoma" w:hAnsi="Tahoma" w:cs="Tahoma"/>
          <w:sz w:val="22"/>
          <w:szCs w:val="22"/>
        </w:rPr>
        <w:t>cent.</w:t>
      </w:r>
    </w:p>
    <w:p w:rsidR="00643817" w:rsidRPr="00C3356F" w:rsidRDefault="00C3356F" w:rsidP="00CE7244">
      <w:pPr>
        <w:pStyle w:val="Heading2"/>
        <w:spacing w:before="120" w:after="120"/>
        <w:ind w:left="578" w:hanging="578"/>
      </w:pPr>
      <w:bookmarkStart w:id="13" w:name="_Toc246296849"/>
      <w:r w:rsidRPr="00C3356F">
        <w:t>Number employed</w:t>
      </w:r>
      <w:bookmarkEnd w:id="13"/>
    </w:p>
    <w:p w:rsidR="00E02903" w:rsidRDefault="00631C4B" w:rsidP="00E03348">
      <w:pPr>
        <w:spacing w:before="100" w:beforeAutospacing="1" w:after="120"/>
        <w:rPr>
          <w:rFonts w:ascii="Tahoma" w:hAnsi="Tahoma" w:cs="Tahoma"/>
          <w:sz w:val="22"/>
          <w:szCs w:val="22"/>
        </w:rPr>
      </w:pPr>
      <w:r>
        <w:rPr>
          <w:rFonts w:ascii="Tahoma" w:hAnsi="Tahoma" w:cs="Tahoma"/>
          <w:sz w:val="22"/>
          <w:szCs w:val="22"/>
        </w:rPr>
        <w:t>F</w:t>
      </w:r>
      <w:r w:rsidR="00D720CB">
        <w:rPr>
          <w:rFonts w:ascii="Tahoma" w:hAnsi="Tahoma" w:cs="Tahoma"/>
          <w:sz w:val="22"/>
          <w:szCs w:val="22"/>
        </w:rPr>
        <w:t>or the June</w:t>
      </w:r>
      <w:r w:rsidR="00B329A3">
        <w:rPr>
          <w:rFonts w:ascii="Tahoma" w:hAnsi="Tahoma" w:cs="Tahoma"/>
          <w:sz w:val="22"/>
          <w:szCs w:val="22"/>
        </w:rPr>
        <w:t> </w:t>
      </w:r>
      <w:r w:rsidR="00D720CB">
        <w:rPr>
          <w:rFonts w:ascii="Tahoma" w:hAnsi="Tahoma" w:cs="Tahoma"/>
          <w:sz w:val="22"/>
          <w:szCs w:val="22"/>
        </w:rPr>
        <w:t>2009 reporting period</w:t>
      </w:r>
      <w:r>
        <w:rPr>
          <w:rFonts w:ascii="Tahoma" w:hAnsi="Tahoma" w:cs="Tahoma"/>
          <w:sz w:val="22"/>
          <w:szCs w:val="22"/>
        </w:rPr>
        <w:t>,</w:t>
      </w:r>
      <w:r w:rsidR="00D720CB">
        <w:rPr>
          <w:rFonts w:ascii="Tahoma" w:hAnsi="Tahoma" w:cs="Tahoma"/>
          <w:sz w:val="22"/>
          <w:szCs w:val="22"/>
        </w:rPr>
        <w:t xml:space="preserve"> a</w:t>
      </w:r>
      <w:r w:rsidR="00D720CB" w:rsidRPr="00571187">
        <w:rPr>
          <w:rFonts w:ascii="Tahoma" w:hAnsi="Tahoma" w:cs="Tahoma"/>
          <w:sz w:val="22"/>
          <w:szCs w:val="22"/>
        </w:rPr>
        <w:t>ccredited contractors</w:t>
      </w:r>
      <w:r w:rsidR="00D720CB">
        <w:rPr>
          <w:rFonts w:ascii="Tahoma" w:hAnsi="Tahoma" w:cs="Tahoma"/>
          <w:sz w:val="22"/>
          <w:szCs w:val="22"/>
        </w:rPr>
        <w:t xml:space="preserve"> were asked to </w:t>
      </w:r>
      <w:r>
        <w:rPr>
          <w:rFonts w:ascii="Tahoma" w:hAnsi="Tahoma" w:cs="Tahoma"/>
          <w:sz w:val="22"/>
          <w:szCs w:val="22"/>
        </w:rPr>
        <w:t xml:space="preserve">report head contractor employees [overall] and the number of hours worked on </w:t>
      </w:r>
      <w:r w:rsidR="00F31205">
        <w:rPr>
          <w:rFonts w:ascii="Tahoma" w:hAnsi="Tahoma" w:cs="Tahoma"/>
          <w:sz w:val="22"/>
          <w:szCs w:val="22"/>
        </w:rPr>
        <w:t xml:space="preserve">both </w:t>
      </w:r>
      <w:r>
        <w:rPr>
          <w:rFonts w:ascii="Tahoma" w:hAnsi="Tahoma" w:cs="Tahoma"/>
          <w:sz w:val="22"/>
          <w:szCs w:val="22"/>
        </w:rPr>
        <w:t>Scheme projects and non-Scheme projects</w:t>
      </w:r>
      <w:r>
        <w:rPr>
          <w:rStyle w:val="FootnoteReference"/>
          <w:rFonts w:ascii="Tahoma" w:hAnsi="Tahoma"/>
          <w:sz w:val="22"/>
          <w:szCs w:val="22"/>
        </w:rPr>
        <w:footnoteReference w:id="3"/>
      </w:r>
      <w:r>
        <w:rPr>
          <w:rFonts w:ascii="Tahoma" w:hAnsi="Tahoma" w:cs="Tahoma"/>
          <w:sz w:val="22"/>
          <w:szCs w:val="22"/>
        </w:rPr>
        <w:t>.</w:t>
      </w:r>
    </w:p>
    <w:p w:rsidR="00FE25E4" w:rsidRDefault="009018C8" w:rsidP="00FE25E4">
      <w:pPr>
        <w:spacing w:before="100" w:beforeAutospacing="1" w:after="120"/>
        <w:rPr>
          <w:rFonts w:ascii="Tahoma" w:hAnsi="Tahoma" w:cs="Tahoma"/>
          <w:sz w:val="22"/>
          <w:szCs w:val="22"/>
        </w:rPr>
      </w:pPr>
      <w:r>
        <w:rPr>
          <w:rFonts w:ascii="Tahoma" w:hAnsi="Tahoma" w:cs="Tahoma"/>
          <w:sz w:val="22"/>
          <w:szCs w:val="22"/>
        </w:rPr>
        <w:t>In previous periods, a</w:t>
      </w:r>
      <w:r w:rsidRPr="00571187">
        <w:rPr>
          <w:rFonts w:ascii="Tahoma" w:hAnsi="Tahoma" w:cs="Tahoma"/>
          <w:sz w:val="22"/>
          <w:szCs w:val="22"/>
        </w:rPr>
        <w:t>ccredited contractors report</w:t>
      </w:r>
      <w:r>
        <w:rPr>
          <w:rFonts w:ascii="Tahoma" w:hAnsi="Tahoma" w:cs="Tahoma"/>
          <w:sz w:val="22"/>
          <w:szCs w:val="22"/>
        </w:rPr>
        <w:t>ed</w:t>
      </w:r>
      <w:r w:rsidRPr="00571187">
        <w:rPr>
          <w:rFonts w:ascii="Tahoma" w:hAnsi="Tahoma" w:cs="Tahoma"/>
          <w:sz w:val="22"/>
          <w:szCs w:val="22"/>
        </w:rPr>
        <w:t xml:space="preserve"> the number of head contractor employees and sub-contractor</w:t>
      </w:r>
      <w:r w:rsidR="00F4280C">
        <w:rPr>
          <w:rFonts w:ascii="Tahoma" w:hAnsi="Tahoma" w:cs="Tahoma"/>
          <w:sz w:val="22"/>
          <w:szCs w:val="22"/>
        </w:rPr>
        <w:t>s</w:t>
      </w:r>
      <w:r w:rsidRPr="00571187">
        <w:rPr>
          <w:rFonts w:ascii="Tahoma" w:hAnsi="Tahoma" w:cs="Tahoma"/>
          <w:sz w:val="22"/>
          <w:szCs w:val="22"/>
        </w:rPr>
        <w:t xml:space="preserve"> for both Scheme and non-Scheme projects</w:t>
      </w:r>
      <w:r>
        <w:rPr>
          <w:rFonts w:ascii="Tahoma" w:hAnsi="Tahoma" w:cs="Tahoma"/>
          <w:sz w:val="22"/>
          <w:szCs w:val="22"/>
        </w:rPr>
        <w:t>.</w:t>
      </w:r>
      <w:r w:rsidR="00631C4B">
        <w:rPr>
          <w:rFonts w:ascii="Tahoma" w:hAnsi="Tahoma" w:cs="Tahoma"/>
          <w:sz w:val="22"/>
          <w:szCs w:val="22"/>
        </w:rPr>
        <w:t xml:space="preserve"> As a consequence</w:t>
      </w:r>
      <w:r>
        <w:rPr>
          <w:rFonts w:ascii="Tahoma" w:hAnsi="Tahoma" w:cs="Tahoma"/>
          <w:sz w:val="22"/>
          <w:szCs w:val="22"/>
        </w:rPr>
        <w:t xml:space="preserve"> of this change</w:t>
      </w:r>
      <w:r w:rsidR="00631C4B">
        <w:rPr>
          <w:rFonts w:ascii="Tahoma" w:hAnsi="Tahoma" w:cs="Tahoma"/>
          <w:sz w:val="22"/>
          <w:szCs w:val="22"/>
        </w:rPr>
        <w:t xml:space="preserve">, </w:t>
      </w:r>
      <w:r w:rsidR="00940C4F">
        <w:rPr>
          <w:rFonts w:ascii="Tahoma" w:hAnsi="Tahoma" w:cs="Tahoma"/>
          <w:sz w:val="22"/>
          <w:szCs w:val="22"/>
        </w:rPr>
        <w:t>employment data</w:t>
      </w:r>
      <w:r w:rsidR="006E0F72">
        <w:rPr>
          <w:rFonts w:ascii="Tahoma" w:hAnsi="Tahoma" w:cs="Tahoma"/>
          <w:sz w:val="22"/>
          <w:szCs w:val="22"/>
        </w:rPr>
        <w:t xml:space="preserve"> for</w:t>
      </w:r>
      <w:r w:rsidR="00631C4B">
        <w:rPr>
          <w:rFonts w:ascii="Tahoma" w:hAnsi="Tahoma" w:cs="Tahoma"/>
          <w:sz w:val="22"/>
          <w:szCs w:val="22"/>
        </w:rPr>
        <w:t xml:space="preserve"> the June</w:t>
      </w:r>
      <w:r w:rsidR="00B329A3">
        <w:rPr>
          <w:rFonts w:ascii="Tahoma" w:hAnsi="Tahoma" w:cs="Tahoma"/>
          <w:sz w:val="22"/>
          <w:szCs w:val="22"/>
        </w:rPr>
        <w:t> </w:t>
      </w:r>
      <w:r w:rsidR="00631C4B">
        <w:rPr>
          <w:rFonts w:ascii="Tahoma" w:hAnsi="Tahoma" w:cs="Tahoma"/>
          <w:sz w:val="22"/>
          <w:szCs w:val="22"/>
        </w:rPr>
        <w:t>2009 reporting period are modelled estimates</w:t>
      </w:r>
      <w:r w:rsidR="00426FC8">
        <w:rPr>
          <w:rStyle w:val="FootnoteReference"/>
          <w:rFonts w:ascii="Tahoma" w:hAnsi="Tahoma"/>
          <w:sz w:val="22"/>
          <w:szCs w:val="22"/>
        </w:rPr>
        <w:footnoteReference w:id="4"/>
      </w:r>
      <w:r>
        <w:rPr>
          <w:rFonts w:ascii="Tahoma" w:hAnsi="Tahoma" w:cs="Tahoma"/>
          <w:sz w:val="22"/>
          <w:szCs w:val="22"/>
        </w:rPr>
        <w:t>.</w:t>
      </w:r>
    </w:p>
    <w:tbl>
      <w:tblPr>
        <w:tblStyle w:val="TableGrid"/>
        <w:tblW w:w="8755" w:type="dxa"/>
        <w:tblLayout w:type="fixed"/>
        <w:tblLook w:val="01E0" w:firstRow="1" w:lastRow="1" w:firstColumn="1" w:lastColumn="1" w:noHBand="0" w:noVBand="0"/>
      </w:tblPr>
      <w:tblGrid>
        <w:gridCol w:w="1668"/>
        <w:gridCol w:w="1417"/>
        <w:gridCol w:w="1418"/>
        <w:gridCol w:w="1417"/>
        <w:gridCol w:w="1418"/>
        <w:gridCol w:w="1417"/>
      </w:tblGrid>
      <w:tr w:rsidR="00CA3DAF" w:rsidTr="00BE26A7">
        <w:trPr>
          <w:trHeight w:val="113"/>
        </w:trPr>
        <w:tc>
          <w:tcPr>
            <w:tcW w:w="1668" w:type="dxa"/>
            <w:vAlign w:val="bottom"/>
          </w:tcPr>
          <w:p w:rsidR="00CA3DAF" w:rsidRPr="0054340B" w:rsidRDefault="00CA3DAF" w:rsidP="0054340B">
            <w:pPr>
              <w:jc w:val="center"/>
              <w:rPr>
                <w:rFonts w:ascii="Tahoma" w:hAnsi="Tahoma" w:cs="Tahoma"/>
                <w:b/>
                <w:sz w:val="20"/>
              </w:rPr>
            </w:pPr>
            <w:r w:rsidRPr="0054340B">
              <w:rPr>
                <w:rFonts w:ascii="Tahoma" w:hAnsi="Tahoma" w:cs="Tahoma"/>
                <w:b/>
                <w:sz w:val="20"/>
              </w:rPr>
              <w:t>Period</w:t>
            </w:r>
          </w:p>
        </w:tc>
        <w:tc>
          <w:tcPr>
            <w:tcW w:w="1417" w:type="dxa"/>
            <w:vAlign w:val="bottom"/>
          </w:tcPr>
          <w:p w:rsidR="00CA3DAF" w:rsidRPr="009544DF" w:rsidRDefault="006F24F7" w:rsidP="0054340B">
            <w:pPr>
              <w:spacing w:before="20" w:after="20"/>
              <w:jc w:val="center"/>
              <w:rPr>
                <w:rFonts w:ascii="Tahoma" w:hAnsi="Tahoma" w:cs="Tahoma"/>
                <w:b/>
                <w:sz w:val="20"/>
              </w:rPr>
            </w:pPr>
            <w:r>
              <w:rPr>
                <w:rFonts w:ascii="Tahoma" w:hAnsi="Tahoma" w:cs="Tahoma"/>
                <w:b/>
                <w:sz w:val="20"/>
              </w:rPr>
              <w:t xml:space="preserve">Number of </w:t>
            </w:r>
            <w:r w:rsidR="00CA3DAF" w:rsidRPr="009544DF">
              <w:rPr>
                <w:rFonts w:ascii="Tahoma" w:hAnsi="Tahoma" w:cs="Tahoma"/>
                <w:b/>
                <w:sz w:val="20"/>
              </w:rPr>
              <w:t>Head contractor employees</w:t>
            </w:r>
            <w:r>
              <w:rPr>
                <w:rFonts w:ascii="Tahoma" w:hAnsi="Tahoma" w:cs="Tahoma"/>
                <w:b/>
                <w:sz w:val="20"/>
              </w:rPr>
              <w:t xml:space="preserve"> on Scheme Projects</w:t>
            </w:r>
          </w:p>
        </w:tc>
        <w:tc>
          <w:tcPr>
            <w:tcW w:w="1418" w:type="dxa"/>
            <w:vAlign w:val="bottom"/>
          </w:tcPr>
          <w:p w:rsidR="00CA3DAF" w:rsidRPr="009544DF" w:rsidRDefault="006F24F7" w:rsidP="0054340B">
            <w:pPr>
              <w:spacing w:before="20" w:after="20"/>
              <w:jc w:val="center"/>
              <w:rPr>
                <w:rFonts w:ascii="Tahoma" w:hAnsi="Tahoma" w:cs="Tahoma"/>
                <w:b/>
                <w:sz w:val="20"/>
              </w:rPr>
            </w:pPr>
            <w:r>
              <w:rPr>
                <w:rFonts w:ascii="Tahoma" w:hAnsi="Tahoma" w:cs="Tahoma"/>
                <w:b/>
                <w:sz w:val="20"/>
              </w:rPr>
              <w:t>Number of Sub-contractor</w:t>
            </w:r>
            <w:r w:rsidR="00CA3DAF" w:rsidRPr="009544DF">
              <w:rPr>
                <w:rFonts w:ascii="Tahoma" w:hAnsi="Tahoma" w:cs="Tahoma"/>
                <w:b/>
                <w:sz w:val="20"/>
              </w:rPr>
              <w:t>s</w:t>
            </w:r>
            <w:r>
              <w:rPr>
                <w:rFonts w:ascii="Tahoma" w:hAnsi="Tahoma" w:cs="Tahoma"/>
                <w:b/>
                <w:sz w:val="20"/>
              </w:rPr>
              <w:t xml:space="preserve"> on Scheme Projects</w:t>
            </w:r>
          </w:p>
        </w:tc>
        <w:tc>
          <w:tcPr>
            <w:tcW w:w="1417" w:type="dxa"/>
            <w:vAlign w:val="bottom"/>
          </w:tcPr>
          <w:p w:rsidR="00CA3DAF" w:rsidRPr="009544DF" w:rsidRDefault="006F24F7" w:rsidP="0054340B">
            <w:pPr>
              <w:spacing w:before="20" w:after="20"/>
              <w:jc w:val="center"/>
              <w:rPr>
                <w:rFonts w:ascii="Tahoma" w:hAnsi="Tahoma" w:cs="Tahoma"/>
                <w:b/>
                <w:sz w:val="20"/>
              </w:rPr>
            </w:pPr>
            <w:r>
              <w:rPr>
                <w:rFonts w:ascii="Tahoma" w:hAnsi="Tahoma" w:cs="Tahoma"/>
                <w:b/>
                <w:sz w:val="20"/>
              </w:rPr>
              <w:t xml:space="preserve">Number of </w:t>
            </w:r>
            <w:r w:rsidR="00CA3DAF" w:rsidRPr="009544DF">
              <w:rPr>
                <w:rFonts w:ascii="Tahoma" w:hAnsi="Tahoma" w:cs="Tahoma"/>
                <w:b/>
                <w:sz w:val="20"/>
              </w:rPr>
              <w:t>Head contractor employees</w:t>
            </w:r>
          </w:p>
          <w:p w:rsidR="00CA3DAF" w:rsidRPr="009544DF" w:rsidRDefault="006F24F7" w:rsidP="0054340B">
            <w:pPr>
              <w:spacing w:before="20" w:after="20"/>
              <w:jc w:val="center"/>
              <w:rPr>
                <w:rFonts w:ascii="Tahoma" w:hAnsi="Tahoma" w:cs="Tahoma"/>
                <w:b/>
                <w:sz w:val="20"/>
              </w:rPr>
            </w:pPr>
            <w:r>
              <w:rPr>
                <w:rFonts w:ascii="Tahoma" w:hAnsi="Tahoma" w:cs="Tahoma"/>
                <w:b/>
                <w:sz w:val="20"/>
              </w:rPr>
              <w:t>On Non-Scheme projects</w:t>
            </w:r>
          </w:p>
        </w:tc>
        <w:tc>
          <w:tcPr>
            <w:tcW w:w="1418" w:type="dxa"/>
            <w:vAlign w:val="bottom"/>
          </w:tcPr>
          <w:p w:rsidR="00CA3DAF" w:rsidRPr="009544DF" w:rsidRDefault="006F24F7" w:rsidP="0054340B">
            <w:pPr>
              <w:spacing w:before="20" w:after="20"/>
              <w:jc w:val="center"/>
              <w:rPr>
                <w:rFonts w:ascii="Tahoma" w:hAnsi="Tahoma" w:cs="Tahoma"/>
                <w:b/>
                <w:sz w:val="20"/>
              </w:rPr>
            </w:pPr>
            <w:r>
              <w:rPr>
                <w:rFonts w:ascii="Tahoma" w:hAnsi="Tahoma" w:cs="Tahoma"/>
                <w:b/>
                <w:sz w:val="20"/>
              </w:rPr>
              <w:t xml:space="preserve">Number of </w:t>
            </w:r>
            <w:r w:rsidR="00CA3DAF" w:rsidRPr="009544DF">
              <w:rPr>
                <w:rFonts w:ascii="Tahoma" w:hAnsi="Tahoma" w:cs="Tahoma"/>
                <w:b/>
                <w:sz w:val="20"/>
              </w:rPr>
              <w:t>Sub-contractors</w:t>
            </w:r>
            <w:r>
              <w:rPr>
                <w:rFonts w:ascii="Tahoma" w:hAnsi="Tahoma" w:cs="Tahoma"/>
                <w:b/>
                <w:sz w:val="20"/>
              </w:rPr>
              <w:t xml:space="preserve"> on Non-Scheme projects</w:t>
            </w:r>
          </w:p>
        </w:tc>
        <w:tc>
          <w:tcPr>
            <w:tcW w:w="1417" w:type="dxa"/>
            <w:vAlign w:val="bottom"/>
          </w:tcPr>
          <w:p w:rsidR="00940C4F" w:rsidRPr="0054340B" w:rsidRDefault="006F24F7" w:rsidP="006F24F7">
            <w:pPr>
              <w:jc w:val="center"/>
              <w:rPr>
                <w:rFonts w:ascii="Tahoma" w:hAnsi="Tahoma" w:cs="Tahoma"/>
                <w:sz w:val="20"/>
              </w:rPr>
            </w:pPr>
            <w:r>
              <w:rPr>
                <w:rFonts w:ascii="Tahoma" w:hAnsi="Tahoma" w:cs="Tahoma"/>
                <w:b/>
                <w:sz w:val="20"/>
              </w:rPr>
              <w:t xml:space="preserve">Number of workers on </w:t>
            </w:r>
            <w:r w:rsidR="00940C4F" w:rsidRPr="00940C4F">
              <w:rPr>
                <w:rFonts w:ascii="Tahoma" w:hAnsi="Tahoma" w:cs="Tahoma"/>
                <w:b/>
                <w:sz w:val="20"/>
              </w:rPr>
              <w:t xml:space="preserve">All </w:t>
            </w:r>
            <w:r>
              <w:rPr>
                <w:rFonts w:ascii="Tahoma" w:hAnsi="Tahoma" w:cs="Tahoma"/>
                <w:b/>
                <w:sz w:val="20"/>
              </w:rPr>
              <w:t>projects</w:t>
            </w:r>
          </w:p>
        </w:tc>
      </w:tr>
      <w:tr w:rsidR="00CA3DAF" w:rsidTr="00BE26A7">
        <w:trPr>
          <w:trHeight w:val="113"/>
        </w:trPr>
        <w:tc>
          <w:tcPr>
            <w:tcW w:w="1668" w:type="dxa"/>
            <w:vAlign w:val="center"/>
          </w:tcPr>
          <w:p w:rsidR="00CA3DAF" w:rsidRPr="00571187" w:rsidRDefault="00CA3DAF" w:rsidP="0054340B">
            <w:pPr>
              <w:spacing w:before="20" w:after="20"/>
              <w:rPr>
                <w:rFonts w:ascii="Tahoma" w:hAnsi="Tahoma" w:cs="Tahoma"/>
                <w:sz w:val="20"/>
              </w:rPr>
            </w:pPr>
            <w:r w:rsidRPr="00571187">
              <w:rPr>
                <w:rFonts w:ascii="Tahoma" w:hAnsi="Tahoma" w:cs="Tahoma"/>
                <w:sz w:val="20"/>
              </w:rPr>
              <w:t>Jul to Dec 2007</w:t>
            </w:r>
          </w:p>
        </w:tc>
        <w:tc>
          <w:tcPr>
            <w:tcW w:w="1417" w:type="dxa"/>
            <w:vAlign w:val="center"/>
          </w:tcPr>
          <w:p w:rsidR="00CA3DAF" w:rsidRPr="00571187" w:rsidRDefault="00CA3DAF" w:rsidP="0054340B">
            <w:pPr>
              <w:spacing w:before="20" w:after="20"/>
              <w:jc w:val="center"/>
              <w:rPr>
                <w:rFonts w:ascii="Tahoma" w:hAnsi="Tahoma" w:cs="Tahoma"/>
                <w:sz w:val="20"/>
              </w:rPr>
            </w:pPr>
            <w:r w:rsidRPr="00571187">
              <w:rPr>
                <w:rFonts w:ascii="Tahoma" w:hAnsi="Tahoma" w:cs="Tahoma"/>
                <w:sz w:val="20"/>
              </w:rPr>
              <w:t>1,562</w:t>
            </w:r>
          </w:p>
        </w:tc>
        <w:tc>
          <w:tcPr>
            <w:tcW w:w="1418" w:type="dxa"/>
            <w:vAlign w:val="center"/>
          </w:tcPr>
          <w:p w:rsidR="00CA3DAF" w:rsidRPr="00571187" w:rsidRDefault="00CA3DAF" w:rsidP="0054340B">
            <w:pPr>
              <w:spacing w:before="20" w:after="20"/>
              <w:jc w:val="center"/>
              <w:rPr>
                <w:rFonts w:ascii="Tahoma" w:hAnsi="Tahoma" w:cs="Tahoma"/>
                <w:sz w:val="20"/>
              </w:rPr>
            </w:pPr>
            <w:r w:rsidRPr="00571187">
              <w:rPr>
                <w:rFonts w:ascii="Tahoma" w:hAnsi="Tahoma" w:cs="Tahoma"/>
                <w:sz w:val="20"/>
              </w:rPr>
              <w:t>20,492</w:t>
            </w:r>
          </w:p>
        </w:tc>
        <w:tc>
          <w:tcPr>
            <w:tcW w:w="1417" w:type="dxa"/>
            <w:vAlign w:val="center"/>
          </w:tcPr>
          <w:p w:rsidR="00CA3DAF" w:rsidRPr="00571187" w:rsidRDefault="00CA3DAF" w:rsidP="0054340B">
            <w:pPr>
              <w:spacing w:before="20" w:after="20"/>
              <w:jc w:val="center"/>
              <w:rPr>
                <w:rFonts w:ascii="Tahoma" w:hAnsi="Tahoma" w:cs="Tahoma"/>
                <w:sz w:val="20"/>
              </w:rPr>
            </w:pPr>
            <w:r w:rsidRPr="00571187">
              <w:rPr>
                <w:rFonts w:ascii="Tahoma" w:hAnsi="Tahoma" w:cs="Tahoma"/>
                <w:sz w:val="20"/>
              </w:rPr>
              <w:t>37,736</w:t>
            </w:r>
          </w:p>
        </w:tc>
        <w:tc>
          <w:tcPr>
            <w:tcW w:w="1418" w:type="dxa"/>
            <w:vAlign w:val="center"/>
          </w:tcPr>
          <w:p w:rsidR="00CA3DAF" w:rsidRPr="00571187" w:rsidRDefault="00CA3DAF" w:rsidP="0054340B">
            <w:pPr>
              <w:spacing w:before="20" w:after="20"/>
              <w:jc w:val="center"/>
              <w:rPr>
                <w:rFonts w:ascii="Tahoma" w:hAnsi="Tahoma" w:cs="Tahoma"/>
                <w:sz w:val="20"/>
              </w:rPr>
            </w:pPr>
            <w:r w:rsidRPr="00571187">
              <w:rPr>
                <w:rFonts w:ascii="Tahoma" w:hAnsi="Tahoma" w:cs="Tahoma"/>
                <w:sz w:val="20"/>
              </w:rPr>
              <w:t>200,587</w:t>
            </w:r>
          </w:p>
        </w:tc>
        <w:tc>
          <w:tcPr>
            <w:tcW w:w="1417" w:type="dxa"/>
            <w:vAlign w:val="center"/>
          </w:tcPr>
          <w:p w:rsidR="00CA3DAF" w:rsidRPr="0054340B" w:rsidRDefault="00940C4F" w:rsidP="0054340B">
            <w:pPr>
              <w:jc w:val="center"/>
              <w:rPr>
                <w:rFonts w:ascii="Tahoma" w:hAnsi="Tahoma" w:cs="Tahoma"/>
                <w:sz w:val="20"/>
              </w:rPr>
            </w:pPr>
            <w:r>
              <w:rPr>
                <w:rFonts w:ascii="Tahoma" w:hAnsi="Tahoma" w:cs="Tahoma"/>
                <w:sz w:val="20"/>
              </w:rPr>
              <w:t>260,377</w:t>
            </w:r>
          </w:p>
        </w:tc>
      </w:tr>
      <w:tr w:rsidR="00CA3DAF" w:rsidTr="00BE26A7">
        <w:trPr>
          <w:trHeight w:val="113"/>
        </w:trPr>
        <w:tc>
          <w:tcPr>
            <w:tcW w:w="1668" w:type="dxa"/>
            <w:vAlign w:val="center"/>
          </w:tcPr>
          <w:p w:rsidR="00CA3DAF" w:rsidRPr="00571187" w:rsidRDefault="00CA3DAF" w:rsidP="0054340B">
            <w:pPr>
              <w:spacing w:before="20" w:after="20"/>
              <w:rPr>
                <w:rFonts w:ascii="Tahoma" w:hAnsi="Tahoma" w:cs="Tahoma"/>
                <w:sz w:val="20"/>
              </w:rPr>
            </w:pPr>
            <w:r w:rsidRPr="00571187">
              <w:rPr>
                <w:rFonts w:ascii="Tahoma" w:hAnsi="Tahoma" w:cs="Tahoma"/>
                <w:sz w:val="20"/>
              </w:rPr>
              <w:t>Jan to Jun 2008</w:t>
            </w:r>
          </w:p>
        </w:tc>
        <w:tc>
          <w:tcPr>
            <w:tcW w:w="1417" w:type="dxa"/>
            <w:vAlign w:val="center"/>
          </w:tcPr>
          <w:p w:rsidR="00CA3DAF" w:rsidRPr="00571187" w:rsidRDefault="00CA3DAF" w:rsidP="0054340B">
            <w:pPr>
              <w:spacing w:before="20" w:after="20"/>
              <w:jc w:val="center"/>
              <w:rPr>
                <w:rFonts w:ascii="Tahoma" w:hAnsi="Tahoma" w:cs="Tahoma"/>
                <w:sz w:val="20"/>
              </w:rPr>
            </w:pPr>
            <w:r w:rsidRPr="00571187">
              <w:rPr>
                <w:rFonts w:ascii="Tahoma" w:hAnsi="Tahoma" w:cs="Tahoma"/>
                <w:sz w:val="20"/>
              </w:rPr>
              <w:t>769</w:t>
            </w:r>
          </w:p>
        </w:tc>
        <w:tc>
          <w:tcPr>
            <w:tcW w:w="1418" w:type="dxa"/>
            <w:vAlign w:val="center"/>
          </w:tcPr>
          <w:p w:rsidR="00CA3DAF" w:rsidRPr="00571187" w:rsidRDefault="00CA3DAF" w:rsidP="0054340B">
            <w:pPr>
              <w:spacing w:before="20" w:after="20"/>
              <w:jc w:val="center"/>
              <w:rPr>
                <w:rFonts w:ascii="Tahoma" w:hAnsi="Tahoma" w:cs="Tahoma"/>
                <w:sz w:val="20"/>
              </w:rPr>
            </w:pPr>
            <w:r w:rsidRPr="00571187">
              <w:rPr>
                <w:rFonts w:ascii="Tahoma" w:hAnsi="Tahoma" w:cs="Tahoma"/>
                <w:sz w:val="20"/>
              </w:rPr>
              <w:t>13,652</w:t>
            </w:r>
          </w:p>
        </w:tc>
        <w:tc>
          <w:tcPr>
            <w:tcW w:w="1417" w:type="dxa"/>
            <w:vAlign w:val="center"/>
          </w:tcPr>
          <w:p w:rsidR="00CA3DAF" w:rsidRPr="00571187" w:rsidRDefault="00CA3DAF" w:rsidP="0054340B">
            <w:pPr>
              <w:spacing w:before="20" w:after="20"/>
              <w:jc w:val="center"/>
              <w:rPr>
                <w:rFonts w:ascii="Tahoma" w:hAnsi="Tahoma" w:cs="Tahoma"/>
                <w:sz w:val="20"/>
              </w:rPr>
            </w:pPr>
            <w:r w:rsidRPr="00571187">
              <w:rPr>
                <w:rFonts w:ascii="Tahoma" w:hAnsi="Tahoma" w:cs="Tahoma"/>
                <w:sz w:val="20"/>
              </w:rPr>
              <w:t>54,921</w:t>
            </w:r>
          </w:p>
        </w:tc>
        <w:tc>
          <w:tcPr>
            <w:tcW w:w="1418" w:type="dxa"/>
            <w:vAlign w:val="center"/>
          </w:tcPr>
          <w:p w:rsidR="00CA3DAF" w:rsidRPr="00571187" w:rsidRDefault="00CA3DAF" w:rsidP="0054340B">
            <w:pPr>
              <w:spacing w:before="20" w:after="20"/>
              <w:jc w:val="center"/>
              <w:rPr>
                <w:rFonts w:ascii="Tahoma" w:hAnsi="Tahoma" w:cs="Tahoma"/>
                <w:sz w:val="20"/>
              </w:rPr>
            </w:pPr>
            <w:r w:rsidRPr="00571187">
              <w:rPr>
                <w:rFonts w:ascii="Tahoma" w:hAnsi="Tahoma" w:cs="Tahoma"/>
                <w:sz w:val="20"/>
              </w:rPr>
              <w:t>228,764</w:t>
            </w:r>
          </w:p>
        </w:tc>
        <w:tc>
          <w:tcPr>
            <w:tcW w:w="1417" w:type="dxa"/>
            <w:vAlign w:val="center"/>
          </w:tcPr>
          <w:p w:rsidR="00CA3DAF" w:rsidRPr="0054340B" w:rsidRDefault="00940C4F" w:rsidP="0054340B">
            <w:pPr>
              <w:jc w:val="center"/>
              <w:rPr>
                <w:rFonts w:ascii="Tahoma" w:hAnsi="Tahoma" w:cs="Tahoma"/>
                <w:sz w:val="20"/>
              </w:rPr>
            </w:pPr>
            <w:r>
              <w:rPr>
                <w:rFonts w:ascii="Tahoma" w:hAnsi="Tahoma" w:cs="Tahoma"/>
                <w:sz w:val="20"/>
              </w:rPr>
              <w:t>298,106</w:t>
            </w:r>
          </w:p>
        </w:tc>
      </w:tr>
      <w:tr w:rsidR="00CA3DAF" w:rsidTr="00BE26A7">
        <w:trPr>
          <w:trHeight w:val="113"/>
        </w:trPr>
        <w:tc>
          <w:tcPr>
            <w:tcW w:w="1668" w:type="dxa"/>
            <w:vAlign w:val="center"/>
          </w:tcPr>
          <w:p w:rsidR="00CA3DAF" w:rsidRPr="00571187" w:rsidRDefault="00CA3DAF" w:rsidP="0054340B">
            <w:pPr>
              <w:spacing w:before="20" w:after="20"/>
              <w:rPr>
                <w:rFonts w:ascii="Tahoma" w:hAnsi="Tahoma" w:cs="Tahoma"/>
                <w:sz w:val="20"/>
              </w:rPr>
            </w:pPr>
            <w:r w:rsidRPr="00571187">
              <w:rPr>
                <w:rFonts w:ascii="Tahoma" w:hAnsi="Tahoma" w:cs="Tahoma"/>
                <w:sz w:val="20"/>
              </w:rPr>
              <w:t>Jul to Dec 2008</w:t>
            </w:r>
          </w:p>
        </w:tc>
        <w:tc>
          <w:tcPr>
            <w:tcW w:w="1417" w:type="dxa"/>
            <w:vAlign w:val="center"/>
          </w:tcPr>
          <w:p w:rsidR="00CA3DAF" w:rsidRPr="00571187" w:rsidRDefault="00CA3DAF" w:rsidP="0054340B">
            <w:pPr>
              <w:spacing w:before="20" w:after="20"/>
              <w:jc w:val="center"/>
              <w:rPr>
                <w:rFonts w:ascii="Tahoma" w:hAnsi="Tahoma" w:cs="Tahoma"/>
                <w:sz w:val="20"/>
              </w:rPr>
            </w:pPr>
            <w:r w:rsidRPr="00571187">
              <w:rPr>
                <w:rFonts w:ascii="Tahoma" w:hAnsi="Tahoma" w:cs="Tahoma"/>
                <w:sz w:val="20"/>
              </w:rPr>
              <w:t>6,053</w:t>
            </w:r>
          </w:p>
        </w:tc>
        <w:tc>
          <w:tcPr>
            <w:tcW w:w="1418" w:type="dxa"/>
            <w:vAlign w:val="center"/>
          </w:tcPr>
          <w:p w:rsidR="00CA3DAF" w:rsidRPr="00571187" w:rsidRDefault="00CA3DAF" w:rsidP="0054340B">
            <w:pPr>
              <w:spacing w:before="20" w:after="20"/>
              <w:jc w:val="center"/>
              <w:rPr>
                <w:rFonts w:ascii="Tahoma" w:hAnsi="Tahoma" w:cs="Tahoma"/>
                <w:sz w:val="20"/>
              </w:rPr>
            </w:pPr>
            <w:r w:rsidRPr="00571187">
              <w:rPr>
                <w:rFonts w:ascii="Tahoma" w:hAnsi="Tahoma" w:cs="Tahoma"/>
                <w:sz w:val="20"/>
              </w:rPr>
              <w:t>20,338</w:t>
            </w:r>
          </w:p>
        </w:tc>
        <w:tc>
          <w:tcPr>
            <w:tcW w:w="1417" w:type="dxa"/>
            <w:vAlign w:val="center"/>
          </w:tcPr>
          <w:p w:rsidR="00CA3DAF" w:rsidRPr="00571187" w:rsidRDefault="00CA3DAF" w:rsidP="0054340B">
            <w:pPr>
              <w:spacing w:before="20" w:after="20"/>
              <w:jc w:val="center"/>
              <w:rPr>
                <w:rFonts w:ascii="Tahoma" w:hAnsi="Tahoma" w:cs="Tahoma"/>
                <w:sz w:val="20"/>
              </w:rPr>
            </w:pPr>
            <w:r w:rsidRPr="00571187">
              <w:rPr>
                <w:rFonts w:ascii="Tahoma" w:hAnsi="Tahoma" w:cs="Tahoma"/>
                <w:sz w:val="20"/>
              </w:rPr>
              <w:t>77,194</w:t>
            </w:r>
          </w:p>
        </w:tc>
        <w:tc>
          <w:tcPr>
            <w:tcW w:w="1418" w:type="dxa"/>
            <w:vAlign w:val="center"/>
          </w:tcPr>
          <w:p w:rsidR="00CA3DAF" w:rsidRPr="00571187" w:rsidRDefault="00CA3DAF" w:rsidP="0054340B">
            <w:pPr>
              <w:spacing w:before="20" w:after="20"/>
              <w:jc w:val="center"/>
              <w:rPr>
                <w:rFonts w:ascii="Tahoma" w:hAnsi="Tahoma" w:cs="Tahoma"/>
                <w:sz w:val="20"/>
              </w:rPr>
            </w:pPr>
            <w:r w:rsidRPr="00571187">
              <w:rPr>
                <w:rFonts w:ascii="Tahoma" w:hAnsi="Tahoma" w:cs="Tahoma"/>
                <w:sz w:val="20"/>
              </w:rPr>
              <w:t>230,752</w:t>
            </w:r>
          </w:p>
        </w:tc>
        <w:tc>
          <w:tcPr>
            <w:tcW w:w="1417" w:type="dxa"/>
            <w:vAlign w:val="center"/>
          </w:tcPr>
          <w:p w:rsidR="00CA3DAF" w:rsidRPr="0054340B" w:rsidRDefault="00940C4F" w:rsidP="0054340B">
            <w:pPr>
              <w:jc w:val="center"/>
              <w:rPr>
                <w:rFonts w:ascii="Tahoma" w:hAnsi="Tahoma" w:cs="Tahoma"/>
                <w:sz w:val="20"/>
              </w:rPr>
            </w:pPr>
            <w:r>
              <w:rPr>
                <w:rFonts w:ascii="Tahoma" w:hAnsi="Tahoma" w:cs="Tahoma"/>
                <w:sz w:val="20"/>
              </w:rPr>
              <w:t>334,337</w:t>
            </w:r>
          </w:p>
        </w:tc>
      </w:tr>
      <w:tr w:rsidR="00CA3DAF" w:rsidTr="00BE26A7">
        <w:trPr>
          <w:trHeight w:val="113"/>
        </w:trPr>
        <w:tc>
          <w:tcPr>
            <w:tcW w:w="1668" w:type="dxa"/>
            <w:vAlign w:val="center"/>
          </w:tcPr>
          <w:p w:rsidR="00CA3DAF" w:rsidRPr="00571187" w:rsidRDefault="00CA3DAF" w:rsidP="0054340B">
            <w:pPr>
              <w:spacing w:before="20" w:after="20"/>
              <w:rPr>
                <w:rFonts w:ascii="Tahoma" w:hAnsi="Tahoma" w:cs="Tahoma"/>
                <w:sz w:val="20"/>
              </w:rPr>
            </w:pPr>
            <w:r w:rsidRPr="00BA1AF9">
              <w:rPr>
                <w:rFonts w:ascii="Tahoma" w:hAnsi="Tahoma" w:cs="Tahoma"/>
                <w:sz w:val="20"/>
              </w:rPr>
              <w:t>Jan to Jun 2009</w:t>
            </w:r>
          </w:p>
        </w:tc>
        <w:tc>
          <w:tcPr>
            <w:tcW w:w="1417" w:type="dxa"/>
            <w:vAlign w:val="center"/>
          </w:tcPr>
          <w:p w:rsidR="00CA3DAF" w:rsidRPr="00571187" w:rsidRDefault="00CA3DAF" w:rsidP="0054340B">
            <w:pPr>
              <w:spacing w:before="20" w:after="20"/>
              <w:jc w:val="center"/>
              <w:rPr>
                <w:rFonts w:ascii="Tahoma" w:hAnsi="Tahoma" w:cs="Tahoma"/>
                <w:sz w:val="20"/>
              </w:rPr>
            </w:pPr>
            <w:r>
              <w:rPr>
                <w:rFonts w:ascii="Tahoma" w:hAnsi="Tahoma" w:cs="Tahoma"/>
                <w:sz w:val="20"/>
              </w:rPr>
              <w:t>7,286</w:t>
            </w:r>
          </w:p>
        </w:tc>
        <w:tc>
          <w:tcPr>
            <w:tcW w:w="1418" w:type="dxa"/>
            <w:vAlign w:val="center"/>
          </w:tcPr>
          <w:p w:rsidR="00CA3DAF" w:rsidRPr="00571187" w:rsidRDefault="00CA3DAF" w:rsidP="0054340B">
            <w:pPr>
              <w:spacing w:before="20" w:after="20"/>
              <w:jc w:val="center"/>
              <w:rPr>
                <w:rFonts w:ascii="Tahoma" w:hAnsi="Tahoma" w:cs="Tahoma"/>
                <w:sz w:val="20"/>
              </w:rPr>
            </w:pPr>
            <w:r>
              <w:rPr>
                <w:rFonts w:ascii="Tahoma" w:hAnsi="Tahoma" w:cs="Tahoma"/>
                <w:sz w:val="20"/>
              </w:rPr>
              <w:t>24,406</w:t>
            </w:r>
          </w:p>
        </w:tc>
        <w:tc>
          <w:tcPr>
            <w:tcW w:w="1417" w:type="dxa"/>
            <w:vAlign w:val="center"/>
          </w:tcPr>
          <w:p w:rsidR="00CA3DAF" w:rsidRPr="00571187" w:rsidRDefault="00CA3DAF" w:rsidP="0054340B">
            <w:pPr>
              <w:spacing w:before="20" w:after="20"/>
              <w:jc w:val="center"/>
              <w:rPr>
                <w:rFonts w:ascii="Tahoma" w:hAnsi="Tahoma" w:cs="Tahoma"/>
                <w:sz w:val="20"/>
              </w:rPr>
            </w:pPr>
            <w:r>
              <w:rPr>
                <w:rFonts w:ascii="Tahoma" w:hAnsi="Tahoma" w:cs="Tahoma"/>
                <w:sz w:val="20"/>
              </w:rPr>
              <w:t>65,649</w:t>
            </w:r>
          </w:p>
        </w:tc>
        <w:tc>
          <w:tcPr>
            <w:tcW w:w="1418" w:type="dxa"/>
            <w:vAlign w:val="center"/>
          </w:tcPr>
          <w:p w:rsidR="00CA3DAF" w:rsidRDefault="00CA3DAF" w:rsidP="0054340B">
            <w:pPr>
              <w:spacing w:before="20" w:after="20"/>
              <w:jc w:val="center"/>
              <w:rPr>
                <w:rFonts w:ascii="Tahoma" w:hAnsi="Tahoma" w:cs="Tahoma"/>
                <w:sz w:val="20"/>
              </w:rPr>
            </w:pPr>
            <w:r>
              <w:rPr>
                <w:rFonts w:ascii="Tahoma" w:hAnsi="Tahoma" w:cs="Tahoma"/>
                <w:sz w:val="20"/>
              </w:rPr>
              <w:t>274,225</w:t>
            </w:r>
          </w:p>
        </w:tc>
        <w:tc>
          <w:tcPr>
            <w:tcW w:w="1417" w:type="dxa"/>
            <w:vAlign w:val="center"/>
          </w:tcPr>
          <w:p w:rsidR="00CA3DAF" w:rsidRPr="0054340B" w:rsidRDefault="00940C4F" w:rsidP="0054340B">
            <w:pPr>
              <w:jc w:val="center"/>
              <w:rPr>
                <w:rFonts w:ascii="Tahoma" w:hAnsi="Tahoma" w:cs="Tahoma"/>
                <w:sz w:val="20"/>
              </w:rPr>
            </w:pPr>
            <w:r>
              <w:rPr>
                <w:rFonts w:ascii="Tahoma" w:hAnsi="Tahoma" w:cs="Tahoma"/>
                <w:sz w:val="20"/>
              </w:rPr>
              <w:t>371,566</w:t>
            </w:r>
          </w:p>
        </w:tc>
      </w:tr>
    </w:tbl>
    <w:p w:rsidR="0054340B" w:rsidRDefault="0054340B" w:rsidP="0054340B">
      <w:pPr>
        <w:rPr>
          <w:rFonts w:ascii="Tahoma" w:hAnsi="Tahoma" w:cs="Tahoma"/>
          <w:sz w:val="22"/>
          <w:szCs w:val="22"/>
        </w:rPr>
      </w:pPr>
    </w:p>
    <w:p w:rsidR="000E5671" w:rsidRPr="00571187" w:rsidRDefault="00456BB0" w:rsidP="00BB1FFE">
      <w:pPr>
        <w:numPr>
          <w:ilvl w:val="0"/>
          <w:numId w:val="13"/>
        </w:numPr>
        <w:tabs>
          <w:tab w:val="clear" w:pos="568"/>
          <w:tab w:val="num" w:pos="709"/>
        </w:tabs>
        <w:spacing w:before="100" w:beforeAutospacing="1" w:after="120"/>
        <w:ind w:left="709"/>
        <w:rPr>
          <w:rFonts w:ascii="Tahoma" w:hAnsi="Tahoma" w:cs="Tahoma"/>
          <w:sz w:val="22"/>
          <w:szCs w:val="22"/>
        </w:rPr>
      </w:pPr>
      <w:r w:rsidRPr="00571187">
        <w:rPr>
          <w:rFonts w:ascii="Tahoma" w:hAnsi="Tahoma" w:cs="Tahoma"/>
          <w:sz w:val="22"/>
          <w:szCs w:val="22"/>
        </w:rPr>
        <w:t xml:space="preserve">The total number of </w:t>
      </w:r>
      <w:r w:rsidR="00600C2E">
        <w:rPr>
          <w:rFonts w:ascii="Tahoma" w:hAnsi="Tahoma" w:cs="Tahoma"/>
          <w:sz w:val="22"/>
          <w:szCs w:val="22"/>
        </w:rPr>
        <w:t xml:space="preserve">workers employed or contracted for </w:t>
      </w:r>
      <w:r w:rsidRPr="00571187">
        <w:rPr>
          <w:rFonts w:ascii="Tahoma" w:hAnsi="Tahoma" w:cs="Tahoma"/>
          <w:sz w:val="22"/>
          <w:szCs w:val="22"/>
        </w:rPr>
        <w:t>Scheme project</w:t>
      </w:r>
      <w:r w:rsidR="00600C2E">
        <w:rPr>
          <w:rFonts w:ascii="Tahoma" w:hAnsi="Tahoma" w:cs="Tahoma"/>
          <w:sz w:val="22"/>
          <w:szCs w:val="22"/>
        </w:rPr>
        <w:t>s</w:t>
      </w:r>
      <w:r w:rsidRPr="00571187">
        <w:rPr>
          <w:rFonts w:ascii="Tahoma" w:hAnsi="Tahoma" w:cs="Tahoma"/>
          <w:sz w:val="22"/>
          <w:szCs w:val="22"/>
        </w:rPr>
        <w:t xml:space="preserve"> increased nearly </w:t>
      </w:r>
      <w:r w:rsidR="00D973EF">
        <w:rPr>
          <w:rFonts w:ascii="Tahoma" w:hAnsi="Tahoma" w:cs="Tahoma"/>
          <w:sz w:val="22"/>
          <w:szCs w:val="22"/>
        </w:rPr>
        <w:t>120</w:t>
      </w:r>
      <w:r w:rsidRPr="00571187">
        <w:rPr>
          <w:rFonts w:ascii="Tahoma" w:hAnsi="Tahoma" w:cs="Tahoma"/>
          <w:sz w:val="22"/>
          <w:szCs w:val="22"/>
        </w:rPr>
        <w:t xml:space="preserve"> per cent between the </w:t>
      </w:r>
      <w:r w:rsidR="00D973EF">
        <w:rPr>
          <w:rFonts w:ascii="Tahoma" w:hAnsi="Tahoma" w:cs="Tahoma"/>
          <w:sz w:val="22"/>
          <w:szCs w:val="22"/>
        </w:rPr>
        <w:t>June</w:t>
      </w:r>
      <w:r w:rsidR="00B329A3">
        <w:rPr>
          <w:rFonts w:ascii="Tahoma" w:hAnsi="Tahoma" w:cs="Tahoma"/>
          <w:sz w:val="22"/>
          <w:szCs w:val="22"/>
        </w:rPr>
        <w:t> </w:t>
      </w:r>
      <w:r w:rsidRPr="00571187">
        <w:rPr>
          <w:rFonts w:ascii="Tahoma" w:hAnsi="Tahoma" w:cs="Tahoma"/>
          <w:sz w:val="22"/>
          <w:szCs w:val="22"/>
        </w:rPr>
        <w:t>200</w:t>
      </w:r>
      <w:r w:rsidR="00D973EF">
        <w:rPr>
          <w:rFonts w:ascii="Tahoma" w:hAnsi="Tahoma" w:cs="Tahoma"/>
          <w:sz w:val="22"/>
          <w:szCs w:val="22"/>
        </w:rPr>
        <w:t>8</w:t>
      </w:r>
      <w:r w:rsidRPr="00571187">
        <w:rPr>
          <w:rFonts w:ascii="Tahoma" w:hAnsi="Tahoma" w:cs="Tahoma"/>
          <w:sz w:val="22"/>
          <w:szCs w:val="22"/>
        </w:rPr>
        <w:t xml:space="preserve"> and </w:t>
      </w:r>
      <w:r w:rsidR="00651BDF">
        <w:rPr>
          <w:rFonts w:ascii="Tahoma" w:hAnsi="Tahoma" w:cs="Tahoma"/>
          <w:sz w:val="22"/>
          <w:szCs w:val="22"/>
        </w:rPr>
        <w:t>June</w:t>
      </w:r>
      <w:r w:rsidR="00B329A3">
        <w:rPr>
          <w:rFonts w:ascii="Tahoma" w:hAnsi="Tahoma" w:cs="Tahoma"/>
          <w:sz w:val="22"/>
          <w:szCs w:val="22"/>
        </w:rPr>
        <w:t> </w:t>
      </w:r>
      <w:r w:rsidRPr="00571187">
        <w:rPr>
          <w:rFonts w:ascii="Tahoma" w:hAnsi="Tahoma" w:cs="Tahoma"/>
          <w:sz w:val="22"/>
          <w:szCs w:val="22"/>
        </w:rPr>
        <w:t>200</w:t>
      </w:r>
      <w:r w:rsidR="00651BDF">
        <w:rPr>
          <w:rFonts w:ascii="Tahoma" w:hAnsi="Tahoma" w:cs="Tahoma"/>
          <w:sz w:val="22"/>
          <w:szCs w:val="22"/>
        </w:rPr>
        <w:t>9</w:t>
      </w:r>
      <w:r w:rsidRPr="00571187">
        <w:rPr>
          <w:rFonts w:ascii="Tahoma" w:hAnsi="Tahoma" w:cs="Tahoma"/>
          <w:sz w:val="22"/>
          <w:szCs w:val="22"/>
        </w:rPr>
        <w:t xml:space="preserve"> reporting periods (from </w:t>
      </w:r>
      <w:r w:rsidR="00D973EF">
        <w:rPr>
          <w:rFonts w:ascii="Tahoma" w:hAnsi="Tahoma" w:cs="Tahoma"/>
          <w:sz w:val="22"/>
          <w:szCs w:val="22"/>
        </w:rPr>
        <w:t>14,421</w:t>
      </w:r>
      <w:r w:rsidRPr="00571187">
        <w:rPr>
          <w:rFonts w:ascii="Tahoma" w:hAnsi="Tahoma" w:cs="Tahoma"/>
          <w:sz w:val="22"/>
          <w:szCs w:val="22"/>
        </w:rPr>
        <w:t xml:space="preserve"> to </w:t>
      </w:r>
      <w:r w:rsidR="001D581F">
        <w:rPr>
          <w:rFonts w:ascii="Tahoma" w:hAnsi="Tahoma" w:cs="Tahoma"/>
          <w:sz w:val="22"/>
          <w:szCs w:val="22"/>
        </w:rPr>
        <w:t>31,692</w:t>
      </w:r>
      <w:r w:rsidRPr="00571187">
        <w:rPr>
          <w:rFonts w:ascii="Tahoma" w:hAnsi="Tahoma" w:cs="Tahoma"/>
          <w:sz w:val="22"/>
          <w:szCs w:val="22"/>
        </w:rPr>
        <w:t xml:space="preserve"> </w:t>
      </w:r>
      <w:r w:rsidR="008A3812">
        <w:rPr>
          <w:rFonts w:ascii="Tahoma" w:hAnsi="Tahoma" w:cs="Tahoma"/>
          <w:sz w:val="22"/>
          <w:szCs w:val="22"/>
        </w:rPr>
        <w:t>workers</w:t>
      </w:r>
      <w:r w:rsidRPr="00571187">
        <w:rPr>
          <w:rFonts w:ascii="Tahoma" w:hAnsi="Tahoma" w:cs="Tahoma"/>
          <w:sz w:val="22"/>
          <w:szCs w:val="22"/>
        </w:rPr>
        <w:t>).</w:t>
      </w:r>
    </w:p>
    <w:p w:rsidR="00456BB0" w:rsidRDefault="00600C2E" w:rsidP="00BB1FFE">
      <w:pPr>
        <w:numPr>
          <w:ilvl w:val="0"/>
          <w:numId w:val="13"/>
        </w:numPr>
        <w:tabs>
          <w:tab w:val="clear" w:pos="568"/>
          <w:tab w:val="num" w:pos="709"/>
        </w:tabs>
        <w:spacing w:before="100" w:beforeAutospacing="1" w:after="120"/>
        <w:ind w:left="709"/>
        <w:rPr>
          <w:rFonts w:ascii="Tahoma" w:hAnsi="Tahoma" w:cs="Tahoma"/>
          <w:sz w:val="22"/>
          <w:szCs w:val="22"/>
        </w:rPr>
      </w:pPr>
      <w:r w:rsidRPr="00571187">
        <w:rPr>
          <w:rFonts w:ascii="Tahoma" w:hAnsi="Tahoma" w:cs="Tahoma"/>
          <w:sz w:val="22"/>
          <w:szCs w:val="22"/>
        </w:rPr>
        <w:t xml:space="preserve">The total number of </w:t>
      </w:r>
      <w:r>
        <w:rPr>
          <w:rFonts w:ascii="Tahoma" w:hAnsi="Tahoma" w:cs="Tahoma"/>
          <w:sz w:val="22"/>
          <w:szCs w:val="22"/>
        </w:rPr>
        <w:t>workers employed or contracted for n</w:t>
      </w:r>
      <w:r w:rsidR="00EB537B" w:rsidRPr="00571187">
        <w:rPr>
          <w:rFonts w:ascii="Tahoma" w:hAnsi="Tahoma" w:cs="Tahoma"/>
          <w:sz w:val="22"/>
          <w:szCs w:val="22"/>
        </w:rPr>
        <w:t>on-</w:t>
      </w:r>
      <w:r w:rsidR="00663755" w:rsidRPr="00571187">
        <w:rPr>
          <w:rFonts w:ascii="Tahoma" w:hAnsi="Tahoma" w:cs="Tahoma"/>
          <w:sz w:val="22"/>
          <w:szCs w:val="22"/>
        </w:rPr>
        <w:t>Scheme</w:t>
      </w:r>
      <w:r w:rsidR="00C81EF4">
        <w:rPr>
          <w:rFonts w:ascii="Tahoma" w:hAnsi="Tahoma" w:cs="Tahoma"/>
          <w:sz w:val="22"/>
          <w:szCs w:val="22"/>
        </w:rPr>
        <w:t xml:space="preserve"> project</w:t>
      </w:r>
      <w:r>
        <w:rPr>
          <w:rFonts w:ascii="Tahoma" w:hAnsi="Tahoma" w:cs="Tahoma"/>
          <w:sz w:val="22"/>
          <w:szCs w:val="22"/>
        </w:rPr>
        <w:t>s</w:t>
      </w:r>
      <w:r w:rsidR="00663755" w:rsidRPr="00571187">
        <w:rPr>
          <w:rFonts w:ascii="Tahoma" w:hAnsi="Tahoma" w:cs="Tahoma"/>
          <w:sz w:val="22"/>
          <w:szCs w:val="22"/>
        </w:rPr>
        <w:t xml:space="preserve"> increased from </w:t>
      </w:r>
      <w:r w:rsidR="00D973EF">
        <w:rPr>
          <w:rFonts w:ascii="Tahoma" w:hAnsi="Tahoma" w:cs="Tahoma"/>
          <w:sz w:val="22"/>
          <w:szCs w:val="22"/>
        </w:rPr>
        <w:lastRenderedPageBreak/>
        <w:t>283,685</w:t>
      </w:r>
      <w:r w:rsidR="00663755" w:rsidRPr="00571187">
        <w:rPr>
          <w:rFonts w:ascii="Tahoma" w:hAnsi="Tahoma" w:cs="Tahoma"/>
          <w:sz w:val="22"/>
          <w:szCs w:val="22"/>
        </w:rPr>
        <w:t xml:space="preserve"> </w:t>
      </w:r>
      <w:r w:rsidR="00EB537B" w:rsidRPr="00571187">
        <w:rPr>
          <w:rFonts w:ascii="Tahoma" w:hAnsi="Tahoma" w:cs="Tahoma"/>
          <w:sz w:val="22"/>
          <w:szCs w:val="22"/>
        </w:rPr>
        <w:t xml:space="preserve">to </w:t>
      </w:r>
      <w:r w:rsidR="001D581F">
        <w:rPr>
          <w:rFonts w:ascii="Tahoma" w:hAnsi="Tahoma" w:cs="Tahoma"/>
          <w:sz w:val="22"/>
          <w:szCs w:val="22"/>
        </w:rPr>
        <w:t>339,874</w:t>
      </w:r>
      <w:r w:rsidR="00EB537B" w:rsidRPr="00571187">
        <w:rPr>
          <w:rFonts w:ascii="Tahoma" w:hAnsi="Tahoma" w:cs="Tahoma"/>
          <w:sz w:val="22"/>
          <w:szCs w:val="22"/>
        </w:rPr>
        <w:t xml:space="preserve"> over the same period, an increase of </w:t>
      </w:r>
      <w:r w:rsidR="00D973EF">
        <w:rPr>
          <w:rFonts w:ascii="Tahoma" w:hAnsi="Tahoma" w:cs="Tahoma"/>
          <w:sz w:val="22"/>
          <w:szCs w:val="22"/>
        </w:rPr>
        <w:t>20</w:t>
      </w:r>
      <w:r w:rsidR="00951098" w:rsidRPr="00571187">
        <w:rPr>
          <w:rFonts w:ascii="Tahoma" w:hAnsi="Tahoma" w:cs="Tahoma"/>
          <w:sz w:val="22"/>
          <w:szCs w:val="22"/>
        </w:rPr>
        <w:t> </w:t>
      </w:r>
      <w:r w:rsidR="00EB537B" w:rsidRPr="00571187">
        <w:rPr>
          <w:rFonts w:ascii="Tahoma" w:hAnsi="Tahoma" w:cs="Tahoma"/>
          <w:sz w:val="22"/>
          <w:szCs w:val="22"/>
        </w:rPr>
        <w:t>per</w:t>
      </w:r>
      <w:r w:rsidR="00951098" w:rsidRPr="00571187">
        <w:rPr>
          <w:rFonts w:ascii="Tahoma" w:hAnsi="Tahoma" w:cs="Tahoma"/>
          <w:sz w:val="22"/>
          <w:szCs w:val="22"/>
        </w:rPr>
        <w:t> </w:t>
      </w:r>
      <w:r w:rsidR="00EB537B" w:rsidRPr="00571187">
        <w:rPr>
          <w:rFonts w:ascii="Tahoma" w:hAnsi="Tahoma" w:cs="Tahoma"/>
          <w:sz w:val="22"/>
          <w:szCs w:val="22"/>
        </w:rPr>
        <w:t>cent.</w:t>
      </w:r>
    </w:p>
    <w:p w:rsidR="00CC62D6" w:rsidRPr="00CC62D6" w:rsidRDefault="00986FFF" w:rsidP="00CC62D6">
      <w:pPr>
        <w:numPr>
          <w:ilvl w:val="0"/>
          <w:numId w:val="13"/>
        </w:numPr>
        <w:tabs>
          <w:tab w:val="clear" w:pos="568"/>
          <w:tab w:val="num" w:pos="709"/>
        </w:tabs>
        <w:spacing w:before="100" w:beforeAutospacing="1" w:after="120"/>
        <w:ind w:left="709"/>
        <w:rPr>
          <w:rFonts w:ascii="Tahoma" w:hAnsi="Tahoma" w:cs="Tahoma"/>
          <w:sz w:val="22"/>
          <w:szCs w:val="22"/>
        </w:rPr>
      </w:pPr>
      <w:r w:rsidRPr="00571187">
        <w:rPr>
          <w:rFonts w:ascii="Tahoma" w:hAnsi="Tahoma" w:cs="Tahoma"/>
          <w:sz w:val="22"/>
          <w:szCs w:val="22"/>
        </w:rPr>
        <w:t>T</w:t>
      </w:r>
      <w:r w:rsidR="0026169C" w:rsidRPr="00571187">
        <w:rPr>
          <w:rFonts w:ascii="Tahoma" w:hAnsi="Tahoma" w:cs="Tahoma"/>
          <w:sz w:val="22"/>
          <w:szCs w:val="22"/>
        </w:rPr>
        <w:t xml:space="preserve">he total number of </w:t>
      </w:r>
      <w:r w:rsidR="00600C2E">
        <w:rPr>
          <w:rFonts w:ascii="Tahoma" w:hAnsi="Tahoma" w:cs="Tahoma"/>
          <w:sz w:val="22"/>
          <w:szCs w:val="22"/>
        </w:rPr>
        <w:t>workers employed or contracted</w:t>
      </w:r>
      <w:r w:rsidR="00D41454">
        <w:rPr>
          <w:rFonts w:ascii="Tahoma" w:hAnsi="Tahoma" w:cs="Tahoma"/>
          <w:sz w:val="22"/>
          <w:szCs w:val="22"/>
        </w:rPr>
        <w:t xml:space="preserve"> </w:t>
      </w:r>
      <w:r w:rsidR="00600C2E">
        <w:rPr>
          <w:rFonts w:ascii="Tahoma" w:hAnsi="Tahoma" w:cs="Tahoma"/>
          <w:sz w:val="22"/>
          <w:szCs w:val="22"/>
        </w:rPr>
        <w:t xml:space="preserve">by accredited </w:t>
      </w:r>
      <w:r w:rsidR="00D41454">
        <w:rPr>
          <w:rFonts w:ascii="Tahoma" w:hAnsi="Tahoma" w:cs="Tahoma"/>
          <w:sz w:val="22"/>
          <w:szCs w:val="22"/>
        </w:rPr>
        <w:t>head contractor</w:t>
      </w:r>
      <w:r w:rsidR="00600C2E">
        <w:rPr>
          <w:rFonts w:ascii="Tahoma" w:hAnsi="Tahoma" w:cs="Tahoma"/>
          <w:sz w:val="22"/>
          <w:szCs w:val="22"/>
        </w:rPr>
        <w:t>s</w:t>
      </w:r>
      <w:r w:rsidR="0026169C" w:rsidRPr="00571187">
        <w:rPr>
          <w:rFonts w:ascii="Tahoma" w:hAnsi="Tahoma" w:cs="Tahoma"/>
          <w:sz w:val="22"/>
          <w:szCs w:val="22"/>
        </w:rPr>
        <w:t xml:space="preserve"> </w:t>
      </w:r>
      <w:r w:rsidR="00663755" w:rsidRPr="00571187">
        <w:rPr>
          <w:rFonts w:ascii="Tahoma" w:hAnsi="Tahoma" w:cs="Tahoma"/>
          <w:sz w:val="22"/>
          <w:szCs w:val="22"/>
        </w:rPr>
        <w:t xml:space="preserve">for the </w:t>
      </w:r>
      <w:r w:rsidR="00651BDF">
        <w:rPr>
          <w:rFonts w:ascii="Tahoma" w:hAnsi="Tahoma" w:cs="Tahoma"/>
          <w:sz w:val="22"/>
          <w:szCs w:val="22"/>
        </w:rPr>
        <w:t>June</w:t>
      </w:r>
      <w:r w:rsidR="00B329A3">
        <w:rPr>
          <w:rFonts w:ascii="Tahoma" w:hAnsi="Tahoma" w:cs="Tahoma"/>
          <w:sz w:val="22"/>
          <w:szCs w:val="22"/>
        </w:rPr>
        <w:t> </w:t>
      </w:r>
      <w:r w:rsidR="00663755" w:rsidRPr="00571187">
        <w:rPr>
          <w:rFonts w:ascii="Tahoma" w:hAnsi="Tahoma" w:cs="Tahoma"/>
          <w:sz w:val="22"/>
          <w:szCs w:val="22"/>
        </w:rPr>
        <w:t>200</w:t>
      </w:r>
      <w:r w:rsidR="00651BDF">
        <w:rPr>
          <w:rFonts w:ascii="Tahoma" w:hAnsi="Tahoma" w:cs="Tahoma"/>
          <w:sz w:val="22"/>
          <w:szCs w:val="22"/>
        </w:rPr>
        <w:t>9</w:t>
      </w:r>
      <w:r w:rsidR="00663755" w:rsidRPr="00571187">
        <w:rPr>
          <w:rFonts w:ascii="Tahoma" w:hAnsi="Tahoma" w:cs="Tahoma"/>
          <w:sz w:val="22"/>
          <w:szCs w:val="22"/>
        </w:rPr>
        <w:t xml:space="preserve"> reporting period </w:t>
      </w:r>
      <w:r w:rsidR="0026169C" w:rsidRPr="00571187">
        <w:rPr>
          <w:rFonts w:ascii="Tahoma" w:hAnsi="Tahoma" w:cs="Tahoma"/>
          <w:sz w:val="22"/>
          <w:szCs w:val="22"/>
        </w:rPr>
        <w:t xml:space="preserve">accounted for approximately </w:t>
      </w:r>
      <w:r w:rsidR="00651BDF">
        <w:rPr>
          <w:rFonts w:ascii="Tahoma" w:hAnsi="Tahoma" w:cs="Tahoma"/>
          <w:sz w:val="22"/>
          <w:szCs w:val="22"/>
        </w:rPr>
        <w:t>53</w:t>
      </w:r>
      <w:r w:rsidR="0026169C" w:rsidRPr="00571187">
        <w:rPr>
          <w:rFonts w:ascii="Tahoma" w:hAnsi="Tahoma" w:cs="Tahoma"/>
          <w:sz w:val="22"/>
          <w:szCs w:val="22"/>
        </w:rPr>
        <w:t xml:space="preserve"> per cent of all construction industry </w:t>
      </w:r>
      <w:r w:rsidR="00600C2E">
        <w:rPr>
          <w:rFonts w:ascii="Tahoma" w:hAnsi="Tahoma" w:cs="Tahoma"/>
          <w:sz w:val="22"/>
          <w:szCs w:val="22"/>
        </w:rPr>
        <w:t>workers</w:t>
      </w:r>
      <w:r w:rsidR="0026169C" w:rsidRPr="00571187">
        <w:rPr>
          <w:rFonts w:ascii="Tahoma" w:hAnsi="Tahoma" w:cs="Tahoma"/>
          <w:sz w:val="22"/>
          <w:szCs w:val="22"/>
        </w:rPr>
        <w:t xml:space="preserve"> (the </w:t>
      </w:r>
      <w:r w:rsidR="00D41454">
        <w:rPr>
          <w:rFonts w:ascii="Tahoma" w:hAnsi="Tahoma" w:cs="Tahoma"/>
          <w:sz w:val="22"/>
          <w:szCs w:val="22"/>
        </w:rPr>
        <w:t xml:space="preserve">total </w:t>
      </w:r>
      <w:r w:rsidR="0026169C" w:rsidRPr="00571187">
        <w:rPr>
          <w:rFonts w:ascii="Tahoma" w:hAnsi="Tahoma" w:cs="Tahoma"/>
          <w:sz w:val="22"/>
          <w:szCs w:val="22"/>
        </w:rPr>
        <w:t xml:space="preserve">number of construction industry </w:t>
      </w:r>
      <w:r w:rsidR="008A3812">
        <w:rPr>
          <w:rFonts w:ascii="Tahoma" w:hAnsi="Tahoma" w:cs="Tahoma"/>
          <w:sz w:val="22"/>
          <w:szCs w:val="22"/>
        </w:rPr>
        <w:t>employees</w:t>
      </w:r>
      <w:r w:rsidR="0026169C" w:rsidRPr="00571187">
        <w:rPr>
          <w:rFonts w:ascii="Tahoma" w:hAnsi="Tahoma" w:cs="Tahoma"/>
          <w:sz w:val="22"/>
          <w:szCs w:val="22"/>
        </w:rPr>
        <w:t xml:space="preserve"> was </w:t>
      </w:r>
      <w:r w:rsidR="009F3097" w:rsidRPr="00571187">
        <w:rPr>
          <w:rFonts w:ascii="Tahoma" w:hAnsi="Tahoma" w:cs="Tahoma"/>
          <w:sz w:val="22"/>
          <w:szCs w:val="22"/>
        </w:rPr>
        <w:t xml:space="preserve">estimated as </w:t>
      </w:r>
      <w:r w:rsidR="008E3E96" w:rsidRPr="00571187">
        <w:rPr>
          <w:rFonts w:ascii="Tahoma" w:hAnsi="Tahoma" w:cs="Tahoma"/>
          <w:sz w:val="22"/>
          <w:szCs w:val="22"/>
        </w:rPr>
        <w:t>70</w:t>
      </w:r>
      <w:r w:rsidR="00E3560C" w:rsidRPr="00571187">
        <w:rPr>
          <w:rFonts w:ascii="Tahoma" w:hAnsi="Tahoma" w:cs="Tahoma"/>
          <w:sz w:val="22"/>
          <w:szCs w:val="22"/>
        </w:rPr>
        <w:t>1</w:t>
      </w:r>
      <w:r w:rsidR="008E3E96" w:rsidRPr="00571187">
        <w:rPr>
          <w:rFonts w:ascii="Tahoma" w:hAnsi="Tahoma" w:cs="Tahoma"/>
          <w:sz w:val="22"/>
          <w:szCs w:val="22"/>
        </w:rPr>
        <w:t>,</w:t>
      </w:r>
      <w:r w:rsidR="00651BDF">
        <w:rPr>
          <w:rFonts w:ascii="Tahoma" w:hAnsi="Tahoma" w:cs="Tahoma"/>
          <w:sz w:val="22"/>
          <w:szCs w:val="22"/>
        </w:rPr>
        <w:t>223</w:t>
      </w:r>
      <w:r w:rsidR="0026169C" w:rsidRPr="00571187">
        <w:rPr>
          <w:rStyle w:val="FootnoteReference"/>
          <w:rFonts w:ascii="Tahoma" w:hAnsi="Tahoma" w:cs="Tahoma"/>
          <w:sz w:val="22"/>
          <w:szCs w:val="22"/>
        </w:rPr>
        <w:footnoteReference w:id="5"/>
      </w:r>
      <w:r w:rsidR="0026169C" w:rsidRPr="00571187">
        <w:rPr>
          <w:rFonts w:ascii="Tahoma" w:hAnsi="Tahoma" w:cs="Tahoma"/>
          <w:sz w:val="22"/>
          <w:szCs w:val="22"/>
        </w:rPr>
        <w:t>)</w:t>
      </w:r>
      <w:r w:rsidR="00B43059" w:rsidRPr="00571187">
        <w:rPr>
          <w:rFonts w:ascii="Tahoma" w:hAnsi="Tahoma" w:cs="Tahoma"/>
          <w:sz w:val="22"/>
          <w:szCs w:val="22"/>
        </w:rPr>
        <w:t xml:space="preserve"> compared to </w:t>
      </w:r>
      <w:r w:rsidR="00537F70" w:rsidRPr="00571187">
        <w:rPr>
          <w:rFonts w:ascii="Tahoma" w:hAnsi="Tahoma" w:cs="Tahoma"/>
          <w:sz w:val="22"/>
          <w:szCs w:val="22"/>
        </w:rPr>
        <w:t xml:space="preserve">around </w:t>
      </w:r>
      <w:r w:rsidR="00D973EF">
        <w:rPr>
          <w:rFonts w:ascii="Tahoma" w:hAnsi="Tahoma" w:cs="Tahoma"/>
          <w:sz w:val="22"/>
          <w:szCs w:val="22"/>
        </w:rPr>
        <w:t>43</w:t>
      </w:r>
      <w:r w:rsidR="00537F70" w:rsidRPr="00571187">
        <w:rPr>
          <w:rFonts w:ascii="Tahoma" w:hAnsi="Tahoma" w:cs="Tahoma"/>
          <w:sz w:val="22"/>
          <w:szCs w:val="22"/>
        </w:rPr>
        <w:t xml:space="preserve"> per cent for the </w:t>
      </w:r>
      <w:r w:rsidR="00D973EF">
        <w:rPr>
          <w:rFonts w:ascii="Tahoma" w:hAnsi="Tahoma" w:cs="Tahoma"/>
          <w:sz w:val="22"/>
          <w:szCs w:val="22"/>
        </w:rPr>
        <w:t>June</w:t>
      </w:r>
      <w:r w:rsidR="00B329A3">
        <w:rPr>
          <w:rFonts w:ascii="Tahoma" w:hAnsi="Tahoma" w:cs="Tahoma"/>
          <w:sz w:val="22"/>
          <w:szCs w:val="22"/>
        </w:rPr>
        <w:t> </w:t>
      </w:r>
      <w:r w:rsidR="00537F70" w:rsidRPr="00571187">
        <w:rPr>
          <w:rFonts w:ascii="Tahoma" w:hAnsi="Tahoma" w:cs="Tahoma"/>
          <w:sz w:val="22"/>
          <w:szCs w:val="22"/>
        </w:rPr>
        <w:t>200</w:t>
      </w:r>
      <w:r w:rsidR="00D973EF">
        <w:rPr>
          <w:rFonts w:ascii="Tahoma" w:hAnsi="Tahoma" w:cs="Tahoma"/>
          <w:sz w:val="22"/>
          <w:szCs w:val="22"/>
        </w:rPr>
        <w:t>8</w:t>
      </w:r>
      <w:r w:rsidR="00537F70" w:rsidRPr="00571187">
        <w:rPr>
          <w:rFonts w:ascii="Tahoma" w:hAnsi="Tahoma" w:cs="Tahoma"/>
          <w:sz w:val="22"/>
          <w:szCs w:val="22"/>
        </w:rPr>
        <w:t xml:space="preserve"> reporting period.</w:t>
      </w:r>
    </w:p>
    <w:p w:rsidR="00487D1B" w:rsidRPr="00CC62D6" w:rsidRDefault="00B25FB7" w:rsidP="00487D1B">
      <w:pPr>
        <w:pStyle w:val="Heading2"/>
        <w:spacing w:before="120" w:after="120"/>
        <w:ind w:left="578" w:hanging="578"/>
      </w:pPr>
      <w:bookmarkStart w:id="14" w:name="_Toc246296850"/>
      <w:r w:rsidRPr="00951098">
        <w:t>Fatalities</w:t>
      </w:r>
      <w:bookmarkEnd w:id="14"/>
    </w:p>
    <w:tbl>
      <w:tblPr>
        <w:tblStyle w:val="TableGrid"/>
        <w:tblW w:w="11166" w:type="dxa"/>
        <w:jc w:val="center"/>
        <w:tblLayout w:type="fixed"/>
        <w:tblCellMar>
          <w:left w:w="28" w:type="dxa"/>
          <w:right w:w="28" w:type="dxa"/>
        </w:tblCellMar>
        <w:tblLook w:val="01E0" w:firstRow="1" w:lastRow="1" w:firstColumn="1" w:lastColumn="1" w:noHBand="0" w:noVBand="0"/>
      </w:tblPr>
      <w:tblGrid>
        <w:gridCol w:w="1473"/>
        <w:gridCol w:w="1134"/>
        <w:gridCol w:w="1191"/>
        <w:gridCol w:w="1134"/>
        <w:gridCol w:w="1191"/>
        <w:gridCol w:w="1134"/>
        <w:gridCol w:w="1191"/>
        <w:gridCol w:w="1343"/>
        <w:gridCol w:w="1375"/>
      </w:tblGrid>
      <w:tr w:rsidR="00244AF8" w:rsidTr="002F4D77">
        <w:trPr>
          <w:jc w:val="center"/>
        </w:trPr>
        <w:tc>
          <w:tcPr>
            <w:tcW w:w="1473" w:type="dxa"/>
            <w:vAlign w:val="bottom"/>
          </w:tcPr>
          <w:p w:rsidR="00244AF8" w:rsidRPr="0014419A" w:rsidRDefault="00BE26A7" w:rsidP="00C10A4C">
            <w:pPr>
              <w:spacing w:before="20" w:after="20"/>
              <w:jc w:val="center"/>
              <w:rPr>
                <w:rFonts w:ascii="Tahoma" w:hAnsi="Tahoma" w:cs="Tahoma"/>
                <w:b/>
                <w:sz w:val="20"/>
              </w:rPr>
            </w:pPr>
            <w:r>
              <w:rPr>
                <w:rFonts w:ascii="Tahoma" w:hAnsi="Tahoma" w:cs="Tahoma"/>
                <w:b/>
                <w:sz w:val="20"/>
              </w:rPr>
              <w:t>Period</w:t>
            </w:r>
          </w:p>
        </w:tc>
        <w:tc>
          <w:tcPr>
            <w:tcW w:w="1134" w:type="dxa"/>
            <w:vAlign w:val="bottom"/>
          </w:tcPr>
          <w:p w:rsidR="00244AF8" w:rsidRPr="0014419A" w:rsidRDefault="004015B8" w:rsidP="0014419A">
            <w:pPr>
              <w:jc w:val="center"/>
              <w:rPr>
                <w:rFonts w:ascii="Tahoma" w:hAnsi="Tahoma" w:cs="Tahoma"/>
                <w:b/>
                <w:sz w:val="20"/>
              </w:rPr>
            </w:pPr>
            <w:r>
              <w:rPr>
                <w:rFonts w:ascii="Tahoma" w:hAnsi="Tahoma" w:cs="Tahoma"/>
                <w:b/>
                <w:sz w:val="20"/>
              </w:rPr>
              <w:t xml:space="preserve">Number of </w:t>
            </w:r>
            <w:r w:rsidR="00244AF8" w:rsidRPr="0014419A">
              <w:rPr>
                <w:rFonts w:ascii="Tahoma" w:hAnsi="Tahoma" w:cs="Tahoma"/>
                <w:b/>
                <w:sz w:val="20"/>
              </w:rPr>
              <w:t>Fatalities</w:t>
            </w:r>
          </w:p>
          <w:p w:rsidR="00244AF8" w:rsidRPr="0014419A" w:rsidRDefault="004015B8" w:rsidP="0014419A">
            <w:pPr>
              <w:jc w:val="center"/>
              <w:rPr>
                <w:rFonts w:ascii="Tahoma" w:hAnsi="Tahoma" w:cs="Tahoma"/>
                <w:b/>
                <w:sz w:val="20"/>
              </w:rPr>
            </w:pPr>
            <w:r>
              <w:rPr>
                <w:rFonts w:ascii="Tahoma" w:hAnsi="Tahoma" w:cs="Tahoma"/>
                <w:b/>
                <w:sz w:val="20"/>
              </w:rPr>
              <w:t>on Scheme projects</w:t>
            </w:r>
          </w:p>
        </w:tc>
        <w:tc>
          <w:tcPr>
            <w:tcW w:w="1191" w:type="dxa"/>
            <w:vAlign w:val="bottom"/>
          </w:tcPr>
          <w:p w:rsidR="00244AF8" w:rsidRPr="0014419A" w:rsidRDefault="00244AF8" w:rsidP="0014419A">
            <w:pPr>
              <w:jc w:val="center"/>
              <w:rPr>
                <w:rFonts w:ascii="Tahoma" w:hAnsi="Tahoma" w:cs="Tahoma"/>
                <w:b/>
                <w:sz w:val="20"/>
              </w:rPr>
            </w:pPr>
            <w:r w:rsidRPr="0014419A">
              <w:rPr>
                <w:rFonts w:ascii="Tahoma" w:hAnsi="Tahoma" w:cs="Tahoma"/>
                <w:b/>
                <w:sz w:val="20"/>
              </w:rPr>
              <w:t>Fatalities</w:t>
            </w:r>
          </w:p>
          <w:p w:rsidR="00244AF8" w:rsidRPr="0014419A" w:rsidRDefault="00244AF8" w:rsidP="0014419A">
            <w:pPr>
              <w:jc w:val="center"/>
              <w:rPr>
                <w:rFonts w:ascii="Tahoma" w:hAnsi="Tahoma" w:cs="Tahoma"/>
                <w:b/>
                <w:sz w:val="20"/>
              </w:rPr>
            </w:pPr>
            <w:r w:rsidRPr="0014419A">
              <w:rPr>
                <w:rFonts w:ascii="Tahoma" w:hAnsi="Tahoma" w:cs="Tahoma"/>
                <w:b/>
                <w:sz w:val="20"/>
              </w:rPr>
              <w:t>incidence</w:t>
            </w:r>
          </w:p>
          <w:p w:rsidR="00244AF8" w:rsidRPr="0014419A" w:rsidRDefault="00244AF8" w:rsidP="0014419A">
            <w:pPr>
              <w:jc w:val="center"/>
              <w:rPr>
                <w:rFonts w:ascii="Tahoma" w:hAnsi="Tahoma" w:cs="Tahoma"/>
                <w:b/>
                <w:sz w:val="20"/>
              </w:rPr>
            </w:pPr>
            <w:r w:rsidRPr="0014419A">
              <w:rPr>
                <w:rFonts w:ascii="Tahoma" w:hAnsi="Tahoma" w:cs="Tahoma"/>
                <w:b/>
                <w:sz w:val="20"/>
              </w:rPr>
              <w:t>rate</w:t>
            </w:r>
            <w:r w:rsidR="004015B8">
              <w:rPr>
                <w:rFonts w:ascii="Tahoma" w:hAnsi="Tahoma" w:cs="Tahoma"/>
                <w:b/>
                <w:sz w:val="20"/>
              </w:rPr>
              <w:t xml:space="preserve"> on Scheme projects</w:t>
            </w:r>
          </w:p>
        </w:tc>
        <w:tc>
          <w:tcPr>
            <w:tcW w:w="1134" w:type="dxa"/>
            <w:vAlign w:val="bottom"/>
          </w:tcPr>
          <w:p w:rsidR="00244AF8" w:rsidRPr="0014419A" w:rsidRDefault="004015B8" w:rsidP="0014419A">
            <w:pPr>
              <w:jc w:val="center"/>
              <w:rPr>
                <w:rFonts w:ascii="Tahoma" w:hAnsi="Tahoma" w:cs="Tahoma"/>
                <w:b/>
                <w:sz w:val="20"/>
              </w:rPr>
            </w:pPr>
            <w:r>
              <w:rPr>
                <w:rFonts w:ascii="Tahoma" w:hAnsi="Tahoma" w:cs="Tahoma"/>
                <w:b/>
                <w:sz w:val="20"/>
              </w:rPr>
              <w:t xml:space="preserve">Number of </w:t>
            </w:r>
            <w:r w:rsidR="00244AF8" w:rsidRPr="0014419A">
              <w:rPr>
                <w:rFonts w:ascii="Tahoma" w:hAnsi="Tahoma" w:cs="Tahoma"/>
                <w:b/>
                <w:sz w:val="20"/>
              </w:rPr>
              <w:t>Fatalities</w:t>
            </w:r>
            <w:r>
              <w:rPr>
                <w:rFonts w:ascii="Tahoma" w:hAnsi="Tahoma" w:cs="Tahoma"/>
                <w:b/>
                <w:sz w:val="20"/>
              </w:rPr>
              <w:t xml:space="preserve"> on Non-Scheme projects </w:t>
            </w:r>
          </w:p>
        </w:tc>
        <w:tc>
          <w:tcPr>
            <w:tcW w:w="1191" w:type="dxa"/>
            <w:vAlign w:val="bottom"/>
          </w:tcPr>
          <w:p w:rsidR="00244AF8" w:rsidRPr="0014419A" w:rsidRDefault="00244AF8" w:rsidP="0014419A">
            <w:pPr>
              <w:jc w:val="center"/>
              <w:rPr>
                <w:rFonts w:ascii="Tahoma" w:hAnsi="Tahoma" w:cs="Tahoma"/>
                <w:b/>
                <w:sz w:val="20"/>
              </w:rPr>
            </w:pPr>
            <w:r w:rsidRPr="0014419A">
              <w:rPr>
                <w:rFonts w:ascii="Tahoma" w:hAnsi="Tahoma" w:cs="Tahoma"/>
                <w:b/>
                <w:sz w:val="20"/>
              </w:rPr>
              <w:t>Fatalities</w:t>
            </w:r>
          </w:p>
          <w:p w:rsidR="00244AF8" w:rsidRPr="0014419A" w:rsidRDefault="00244AF8" w:rsidP="0014419A">
            <w:pPr>
              <w:jc w:val="center"/>
              <w:rPr>
                <w:rFonts w:ascii="Tahoma" w:hAnsi="Tahoma" w:cs="Tahoma"/>
                <w:b/>
                <w:sz w:val="20"/>
              </w:rPr>
            </w:pPr>
            <w:r w:rsidRPr="0014419A">
              <w:rPr>
                <w:rFonts w:ascii="Tahoma" w:hAnsi="Tahoma" w:cs="Tahoma"/>
                <w:b/>
                <w:sz w:val="20"/>
              </w:rPr>
              <w:t>incidence</w:t>
            </w:r>
          </w:p>
          <w:p w:rsidR="00244AF8" w:rsidRPr="0014419A" w:rsidRDefault="00244AF8" w:rsidP="0014419A">
            <w:pPr>
              <w:jc w:val="center"/>
              <w:rPr>
                <w:rFonts w:ascii="Tahoma" w:hAnsi="Tahoma" w:cs="Tahoma"/>
                <w:b/>
                <w:sz w:val="20"/>
              </w:rPr>
            </w:pPr>
            <w:r w:rsidRPr="0014419A">
              <w:rPr>
                <w:rFonts w:ascii="Tahoma" w:hAnsi="Tahoma" w:cs="Tahoma"/>
                <w:b/>
                <w:sz w:val="20"/>
              </w:rPr>
              <w:t>rate</w:t>
            </w:r>
            <w:r w:rsidR="004015B8">
              <w:rPr>
                <w:rFonts w:ascii="Tahoma" w:hAnsi="Tahoma" w:cs="Tahoma"/>
                <w:b/>
                <w:sz w:val="20"/>
              </w:rPr>
              <w:t xml:space="preserve"> on Non-Scheme projects</w:t>
            </w:r>
          </w:p>
        </w:tc>
        <w:tc>
          <w:tcPr>
            <w:tcW w:w="1134" w:type="dxa"/>
            <w:vAlign w:val="bottom"/>
          </w:tcPr>
          <w:p w:rsidR="00244AF8" w:rsidRPr="0014419A" w:rsidRDefault="004015B8" w:rsidP="0014419A">
            <w:pPr>
              <w:jc w:val="center"/>
              <w:rPr>
                <w:rFonts w:ascii="Tahoma" w:hAnsi="Tahoma" w:cs="Tahoma"/>
                <w:b/>
                <w:sz w:val="20"/>
              </w:rPr>
            </w:pPr>
            <w:r>
              <w:rPr>
                <w:rFonts w:ascii="Tahoma" w:hAnsi="Tahoma" w:cs="Tahoma"/>
                <w:b/>
                <w:sz w:val="20"/>
              </w:rPr>
              <w:t xml:space="preserve">Number of </w:t>
            </w:r>
            <w:r w:rsidR="00244AF8" w:rsidRPr="0014419A">
              <w:rPr>
                <w:rFonts w:ascii="Tahoma" w:hAnsi="Tahoma" w:cs="Tahoma"/>
                <w:b/>
                <w:sz w:val="20"/>
              </w:rPr>
              <w:t>Fatalities</w:t>
            </w:r>
            <w:r>
              <w:rPr>
                <w:rFonts w:ascii="Tahoma" w:hAnsi="Tahoma" w:cs="Tahoma"/>
                <w:b/>
                <w:sz w:val="20"/>
              </w:rPr>
              <w:t xml:space="preserve"> on all projects</w:t>
            </w:r>
          </w:p>
        </w:tc>
        <w:tc>
          <w:tcPr>
            <w:tcW w:w="1191" w:type="dxa"/>
            <w:vAlign w:val="bottom"/>
          </w:tcPr>
          <w:p w:rsidR="00244AF8" w:rsidRPr="0014419A" w:rsidRDefault="00244AF8" w:rsidP="0014419A">
            <w:pPr>
              <w:jc w:val="center"/>
              <w:rPr>
                <w:rFonts w:ascii="Tahoma" w:hAnsi="Tahoma" w:cs="Tahoma"/>
                <w:b/>
                <w:sz w:val="20"/>
              </w:rPr>
            </w:pPr>
            <w:r w:rsidRPr="0014419A">
              <w:rPr>
                <w:rFonts w:ascii="Tahoma" w:hAnsi="Tahoma" w:cs="Tahoma"/>
                <w:b/>
                <w:sz w:val="20"/>
              </w:rPr>
              <w:t>Fatalities</w:t>
            </w:r>
          </w:p>
          <w:p w:rsidR="00244AF8" w:rsidRPr="0014419A" w:rsidRDefault="00244AF8" w:rsidP="0014419A">
            <w:pPr>
              <w:jc w:val="center"/>
              <w:rPr>
                <w:rFonts w:ascii="Tahoma" w:hAnsi="Tahoma" w:cs="Tahoma"/>
                <w:b/>
                <w:sz w:val="20"/>
              </w:rPr>
            </w:pPr>
            <w:r w:rsidRPr="0014419A">
              <w:rPr>
                <w:rFonts w:ascii="Tahoma" w:hAnsi="Tahoma" w:cs="Tahoma"/>
                <w:b/>
                <w:sz w:val="20"/>
              </w:rPr>
              <w:t>incidence</w:t>
            </w:r>
          </w:p>
          <w:p w:rsidR="00244AF8" w:rsidRPr="0014419A" w:rsidRDefault="00244AF8" w:rsidP="0014419A">
            <w:pPr>
              <w:jc w:val="center"/>
              <w:rPr>
                <w:rFonts w:ascii="Tahoma" w:hAnsi="Tahoma" w:cs="Tahoma"/>
                <w:b/>
                <w:sz w:val="20"/>
              </w:rPr>
            </w:pPr>
            <w:r w:rsidRPr="0014419A">
              <w:rPr>
                <w:rFonts w:ascii="Tahoma" w:hAnsi="Tahoma" w:cs="Tahoma"/>
                <w:b/>
                <w:sz w:val="20"/>
              </w:rPr>
              <w:t>rate</w:t>
            </w:r>
            <w:r w:rsidR="004015B8">
              <w:rPr>
                <w:rFonts w:ascii="Tahoma" w:hAnsi="Tahoma" w:cs="Tahoma"/>
                <w:b/>
                <w:sz w:val="20"/>
              </w:rPr>
              <w:t xml:space="preserve"> on all projects</w:t>
            </w:r>
          </w:p>
        </w:tc>
        <w:tc>
          <w:tcPr>
            <w:tcW w:w="1343" w:type="dxa"/>
            <w:vAlign w:val="bottom"/>
          </w:tcPr>
          <w:p w:rsidR="00244AF8" w:rsidRPr="0014419A" w:rsidRDefault="004015B8" w:rsidP="0014419A">
            <w:pPr>
              <w:jc w:val="center"/>
              <w:rPr>
                <w:rFonts w:ascii="Tahoma" w:hAnsi="Tahoma" w:cs="Tahoma"/>
                <w:b/>
                <w:sz w:val="20"/>
              </w:rPr>
            </w:pPr>
            <w:r>
              <w:rPr>
                <w:rFonts w:ascii="Tahoma" w:hAnsi="Tahoma" w:cs="Tahoma"/>
                <w:b/>
                <w:sz w:val="20"/>
              </w:rPr>
              <w:t xml:space="preserve">Number of </w:t>
            </w:r>
            <w:r w:rsidR="00244AF8" w:rsidRPr="0014419A">
              <w:rPr>
                <w:rFonts w:ascii="Tahoma" w:hAnsi="Tahoma" w:cs="Tahoma"/>
                <w:b/>
                <w:sz w:val="20"/>
              </w:rPr>
              <w:t>Fatalities</w:t>
            </w:r>
            <w:r w:rsidR="002F4D77">
              <w:rPr>
                <w:rFonts w:ascii="Tahoma" w:hAnsi="Tahoma" w:cs="Tahoma"/>
                <w:b/>
                <w:sz w:val="20"/>
              </w:rPr>
              <w:t xml:space="preserve"> from construction in</w:t>
            </w:r>
            <w:r>
              <w:rPr>
                <w:rFonts w:ascii="Tahoma" w:hAnsi="Tahoma" w:cs="Tahoma"/>
                <w:b/>
                <w:sz w:val="20"/>
              </w:rPr>
              <w:t>dustry data</w:t>
            </w:r>
            <w:bookmarkStart w:id="15" w:name="_Ref335824940"/>
            <w:r>
              <w:rPr>
                <w:rStyle w:val="FootnoteReference"/>
                <w:rFonts w:ascii="Tahoma" w:hAnsi="Tahoma"/>
                <w:b/>
                <w:sz w:val="20"/>
              </w:rPr>
              <w:footnoteReference w:id="6"/>
            </w:r>
            <w:bookmarkEnd w:id="15"/>
          </w:p>
        </w:tc>
        <w:tc>
          <w:tcPr>
            <w:tcW w:w="1375" w:type="dxa"/>
            <w:vAlign w:val="bottom"/>
          </w:tcPr>
          <w:p w:rsidR="00244AF8" w:rsidRPr="0014419A" w:rsidRDefault="00244AF8" w:rsidP="0014419A">
            <w:pPr>
              <w:jc w:val="center"/>
              <w:rPr>
                <w:rFonts w:ascii="Tahoma" w:hAnsi="Tahoma" w:cs="Tahoma"/>
                <w:b/>
                <w:sz w:val="20"/>
              </w:rPr>
            </w:pPr>
            <w:r w:rsidRPr="0014419A">
              <w:rPr>
                <w:rFonts w:ascii="Tahoma" w:hAnsi="Tahoma" w:cs="Tahoma"/>
                <w:b/>
                <w:sz w:val="20"/>
              </w:rPr>
              <w:t>Fatalities</w:t>
            </w:r>
          </w:p>
          <w:p w:rsidR="00244AF8" w:rsidRPr="0014419A" w:rsidRDefault="00244AF8" w:rsidP="0014419A">
            <w:pPr>
              <w:jc w:val="center"/>
              <w:rPr>
                <w:rFonts w:ascii="Tahoma" w:hAnsi="Tahoma" w:cs="Tahoma"/>
                <w:b/>
                <w:sz w:val="20"/>
              </w:rPr>
            </w:pPr>
            <w:r w:rsidRPr="0014419A">
              <w:rPr>
                <w:rFonts w:ascii="Tahoma" w:hAnsi="Tahoma" w:cs="Tahoma"/>
                <w:b/>
                <w:sz w:val="20"/>
              </w:rPr>
              <w:t>incidence</w:t>
            </w:r>
          </w:p>
          <w:p w:rsidR="00244AF8" w:rsidRPr="0014419A" w:rsidRDefault="00244AF8" w:rsidP="003966D6">
            <w:pPr>
              <w:jc w:val="center"/>
              <w:rPr>
                <w:rFonts w:ascii="Tahoma" w:hAnsi="Tahoma" w:cs="Tahoma"/>
                <w:b/>
                <w:sz w:val="20"/>
              </w:rPr>
            </w:pPr>
            <w:r w:rsidRPr="0014419A">
              <w:rPr>
                <w:rFonts w:ascii="Tahoma" w:hAnsi="Tahoma" w:cs="Tahoma"/>
                <w:b/>
                <w:sz w:val="20"/>
              </w:rPr>
              <w:t>rate</w:t>
            </w:r>
            <w:r w:rsidR="004015B8">
              <w:rPr>
                <w:rFonts w:ascii="Tahoma" w:hAnsi="Tahoma" w:cs="Tahoma"/>
                <w:b/>
                <w:sz w:val="20"/>
              </w:rPr>
              <w:t xml:space="preserve"> from construction industry data</w:t>
            </w:r>
            <w:r w:rsidR="003966D6" w:rsidRPr="003966D6">
              <w:rPr>
                <w:rFonts w:ascii="Tahoma" w:hAnsi="Tahoma" w:cs="Tahoma"/>
                <w:b/>
                <w:sz w:val="20"/>
              </w:rPr>
              <w:fldChar w:fldCharType="begin"/>
            </w:r>
            <w:r w:rsidR="003966D6" w:rsidRPr="003966D6">
              <w:rPr>
                <w:rFonts w:ascii="Tahoma" w:hAnsi="Tahoma" w:cs="Tahoma"/>
                <w:b/>
                <w:sz w:val="20"/>
              </w:rPr>
              <w:instrText xml:space="preserve"> NOTEREF _Ref335824940 \f \h  \* MERGEFORMAT </w:instrText>
            </w:r>
            <w:r w:rsidR="003966D6" w:rsidRPr="003966D6">
              <w:rPr>
                <w:rFonts w:ascii="Tahoma" w:hAnsi="Tahoma" w:cs="Tahoma"/>
                <w:b/>
                <w:sz w:val="20"/>
              </w:rPr>
            </w:r>
            <w:r w:rsidR="003966D6" w:rsidRPr="003966D6">
              <w:rPr>
                <w:rFonts w:ascii="Tahoma" w:hAnsi="Tahoma" w:cs="Tahoma"/>
                <w:b/>
                <w:sz w:val="20"/>
              </w:rPr>
              <w:fldChar w:fldCharType="separate"/>
            </w:r>
            <w:r w:rsidR="003966D6" w:rsidRPr="003966D6">
              <w:rPr>
                <w:rStyle w:val="FootnoteReference"/>
                <w:rFonts w:ascii="Tahoma" w:hAnsi="Tahoma" w:cs="Tahoma"/>
                <w:b/>
                <w:sz w:val="20"/>
              </w:rPr>
              <w:t>6</w:t>
            </w:r>
            <w:r w:rsidR="003966D6" w:rsidRPr="003966D6">
              <w:rPr>
                <w:rFonts w:ascii="Tahoma" w:hAnsi="Tahoma" w:cs="Tahoma"/>
                <w:b/>
                <w:sz w:val="20"/>
              </w:rPr>
              <w:fldChar w:fldCharType="end"/>
            </w:r>
          </w:p>
        </w:tc>
      </w:tr>
      <w:tr w:rsidR="00244AF8" w:rsidTr="002F4D77">
        <w:trPr>
          <w:jc w:val="center"/>
        </w:trPr>
        <w:tc>
          <w:tcPr>
            <w:tcW w:w="1473" w:type="dxa"/>
            <w:vAlign w:val="bottom"/>
          </w:tcPr>
          <w:p w:rsidR="00244AF8" w:rsidRPr="0014419A" w:rsidRDefault="00244AF8" w:rsidP="00C10A4C">
            <w:pPr>
              <w:spacing w:before="20" w:after="20"/>
              <w:jc w:val="center"/>
              <w:rPr>
                <w:rFonts w:ascii="Tahoma" w:hAnsi="Tahoma" w:cs="Tahoma"/>
                <w:sz w:val="20"/>
              </w:rPr>
            </w:pPr>
            <w:r w:rsidRPr="0014419A">
              <w:rPr>
                <w:rFonts w:ascii="Tahoma" w:hAnsi="Tahoma" w:cs="Tahoma"/>
                <w:sz w:val="20"/>
              </w:rPr>
              <w:t>Jul to Dec 2007</w:t>
            </w:r>
          </w:p>
        </w:tc>
        <w:tc>
          <w:tcPr>
            <w:tcW w:w="1134" w:type="dxa"/>
            <w:vAlign w:val="center"/>
          </w:tcPr>
          <w:p w:rsidR="00244AF8" w:rsidRPr="00341CD4" w:rsidRDefault="00244AF8" w:rsidP="004A28D5">
            <w:pPr>
              <w:spacing w:before="20" w:after="20"/>
              <w:jc w:val="center"/>
              <w:rPr>
                <w:rFonts w:ascii="Tahoma" w:hAnsi="Tahoma" w:cs="Tahoma"/>
                <w:sz w:val="20"/>
              </w:rPr>
            </w:pPr>
            <w:r>
              <w:rPr>
                <w:rFonts w:ascii="Tahoma" w:hAnsi="Tahoma" w:cs="Tahoma"/>
                <w:sz w:val="20"/>
              </w:rPr>
              <w:t>1</w:t>
            </w:r>
          </w:p>
        </w:tc>
        <w:tc>
          <w:tcPr>
            <w:tcW w:w="1191" w:type="dxa"/>
            <w:vAlign w:val="center"/>
          </w:tcPr>
          <w:p w:rsidR="00244AF8" w:rsidRPr="00341CD4" w:rsidRDefault="00244AF8" w:rsidP="004A28D5">
            <w:pPr>
              <w:spacing w:before="20" w:after="20"/>
              <w:jc w:val="center"/>
              <w:rPr>
                <w:rFonts w:ascii="Tahoma" w:hAnsi="Tahoma" w:cs="Tahoma"/>
                <w:sz w:val="20"/>
              </w:rPr>
            </w:pPr>
            <w:r>
              <w:rPr>
                <w:rFonts w:ascii="Tahoma" w:hAnsi="Tahoma" w:cs="Tahoma"/>
                <w:sz w:val="20"/>
              </w:rPr>
              <w:t>4.53</w:t>
            </w:r>
          </w:p>
        </w:tc>
        <w:tc>
          <w:tcPr>
            <w:tcW w:w="1134" w:type="dxa"/>
            <w:vAlign w:val="center"/>
          </w:tcPr>
          <w:p w:rsidR="00244AF8" w:rsidRPr="00341CD4" w:rsidRDefault="00244AF8" w:rsidP="004A28D5">
            <w:pPr>
              <w:spacing w:before="20" w:after="20"/>
              <w:jc w:val="center"/>
              <w:rPr>
                <w:rFonts w:ascii="Tahoma" w:hAnsi="Tahoma" w:cs="Tahoma"/>
                <w:sz w:val="20"/>
              </w:rPr>
            </w:pPr>
            <w:r>
              <w:rPr>
                <w:rFonts w:ascii="Tahoma" w:hAnsi="Tahoma" w:cs="Tahoma"/>
                <w:sz w:val="20"/>
              </w:rPr>
              <w:t>0 (1</w:t>
            </w:r>
            <w:r w:rsidR="004A28D5">
              <w:rPr>
                <w:rStyle w:val="FootnoteReference"/>
                <w:rFonts w:ascii="Tahoma" w:hAnsi="Tahoma"/>
                <w:sz w:val="20"/>
              </w:rPr>
              <w:footnoteReference w:id="7"/>
            </w:r>
            <w:r>
              <w:rPr>
                <w:rFonts w:ascii="Tahoma" w:hAnsi="Tahoma" w:cs="Tahoma"/>
                <w:sz w:val="20"/>
              </w:rPr>
              <w:t>)</w:t>
            </w:r>
          </w:p>
        </w:tc>
        <w:tc>
          <w:tcPr>
            <w:tcW w:w="1191" w:type="dxa"/>
            <w:vAlign w:val="center"/>
          </w:tcPr>
          <w:p w:rsidR="00244AF8" w:rsidRPr="00341CD4" w:rsidRDefault="00244AF8" w:rsidP="004A28D5">
            <w:pPr>
              <w:spacing w:before="20" w:after="20"/>
              <w:jc w:val="center"/>
              <w:rPr>
                <w:rFonts w:ascii="Tahoma" w:hAnsi="Tahoma" w:cs="Tahoma"/>
                <w:sz w:val="20"/>
              </w:rPr>
            </w:pPr>
            <w:r>
              <w:rPr>
                <w:rFonts w:ascii="Tahoma" w:hAnsi="Tahoma" w:cs="Tahoma"/>
                <w:sz w:val="20"/>
              </w:rPr>
              <w:t>0.00</w:t>
            </w:r>
          </w:p>
        </w:tc>
        <w:tc>
          <w:tcPr>
            <w:tcW w:w="1134" w:type="dxa"/>
            <w:vAlign w:val="center"/>
          </w:tcPr>
          <w:p w:rsidR="00244AF8" w:rsidRPr="0014419A" w:rsidRDefault="004A28D5" w:rsidP="004A28D5">
            <w:pPr>
              <w:jc w:val="center"/>
              <w:rPr>
                <w:rFonts w:ascii="Tahoma" w:hAnsi="Tahoma" w:cs="Tahoma"/>
                <w:sz w:val="20"/>
              </w:rPr>
            </w:pPr>
            <w:r>
              <w:rPr>
                <w:rFonts w:ascii="Tahoma" w:hAnsi="Tahoma" w:cs="Tahoma"/>
                <w:sz w:val="20"/>
              </w:rPr>
              <w:t>1 (1</w:t>
            </w:r>
            <w:r w:rsidR="00631A8C" w:rsidRPr="00631A8C">
              <w:rPr>
                <w:rFonts w:ascii="Tahoma" w:hAnsi="Tahoma" w:cs="Tahoma"/>
                <w:sz w:val="20"/>
                <w:vertAlign w:val="superscript"/>
              </w:rPr>
              <w:t>7</w:t>
            </w:r>
            <w:r>
              <w:rPr>
                <w:rFonts w:ascii="Tahoma" w:hAnsi="Tahoma" w:cs="Tahoma"/>
                <w:sz w:val="20"/>
              </w:rPr>
              <w:t>)</w:t>
            </w:r>
          </w:p>
        </w:tc>
        <w:tc>
          <w:tcPr>
            <w:tcW w:w="1191" w:type="dxa"/>
            <w:vAlign w:val="center"/>
          </w:tcPr>
          <w:p w:rsidR="00244AF8" w:rsidRPr="0014419A" w:rsidRDefault="004A28D5" w:rsidP="004A28D5">
            <w:pPr>
              <w:jc w:val="center"/>
              <w:rPr>
                <w:rFonts w:ascii="Tahoma" w:hAnsi="Tahoma" w:cs="Tahoma"/>
                <w:sz w:val="20"/>
              </w:rPr>
            </w:pPr>
            <w:r>
              <w:rPr>
                <w:rFonts w:ascii="Tahoma" w:hAnsi="Tahoma" w:cs="Tahoma"/>
                <w:sz w:val="20"/>
              </w:rPr>
              <w:t>0.38</w:t>
            </w:r>
          </w:p>
        </w:tc>
        <w:tc>
          <w:tcPr>
            <w:tcW w:w="1343" w:type="dxa"/>
            <w:vAlign w:val="center"/>
          </w:tcPr>
          <w:p w:rsidR="00244AF8" w:rsidRDefault="00244AF8" w:rsidP="004A28D5">
            <w:pPr>
              <w:spacing w:before="20" w:after="20"/>
              <w:jc w:val="center"/>
              <w:rPr>
                <w:rFonts w:ascii="Tahoma" w:hAnsi="Tahoma" w:cs="Tahoma"/>
                <w:sz w:val="20"/>
              </w:rPr>
            </w:pPr>
            <w:r>
              <w:rPr>
                <w:rFonts w:ascii="Tahoma" w:hAnsi="Tahoma" w:cs="Tahoma"/>
                <w:sz w:val="20"/>
              </w:rPr>
              <w:t>20</w:t>
            </w:r>
          </w:p>
        </w:tc>
        <w:tc>
          <w:tcPr>
            <w:tcW w:w="1375" w:type="dxa"/>
            <w:vAlign w:val="center"/>
          </w:tcPr>
          <w:p w:rsidR="00244AF8" w:rsidRDefault="00244AF8" w:rsidP="004A28D5">
            <w:pPr>
              <w:spacing w:before="20" w:after="20"/>
              <w:jc w:val="center"/>
              <w:rPr>
                <w:rFonts w:ascii="Tahoma" w:hAnsi="Tahoma" w:cs="Tahoma"/>
                <w:sz w:val="20"/>
              </w:rPr>
            </w:pPr>
            <w:r>
              <w:rPr>
                <w:rFonts w:ascii="Tahoma" w:hAnsi="Tahoma" w:cs="Tahoma"/>
                <w:sz w:val="20"/>
              </w:rPr>
              <w:t>2.98</w:t>
            </w:r>
          </w:p>
        </w:tc>
      </w:tr>
      <w:tr w:rsidR="00244AF8" w:rsidTr="002F4D77">
        <w:trPr>
          <w:jc w:val="center"/>
        </w:trPr>
        <w:tc>
          <w:tcPr>
            <w:tcW w:w="1473" w:type="dxa"/>
            <w:vAlign w:val="bottom"/>
          </w:tcPr>
          <w:p w:rsidR="00244AF8" w:rsidRPr="0014419A" w:rsidRDefault="00244AF8" w:rsidP="00C10A4C">
            <w:pPr>
              <w:spacing w:before="20" w:after="20"/>
              <w:jc w:val="center"/>
              <w:rPr>
                <w:rFonts w:ascii="Tahoma" w:hAnsi="Tahoma" w:cs="Tahoma"/>
                <w:sz w:val="20"/>
              </w:rPr>
            </w:pPr>
            <w:r w:rsidRPr="0014419A">
              <w:rPr>
                <w:rFonts w:ascii="Tahoma" w:hAnsi="Tahoma" w:cs="Tahoma"/>
                <w:sz w:val="20"/>
              </w:rPr>
              <w:t>Jan to Jun 2008</w:t>
            </w:r>
          </w:p>
        </w:tc>
        <w:tc>
          <w:tcPr>
            <w:tcW w:w="1134" w:type="dxa"/>
            <w:vAlign w:val="center"/>
          </w:tcPr>
          <w:p w:rsidR="00244AF8" w:rsidRPr="00341CD4" w:rsidRDefault="00244AF8" w:rsidP="004A28D5">
            <w:pPr>
              <w:spacing w:before="20" w:after="20"/>
              <w:jc w:val="center"/>
              <w:rPr>
                <w:rFonts w:ascii="Tahoma" w:hAnsi="Tahoma" w:cs="Tahoma"/>
                <w:sz w:val="20"/>
              </w:rPr>
            </w:pPr>
            <w:r>
              <w:rPr>
                <w:rFonts w:ascii="Tahoma" w:hAnsi="Tahoma" w:cs="Tahoma"/>
                <w:sz w:val="20"/>
              </w:rPr>
              <w:t>0</w:t>
            </w:r>
          </w:p>
        </w:tc>
        <w:tc>
          <w:tcPr>
            <w:tcW w:w="1191" w:type="dxa"/>
            <w:vAlign w:val="center"/>
          </w:tcPr>
          <w:p w:rsidR="00244AF8" w:rsidRPr="00341CD4" w:rsidRDefault="00244AF8" w:rsidP="004A28D5">
            <w:pPr>
              <w:spacing w:before="20" w:after="20"/>
              <w:jc w:val="center"/>
              <w:rPr>
                <w:rFonts w:ascii="Tahoma" w:hAnsi="Tahoma" w:cs="Tahoma"/>
                <w:sz w:val="20"/>
              </w:rPr>
            </w:pPr>
            <w:r>
              <w:rPr>
                <w:rFonts w:ascii="Tahoma" w:hAnsi="Tahoma" w:cs="Tahoma"/>
                <w:sz w:val="20"/>
              </w:rPr>
              <w:t>0.00</w:t>
            </w:r>
          </w:p>
        </w:tc>
        <w:tc>
          <w:tcPr>
            <w:tcW w:w="1134" w:type="dxa"/>
            <w:vAlign w:val="center"/>
          </w:tcPr>
          <w:p w:rsidR="00244AF8" w:rsidRPr="00341CD4" w:rsidRDefault="00244AF8" w:rsidP="004A28D5">
            <w:pPr>
              <w:spacing w:before="20" w:after="20"/>
              <w:jc w:val="center"/>
              <w:rPr>
                <w:rFonts w:ascii="Tahoma" w:hAnsi="Tahoma" w:cs="Tahoma"/>
                <w:sz w:val="20"/>
              </w:rPr>
            </w:pPr>
            <w:r>
              <w:rPr>
                <w:rFonts w:ascii="Tahoma" w:hAnsi="Tahoma" w:cs="Tahoma"/>
                <w:sz w:val="20"/>
              </w:rPr>
              <w:t>6</w:t>
            </w:r>
          </w:p>
        </w:tc>
        <w:tc>
          <w:tcPr>
            <w:tcW w:w="1191" w:type="dxa"/>
            <w:vAlign w:val="center"/>
          </w:tcPr>
          <w:p w:rsidR="00244AF8" w:rsidRPr="00341CD4" w:rsidRDefault="00244AF8" w:rsidP="004A28D5">
            <w:pPr>
              <w:spacing w:before="20" w:after="20"/>
              <w:jc w:val="center"/>
              <w:rPr>
                <w:rFonts w:ascii="Tahoma" w:hAnsi="Tahoma" w:cs="Tahoma"/>
                <w:sz w:val="20"/>
              </w:rPr>
            </w:pPr>
            <w:r>
              <w:rPr>
                <w:rFonts w:ascii="Tahoma" w:hAnsi="Tahoma" w:cs="Tahoma"/>
                <w:sz w:val="20"/>
              </w:rPr>
              <w:t>2.12</w:t>
            </w:r>
          </w:p>
        </w:tc>
        <w:tc>
          <w:tcPr>
            <w:tcW w:w="1134" w:type="dxa"/>
            <w:vAlign w:val="center"/>
          </w:tcPr>
          <w:p w:rsidR="00244AF8" w:rsidRPr="0014419A" w:rsidRDefault="004A28D5" w:rsidP="004A28D5">
            <w:pPr>
              <w:jc w:val="center"/>
              <w:rPr>
                <w:rFonts w:ascii="Tahoma" w:hAnsi="Tahoma" w:cs="Tahoma"/>
                <w:sz w:val="20"/>
              </w:rPr>
            </w:pPr>
            <w:r>
              <w:rPr>
                <w:rFonts w:ascii="Tahoma" w:hAnsi="Tahoma" w:cs="Tahoma"/>
                <w:sz w:val="20"/>
              </w:rPr>
              <w:t>6</w:t>
            </w:r>
          </w:p>
        </w:tc>
        <w:tc>
          <w:tcPr>
            <w:tcW w:w="1191" w:type="dxa"/>
            <w:vAlign w:val="center"/>
          </w:tcPr>
          <w:p w:rsidR="00244AF8" w:rsidRPr="0014419A" w:rsidRDefault="004A28D5" w:rsidP="004A28D5">
            <w:pPr>
              <w:jc w:val="center"/>
              <w:rPr>
                <w:rFonts w:ascii="Tahoma" w:hAnsi="Tahoma" w:cs="Tahoma"/>
                <w:sz w:val="20"/>
              </w:rPr>
            </w:pPr>
            <w:r>
              <w:rPr>
                <w:rFonts w:ascii="Tahoma" w:hAnsi="Tahoma" w:cs="Tahoma"/>
                <w:sz w:val="20"/>
              </w:rPr>
              <w:t>2.01</w:t>
            </w:r>
          </w:p>
        </w:tc>
        <w:tc>
          <w:tcPr>
            <w:tcW w:w="1343" w:type="dxa"/>
            <w:vAlign w:val="center"/>
          </w:tcPr>
          <w:p w:rsidR="00244AF8" w:rsidRDefault="00244AF8" w:rsidP="004A28D5">
            <w:pPr>
              <w:spacing w:before="20" w:after="20"/>
              <w:jc w:val="center"/>
              <w:rPr>
                <w:rFonts w:ascii="Tahoma" w:hAnsi="Tahoma" w:cs="Tahoma"/>
                <w:sz w:val="20"/>
              </w:rPr>
            </w:pPr>
            <w:r>
              <w:rPr>
                <w:rFonts w:ascii="Tahoma" w:hAnsi="Tahoma" w:cs="Tahoma"/>
                <w:sz w:val="20"/>
              </w:rPr>
              <w:t>15</w:t>
            </w:r>
          </w:p>
        </w:tc>
        <w:tc>
          <w:tcPr>
            <w:tcW w:w="1375" w:type="dxa"/>
            <w:vAlign w:val="center"/>
          </w:tcPr>
          <w:p w:rsidR="00244AF8" w:rsidRDefault="00244AF8" w:rsidP="004A28D5">
            <w:pPr>
              <w:spacing w:before="20" w:after="20"/>
              <w:jc w:val="center"/>
              <w:rPr>
                <w:rFonts w:ascii="Tahoma" w:hAnsi="Tahoma" w:cs="Tahoma"/>
                <w:sz w:val="20"/>
              </w:rPr>
            </w:pPr>
            <w:r>
              <w:rPr>
                <w:rFonts w:ascii="Tahoma" w:hAnsi="Tahoma" w:cs="Tahoma"/>
                <w:sz w:val="20"/>
              </w:rPr>
              <w:t>2.14</w:t>
            </w:r>
          </w:p>
        </w:tc>
      </w:tr>
      <w:tr w:rsidR="00244AF8" w:rsidTr="002F4D77">
        <w:trPr>
          <w:jc w:val="center"/>
        </w:trPr>
        <w:tc>
          <w:tcPr>
            <w:tcW w:w="1473" w:type="dxa"/>
            <w:vAlign w:val="bottom"/>
          </w:tcPr>
          <w:p w:rsidR="00244AF8" w:rsidRPr="0014419A" w:rsidRDefault="00244AF8" w:rsidP="00C10A4C">
            <w:pPr>
              <w:spacing w:before="20" w:after="20"/>
              <w:jc w:val="center"/>
              <w:rPr>
                <w:rFonts w:ascii="Tahoma" w:hAnsi="Tahoma" w:cs="Tahoma"/>
                <w:sz w:val="20"/>
              </w:rPr>
            </w:pPr>
            <w:r w:rsidRPr="0014419A">
              <w:rPr>
                <w:rFonts w:ascii="Tahoma" w:hAnsi="Tahoma" w:cs="Tahoma"/>
                <w:sz w:val="20"/>
              </w:rPr>
              <w:t>Jul to Dec 2008</w:t>
            </w:r>
          </w:p>
        </w:tc>
        <w:tc>
          <w:tcPr>
            <w:tcW w:w="1134" w:type="dxa"/>
            <w:vAlign w:val="center"/>
          </w:tcPr>
          <w:p w:rsidR="00244AF8" w:rsidRPr="00341CD4" w:rsidRDefault="00244AF8" w:rsidP="004A28D5">
            <w:pPr>
              <w:spacing w:before="20" w:after="20"/>
              <w:jc w:val="center"/>
              <w:rPr>
                <w:rFonts w:ascii="Tahoma" w:hAnsi="Tahoma" w:cs="Tahoma"/>
                <w:sz w:val="20"/>
              </w:rPr>
            </w:pPr>
            <w:r>
              <w:rPr>
                <w:rFonts w:ascii="Tahoma" w:hAnsi="Tahoma" w:cs="Tahoma"/>
                <w:sz w:val="20"/>
              </w:rPr>
              <w:t>0</w:t>
            </w:r>
          </w:p>
        </w:tc>
        <w:tc>
          <w:tcPr>
            <w:tcW w:w="1191" w:type="dxa"/>
            <w:vAlign w:val="center"/>
          </w:tcPr>
          <w:p w:rsidR="00244AF8" w:rsidRPr="00341CD4" w:rsidRDefault="00244AF8" w:rsidP="004A28D5">
            <w:pPr>
              <w:spacing w:before="20" w:after="20"/>
              <w:jc w:val="center"/>
              <w:rPr>
                <w:rFonts w:ascii="Tahoma" w:hAnsi="Tahoma" w:cs="Tahoma"/>
                <w:sz w:val="20"/>
              </w:rPr>
            </w:pPr>
            <w:r>
              <w:rPr>
                <w:rFonts w:ascii="Tahoma" w:hAnsi="Tahoma" w:cs="Tahoma"/>
                <w:sz w:val="20"/>
              </w:rPr>
              <w:t>0.00</w:t>
            </w:r>
          </w:p>
        </w:tc>
        <w:tc>
          <w:tcPr>
            <w:tcW w:w="1134" w:type="dxa"/>
            <w:vAlign w:val="center"/>
          </w:tcPr>
          <w:p w:rsidR="00244AF8" w:rsidRPr="00341CD4" w:rsidRDefault="00244AF8" w:rsidP="004A28D5">
            <w:pPr>
              <w:spacing w:before="20" w:after="20"/>
              <w:jc w:val="center"/>
              <w:rPr>
                <w:rFonts w:ascii="Tahoma" w:hAnsi="Tahoma" w:cs="Tahoma"/>
                <w:sz w:val="20"/>
              </w:rPr>
            </w:pPr>
            <w:r>
              <w:rPr>
                <w:rFonts w:ascii="Tahoma" w:hAnsi="Tahoma" w:cs="Tahoma"/>
                <w:sz w:val="20"/>
              </w:rPr>
              <w:t>4 (2</w:t>
            </w:r>
            <w:r w:rsidR="00631A8C" w:rsidRPr="00631A8C">
              <w:rPr>
                <w:rFonts w:ascii="Tahoma" w:hAnsi="Tahoma" w:cs="Tahoma"/>
                <w:sz w:val="20"/>
                <w:vertAlign w:val="superscript"/>
              </w:rPr>
              <w:t>7</w:t>
            </w:r>
            <w:r w:rsidRPr="00DC57B4">
              <w:rPr>
                <w:rFonts w:ascii="Tahoma" w:hAnsi="Tahoma" w:cs="Tahoma"/>
                <w:sz w:val="20"/>
              </w:rPr>
              <w:t>)</w:t>
            </w:r>
          </w:p>
        </w:tc>
        <w:tc>
          <w:tcPr>
            <w:tcW w:w="1191" w:type="dxa"/>
            <w:vAlign w:val="center"/>
          </w:tcPr>
          <w:p w:rsidR="00244AF8" w:rsidRPr="00341CD4" w:rsidRDefault="00244AF8" w:rsidP="004A28D5">
            <w:pPr>
              <w:spacing w:before="20" w:after="20"/>
              <w:jc w:val="center"/>
              <w:rPr>
                <w:rFonts w:ascii="Tahoma" w:hAnsi="Tahoma" w:cs="Tahoma"/>
                <w:sz w:val="20"/>
              </w:rPr>
            </w:pPr>
            <w:r>
              <w:rPr>
                <w:rFonts w:ascii="Tahoma" w:hAnsi="Tahoma" w:cs="Tahoma"/>
                <w:sz w:val="20"/>
              </w:rPr>
              <w:t>1.30</w:t>
            </w:r>
          </w:p>
        </w:tc>
        <w:tc>
          <w:tcPr>
            <w:tcW w:w="1134" w:type="dxa"/>
            <w:vAlign w:val="center"/>
          </w:tcPr>
          <w:p w:rsidR="00244AF8" w:rsidRPr="0014419A" w:rsidRDefault="004A28D5" w:rsidP="004A28D5">
            <w:pPr>
              <w:jc w:val="center"/>
              <w:rPr>
                <w:rFonts w:ascii="Tahoma" w:hAnsi="Tahoma" w:cs="Tahoma"/>
                <w:sz w:val="20"/>
              </w:rPr>
            </w:pPr>
            <w:r>
              <w:rPr>
                <w:rFonts w:ascii="Tahoma" w:hAnsi="Tahoma" w:cs="Tahoma"/>
                <w:sz w:val="20"/>
              </w:rPr>
              <w:t>4 (2</w:t>
            </w:r>
            <w:r w:rsidR="00631A8C" w:rsidRPr="00631A8C">
              <w:rPr>
                <w:rFonts w:ascii="Tahoma" w:hAnsi="Tahoma" w:cs="Tahoma"/>
                <w:sz w:val="20"/>
                <w:vertAlign w:val="superscript"/>
              </w:rPr>
              <w:t>7</w:t>
            </w:r>
            <w:r>
              <w:rPr>
                <w:rFonts w:ascii="Tahoma" w:hAnsi="Tahoma" w:cs="Tahoma"/>
                <w:sz w:val="20"/>
              </w:rPr>
              <w:t>)</w:t>
            </w:r>
          </w:p>
        </w:tc>
        <w:tc>
          <w:tcPr>
            <w:tcW w:w="1191" w:type="dxa"/>
            <w:vAlign w:val="center"/>
          </w:tcPr>
          <w:p w:rsidR="00244AF8" w:rsidRPr="0014419A" w:rsidRDefault="004A28D5" w:rsidP="004A28D5">
            <w:pPr>
              <w:jc w:val="center"/>
              <w:rPr>
                <w:rFonts w:ascii="Tahoma" w:hAnsi="Tahoma" w:cs="Tahoma"/>
                <w:sz w:val="20"/>
              </w:rPr>
            </w:pPr>
            <w:r>
              <w:rPr>
                <w:rFonts w:ascii="Tahoma" w:hAnsi="Tahoma" w:cs="Tahoma"/>
                <w:sz w:val="20"/>
              </w:rPr>
              <w:t>1.20</w:t>
            </w:r>
          </w:p>
        </w:tc>
        <w:tc>
          <w:tcPr>
            <w:tcW w:w="1343" w:type="dxa"/>
            <w:vAlign w:val="center"/>
          </w:tcPr>
          <w:p w:rsidR="00244AF8" w:rsidRDefault="00244AF8" w:rsidP="004A28D5">
            <w:pPr>
              <w:spacing w:before="20" w:after="20"/>
              <w:jc w:val="center"/>
              <w:rPr>
                <w:rFonts w:ascii="Tahoma" w:hAnsi="Tahoma" w:cs="Tahoma"/>
                <w:sz w:val="20"/>
              </w:rPr>
            </w:pPr>
            <w:r>
              <w:rPr>
                <w:rFonts w:ascii="Tahoma" w:hAnsi="Tahoma" w:cs="Tahoma"/>
                <w:sz w:val="20"/>
              </w:rPr>
              <w:t>19</w:t>
            </w:r>
          </w:p>
        </w:tc>
        <w:tc>
          <w:tcPr>
            <w:tcW w:w="1375" w:type="dxa"/>
            <w:vAlign w:val="center"/>
          </w:tcPr>
          <w:p w:rsidR="00244AF8" w:rsidRDefault="00244AF8" w:rsidP="004A28D5">
            <w:pPr>
              <w:spacing w:before="20" w:after="20"/>
              <w:jc w:val="center"/>
              <w:rPr>
                <w:rFonts w:ascii="Tahoma" w:hAnsi="Tahoma" w:cs="Tahoma"/>
                <w:sz w:val="20"/>
              </w:rPr>
            </w:pPr>
            <w:r>
              <w:rPr>
                <w:rFonts w:ascii="Tahoma" w:hAnsi="Tahoma" w:cs="Tahoma"/>
                <w:sz w:val="20"/>
              </w:rPr>
              <w:t>2.71</w:t>
            </w:r>
          </w:p>
        </w:tc>
      </w:tr>
      <w:tr w:rsidR="00244AF8" w:rsidTr="002F4D77">
        <w:trPr>
          <w:jc w:val="center"/>
        </w:trPr>
        <w:tc>
          <w:tcPr>
            <w:tcW w:w="1473" w:type="dxa"/>
            <w:vAlign w:val="bottom"/>
          </w:tcPr>
          <w:p w:rsidR="00244AF8" w:rsidRPr="0014419A" w:rsidRDefault="00244AF8" w:rsidP="00C10A4C">
            <w:pPr>
              <w:spacing w:before="20" w:after="20"/>
              <w:jc w:val="center"/>
              <w:rPr>
                <w:rFonts w:ascii="Tahoma" w:hAnsi="Tahoma" w:cs="Tahoma"/>
                <w:sz w:val="20"/>
              </w:rPr>
            </w:pPr>
            <w:r w:rsidRPr="0014419A">
              <w:rPr>
                <w:rFonts w:ascii="Tahoma" w:hAnsi="Tahoma" w:cs="Tahoma"/>
                <w:sz w:val="20"/>
              </w:rPr>
              <w:t>Jan to Jun 2009</w:t>
            </w:r>
          </w:p>
        </w:tc>
        <w:tc>
          <w:tcPr>
            <w:tcW w:w="1134" w:type="dxa"/>
            <w:vAlign w:val="center"/>
          </w:tcPr>
          <w:p w:rsidR="00244AF8" w:rsidRDefault="00244AF8" w:rsidP="004A28D5">
            <w:pPr>
              <w:spacing w:before="20" w:after="20"/>
              <w:jc w:val="center"/>
              <w:rPr>
                <w:rFonts w:ascii="Tahoma" w:hAnsi="Tahoma" w:cs="Tahoma"/>
                <w:sz w:val="20"/>
              </w:rPr>
            </w:pPr>
            <w:r>
              <w:rPr>
                <w:rFonts w:ascii="Tahoma" w:hAnsi="Tahoma" w:cs="Tahoma"/>
                <w:sz w:val="20"/>
              </w:rPr>
              <w:t>1</w:t>
            </w:r>
          </w:p>
        </w:tc>
        <w:tc>
          <w:tcPr>
            <w:tcW w:w="1191" w:type="dxa"/>
            <w:vAlign w:val="center"/>
          </w:tcPr>
          <w:p w:rsidR="00244AF8" w:rsidRDefault="00244AF8" w:rsidP="004A28D5">
            <w:pPr>
              <w:spacing w:before="20" w:after="20"/>
              <w:jc w:val="center"/>
              <w:rPr>
                <w:rFonts w:ascii="Tahoma" w:hAnsi="Tahoma" w:cs="Tahoma"/>
                <w:sz w:val="20"/>
              </w:rPr>
            </w:pPr>
            <w:r>
              <w:rPr>
                <w:rFonts w:ascii="Tahoma" w:hAnsi="Tahoma" w:cs="Tahoma"/>
                <w:sz w:val="20"/>
              </w:rPr>
              <w:t>3.16</w:t>
            </w:r>
            <w:r w:rsidR="004A28D5">
              <w:rPr>
                <w:rStyle w:val="FootnoteReference"/>
                <w:rFonts w:ascii="Tahoma" w:hAnsi="Tahoma"/>
                <w:sz w:val="20"/>
              </w:rPr>
              <w:footnoteReference w:id="8"/>
            </w:r>
          </w:p>
        </w:tc>
        <w:tc>
          <w:tcPr>
            <w:tcW w:w="1134" w:type="dxa"/>
            <w:vAlign w:val="center"/>
          </w:tcPr>
          <w:p w:rsidR="00244AF8" w:rsidRPr="00A64F6A" w:rsidRDefault="00244AF8" w:rsidP="004A28D5">
            <w:pPr>
              <w:spacing w:before="20" w:after="20"/>
              <w:jc w:val="center"/>
              <w:rPr>
                <w:rFonts w:ascii="Tahoma" w:hAnsi="Tahoma" w:cs="Tahoma"/>
                <w:sz w:val="20"/>
              </w:rPr>
            </w:pPr>
            <w:r>
              <w:rPr>
                <w:rFonts w:ascii="Tahoma" w:hAnsi="Tahoma" w:cs="Tahoma"/>
                <w:sz w:val="20"/>
              </w:rPr>
              <w:t>4 (2</w:t>
            </w:r>
            <w:r w:rsidR="00631A8C" w:rsidRPr="00631A8C">
              <w:rPr>
                <w:rFonts w:ascii="Tahoma" w:hAnsi="Tahoma" w:cs="Tahoma"/>
                <w:sz w:val="20"/>
                <w:vertAlign w:val="superscript"/>
              </w:rPr>
              <w:t>7</w:t>
            </w:r>
            <w:r>
              <w:rPr>
                <w:rFonts w:ascii="Tahoma" w:hAnsi="Tahoma" w:cs="Tahoma"/>
                <w:sz w:val="20"/>
              </w:rPr>
              <w:t>)</w:t>
            </w:r>
          </w:p>
        </w:tc>
        <w:tc>
          <w:tcPr>
            <w:tcW w:w="1191" w:type="dxa"/>
            <w:vAlign w:val="center"/>
          </w:tcPr>
          <w:p w:rsidR="00244AF8" w:rsidRDefault="00244AF8" w:rsidP="004A28D5">
            <w:pPr>
              <w:spacing w:before="20" w:after="20"/>
              <w:jc w:val="center"/>
              <w:rPr>
                <w:rFonts w:ascii="Tahoma" w:hAnsi="Tahoma" w:cs="Tahoma"/>
                <w:sz w:val="20"/>
              </w:rPr>
            </w:pPr>
            <w:r>
              <w:rPr>
                <w:rFonts w:ascii="Tahoma" w:hAnsi="Tahoma" w:cs="Tahoma"/>
                <w:sz w:val="20"/>
              </w:rPr>
              <w:t>1.18</w:t>
            </w:r>
            <w:r w:rsidR="00631A8C" w:rsidRPr="00631A8C">
              <w:rPr>
                <w:rFonts w:ascii="Tahoma" w:hAnsi="Tahoma" w:cs="Tahoma"/>
                <w:sz w:val="20"/>
                <w:vertAlign w:val="superscript"/>
              </w:rPr>
              <w:t>8</w:t>
            </w:r>
          </w:p>
        </w:tc>
        <w:tc>
          <w:tcPr>
            <w:tcW w:w="1134" w:type="dxa"/>
            <w:vAlign w:val="center"/>
          </w:tcPr>
          <w:p w:rsidR="00244AF8" w:rsidRPr="0014419A" w:rsidRDefault="004A28D5" w:rsidP="004A28D5">
            <w:pPr>
              <w:jc w:val="center"/>
              <w:rPr>
                <w:rFonts w:ascii="Tahoma" w:hAnsi="Tahoma" w:cs="Tahoma"/>
                <w:sz w:val="20"/>
              </w:rPr>
            </w:pPr>
            <w:r>
              <w:rPr>
                <w:rFonts w:ascii="Tahoma" w:hAnsi="Tahoma" w:cs="Tahoma"/>
                <w:sz w:val="20"/>
              </w:rPr>
              <w:t>5 (2</w:t>
            </w:r>
            <w:r w:rsidR="00631A8C" w:rsidRPr="00631A8C">
              <w:rPr>
                <w:rFonts w:ascii="Tahoma" w:hAnsi="Tahoma" w:cs="Tahoma"/>
                <w:sz w:val="20"/>
                <w:vertAlign w:val="superscript"/>
              </w:rPr>
              <w:t>7</w:t>
            </w:r>
            <w:r>
              <w:rPr>
                <w:rFonts w:ascii="Tahoma" w:hAnsi="Tahoma" w:cs="Tahoma"/>
                <w:sz w:val="20"/>
              </w:rPr>
              <w:t>)</w:t>
            </w:r>
          </w:p>
        </w:tc>
        <w:tc>
          <w:tcPr>
            <w:tcW w:w="1191" w:type="dxa"/>
            <w:vAlign w:val="center"/>
          </w:tcPr>
          <w:p w:rsidR="00244AF8" w:rsidRPr="0014419A" w:rsidRDefault="004A28D5" w:rsidP="004A28D5">
            <w:pPr>
              <w:jc w:val="center"/>
              <w:rPr>
                <w:rFonts w:ascii="Tahoma" w:hAnsi="Tahoma" w:cs="Tahoma"/>
                <w:sz w:val="20"/>
              </w:rPr>
            </w:pPr>
            <w:r>
              <w:rPr>
                <w:rFonts w:ascii="Tahoma" w:hAnsi="Tahoma" w:cs="Tahoma"/>
                <w:sz w:val="20"/>
              </w:rPr>
              <w:t>1.35</w:t>
            </w:r>
            <w:r w:rsidR="00631A8C" w:rsidRPr="00631A8C">
              <w:rPr>
                <w:rFonts w:ascii="Tahoma" w:hAnsi="Tahoma" w:cs="Tahoma"/>
                <w:sz w:val="20"/>
                <w:vertAlign w:val="superscript"/>
              </w:rPr>
              <w:t>8</w:t>
            </w:r>
          </w:p>
        </w:tc>
        <w:tc>
          <w:tcPr>
            <w:tcW w:w="1343" w:type="dxa"/>
            <w:vAlign w:val="center"/>
          </w:tcPr>
          <w:p w:rsidR="00244AF8" w:rsidRDefault="00244AF8" w:rsidP="004A28D5">
            <w:pPr>
              <w:spacing w:before="20" w:after="20"/>
              <w:jc w:val="center"/>
              <w:rPr>
                <w:rFonts w:ascii="Tahoma" w:hAnsi="Tahoma" w:cs="Tahoma"/>
                <w:sz w:val="20"/>
              </w:rPr>
            </w:pPr>
            <w:r>
              <w:rPr>
                <w:rFonts w:ascii="Tahoma" w:hAnsi="Tahoma" w:cs="Tahoma"/>
                <w:sz w:val="20"/>
              </w:rPr>
              <w:t>12</w:t>
            </w:r>
          </w:p>
        </w:tc>
        <w:tc>
          <w:tcPr>
            <w:tcW w:w="1375" w:type="dxa"/>
            <w:vAlign w:val="center"/>
          </w:tcPr>
          <w:p w:rsidR="00244AF8" w:rsidRDefault="00244AF8" w:rsidP="004A28D5">
            <w:pPr>
              <w:spacing w:before="20" w:after="20"/>
              <w:jc w:val="center"/>
              <w:rPr>
                <w:rFonts w:ascii="Tahoma" w:hAnsi="Tahoma" w:cs="Tahoma"/>
                <w:sz w:val="20"/>
              </w:rPr>
            </w:pPr>
            <w:r>
              <w:rPr>
                <w:rFonts w:ascii="Tahoma" w:hAnsi="Tahoma" w:cs="Tahoma"/>
                <w:sz w:val="20"/>
              </w:rPr>
              <w:t>1.71</w:t>
            </w:r>
          </w:p>
        </w:tc>
      </w:tr>
    </w:tbl>
    <w:p w:rsidR="00DD1D21" w:rsidRDefault="00DD1D21" w:rsidP="00487D1B">
      <w:pPr>
        <w:rPr>
          <w:rFonts w:ascii="Tahoma" w:hAnsi="Tahoma" w:cs="Tahoma"/>
          <w:sz w:val="22"/>
          <w:szCs w:val="22"/>
        </w:rPr>
      </w:pPr>
    </w:p>
    <w:p w:rsidR="00B25FB7" w:rsidRDefault="00B25FB7" w:rsidP="00BB1FFE">
      <w:pPr>
        <w:numPr>
          <w:ilvl w:val="0"/>
          <w:numId w:val="14"/>
        </w:numPr>
        <w:tabs>
          <w:tab w:val="clear" w:pos="568"/>
          <w:tab w:val="num" w:pos="709"/>
        </w:tabs>
        <w:spacing w:before="100" w:beforeAutospacing="1" w:after="120"/>
        <w:ind w:left="709"/>
        <w:rPr>
          <w:rFonts w:ascii="Tahoma" w:hAnsi="Tahoma" w:cs="Tahoma"/>
          <w:sz w:val="22"/>
          <w:szCs w:val="22"/>
        </w:rPr>
      </w:pPr>
      <w:r>
        <w:rPr>
          <w:rFonts w:ascii="Tahoma" w:hAnsi="Tahoma" w:cs="Tahoma"/>
          <w:sz w:val="22"/>
          <w:szCs w:val="22"/>
        </w:rPr>
        <w:t>There was one Scheme project fatality in the latest biannual reporting period leading to one Scheme project fatality for the 2008-09 financial year.</w:t>
      </w:r>
    </w:p>
    <w:p w:rsidR="009E5FD2" w:rsidRDefault="006460E4" w:rsidP="00BB1FFE">
      <w:pPr>
        <w:numPr>
          <w:ilvl w:val="0"/>
          <w:numId w:val="14"/>
        </w:numPr>
        <w:tabs>
          <w:tab w:val="clear" w:pos="568"/>
          <w:tab w:val="num" w:pos="709"/>
        </w:tabs>
        <w:spacing w:before="100" w:beforeAutospacing="1" w:after="120"/>
        <w:ind w:left="709"/>
        <w:rPr>
          <w:rFonts w:ascii="Tahoma" w:hAnsi="Tahoma" w:cs="Tahoma"/>
          <w:sz w:val="22"/>
          <w:szCs w:val="22"/>
        </w:rPr>
      </w:pPr>
      <w:r>
        <w:rPr>
          <w:rFonts w:ascii="Tahoma" w:hAnsi="Tahoma" w:cs="Tahoma"/>
          <w:sz w:val="22"/>
          <w:szCs w:val="22"/>
        </w:rPr>
        <w:t>N</w:t>
      </w:r>
      <w:r w:rsidR="00B25FB7" w:rsidRPr="001614C9">
        <w:rPr>
          <w:rFonts w:ascii="Tahoma" w:hAnsi="Tahoma" w:cs="Tahoma"/>
          <w:sz w:val="22"/>
          <w:szCs w:val="22"/>
        </w:rPr>
        <w:t xml:space="preserve">on-Scheme project fatalities </w:t>
      </w:r>
      <w:r>
        <w:rPr>
          <w:rFonts w:ascii="Tahoma" w:hAnsi="Tahoma" w:cs="Tahoma"/>
          <w:sz w:val="22"/>
          <w:szCs w:val="22"/>
        </w:rPr>
        <w:t>decreased by one third</w:t>
      </w:r>
      <w:r w:rsidR="00B25FB7" w:rsidRPr="001614C9">
        <w:rPr>
          <w:rFonts w:ascii="Tahoma" w:hAnsi="Tahoma" w:cs="Tahoma"/>
          <w:sz w:val="22"/>
          <w:szCs w:val="22"/>
        </w:rPr>
        <w:t xml:space="preserve"> </w:t>
      </w:r>
      <w:r w:rsidR="00B25FB7">
        <w:rPr>
          <w:rFonts w:ascii="Tahoma" w:hAnsi="Tahoma" w:cs="Tahoma"/>
          <w:sz w:val="22"/>
          <w:szCs w:val="22"/>
        </w:rPr>
        <w:t>b</w:t>
      </w:r>
      <w:r w:rsidR="00B25FB7" w:rsidRPr="001614C9">
        <w:rPr>
          <w:rFonts w:ascii="Tahoma" w:hAnsi="Tahoma" w:cs="Tahoma"/>
          <w:sz w:val="22"/>
          <w:szCs w:val="22"/>
        </w:rPr>
        <w:t xml:space="preserve">etween the </w:t>
      </w:r>
      <w:r w:rsidR="00B25FB7">
        <w:rPr>
          <w:rFonts w:ascii="Tahoma" w:hAnsi="Tahoma" w:cs="Tahoma"/>
          <w:sz w:val="22"/>
          <w:szCs w:val="22"/>
        </w:rPr>
        <w:t>June </w:t>
      </w:r>
      <w:r w:rsidR="00B25FB7" w:rsidRPr="001614C9">
        <w:rPr>
          <w:rFonts w:ascii="Tahoma" w:hAnsi="Tahoma" w:cs="Tahoma"/>
          <w:sz w:val="22"/>
          <w:szCs w:val="22"/>
        </w:rPr>
        <w:t>200</w:t>
      </w:r>
      <w:r w:rsidR="00B25FB7">
        <w:rPr>
          <w:rFonts w:ascii="Tahoma" w:hAnsi="Tahoma" w:cs="Tahoma"/>
          <w:sz w:val="22"/>
          <w:szCs w:val="22"/>
        </w:rPr>
        <w:t>8</w:t>
      </w:r>
      <w:r w:rsidR="00B25FB7" w:rsidRPr="001614C9">
        <w:rPr>
          <w:rFonts w:ascii="Tahoma" w:hAnsi="Tahoma" w:cs="Tahoma"/>
          <w:sz w:val="22"/>
          <w:szCs w:val="22"/>
        </w:rPr>
        <w:t xml:space="preserve"> and </w:t>
      </w:r>
      <w:r w:rsidR="00B25FB7">
        <w:rPr>
          <w:rFonts w:ascii="Tahoma" w:hAnsi="Tahoma" w:cs="Tahoma"/>
          <w:sz w:val="22"/>
          <w:szCs w:val="22"/>
        </w:rPr>
        <w:t>June </w:t>
      </w:r>
      <w:r w:rsidR="00B25FB7" w:rsidRPr="001614C9">
        <w:rPr>
          <w:rFonts w:ascii="Tahoma" w:hAnsi="Tahoma" w:cs="Tahoma"/>
          <w:sz w:val="22"/>
          <w:szCs w:val="22"/>
        </w:rPr>
        <w:t>200</w:t>
      </w:r>
      <w:r w:rsidR="00B25FB7">
        <w:rPr>
          <w:rFonts w:ascii="Tahoma" w:hAnsi="Tahoma" w:cs="Tahoma"/>
          <w:sz w:val="22"/>
          <w:szCs w:val="22"/>
        </w:rPr>
        <w:t>9</w:t>
      </w:r>
      <w:r w:rsidR="00B25FB7" w:rsidRPr="001614C9">
        <w:rPr>
          <w:rFonts w:ascii="Tahoma" w:hAnsi="Tahoma" w:cs="Tahoma"/>
          <w:sz w:val="22"/>
          <w:szCs w:val="22"/>
        </w:rPr>
        <w:t xml:space="preserve"> reporting periods</w:t>
      </w:r>
      <w:r>
        <w:rPr>
          <w:rFonts w:ascii="Tahoma" w:hAnsi="Tahoma" w:cs="Tahoma"/>
          <w:sz w:val="22"/>
          <w:szCs w:val="22"/>
        </w:rPr>
        <w:t xml:space="preserve">. The incidence rate also decreased significantly and </w:t>
      </w:r>
      <w:r w:rsidR="00194427">
        <w:rPr>
          <w:rFonts w:ascii="Tahoma" w:hAnsi="Tahoma" w:cs="Tahoma"/>
          <w:sz w:val="22"/>
          <w:szCs w:val="22"/>
        </w:rPr>
        <w:t>was</w:t>
      </w:r>
      <w:r>
        <w:rPr>
          <w:rFonts w:ascii="Tahoma" w:hAnsi="Tahoma" w:cs="Tahoma"/>
          <w:sz w:val="22"/>
          <w:szCs w:val="22"/>
        </w:rPr>
        <w:t xml:space="preserve"> well below the incidence rate </w:t>
      </w:r>
      <w:r w:rsidR="009E5FD2">
        <w:rPr>
          <w:rFonts w:ascii="Tahoma" w:hAnsi="Tahoma" w:cs="Tahoma"/>
          <w:sz w:val="22"/>
          <w:szCs w:val="22"/>
        </w:rPr>
        <w:t>of</w:t>
      </w:r>
      <w:r w:rsidR="00B92EC4">
        <w:rPr>
          <w:rFonts w:ascii="Tahoma" w:hAnsi="Tahoma" w:cs="Tahoma"/>
          <w:sz w:val="22"/>
          <w:szCs w:val="22"/>
        </w:rPr>
        <w:t xml:space="preserve"> the construction industry overall</w:t>
      </w:r>
      <w:r w:rsidR="0001173E">
        <w:rPr>
          <w:rFonts w:ascii="Tahoma" w:hAnsi="Tahoma" w:cs="Tahoma"/>
          <w:sz w:val="22"/>
          <w:szCs w:val="22"/>
        </w:rPr>
        <w:t>.</w:t>
      </w:r>
    </w:p>
    <w:p w:rsidR="00CC62D6" w:rsidRPr="00CC62D6" w:rsidRDefault="00FE7D34" w:rsidP="00CC62D6">
      <w:pPr>
        <w:numPr>
          <w:ilvl w:val="0"/>
          <w:numId w:val="14"/>
        </w:numPr>
        <w:tabs>
          <w:tab w:val="clear" w:pos="568"/>
          <w:tab w:val="num" w:pos="709"/>
        </w:tabs>
        <w:spacing w:before="100" w:beforeAutospacing="1" w:after="120"/>
        <w:ind w:left="709"/>
        <w:rPr>
          <w:rFonts w:ascii="Tahoma" w:hAnsi="Tahoma" w:cs="Tahoma"/>
          <w:sz w:val="22"/>
          <w:szCs w:val="22"/>
        </w:rPr>
      </w:pPr>
      <w:r>
        <w:rPr>
          <w:rFonts w:ascii="Tahoma" w:hAnsi="Tahoma" w:cs="Tahoma"/>
          <w:sz w:val="22"/>
          <w:szCs w:val="22"/>
        </w:rPr>
        <w:t xml:space="preserve">The fatalities incidence rates for all projects undertaken by accredited contractors are generally well </w:t>
      </w:r>
      <w:r>
        <w:rPr>
          <w:rFonts w:ascii="Tahoma" w:hAnsi="Tahoma" w:cs="Tahoma"/>
          <w:sz w:val="22"/>
          <w:szCs w:val="22"/>
        </w:rPr>
        <w:lastRenderedPageBreak/>
        <w:t xml:space="preserve">below those </w:t>
      </w:r>
      <w:r w:rsidR="00106E78">
        <w:rPr>
          <w:rFonts w:ascii="Tahoma" w:hAnsi="Tahoma" w:cs="Tahoma"/>
          <w:sz w:val="22"/>
          <w:szCs w:val="22"/>
        </w:rPr>
        <w:t>of</w:t>
      </w:r>
      <w:r>
        <w:rPr>
          <w:rFonts w:ascii="Tahoma" w:hAnsi="Tahoma" w:cs="Tahoma"/>
          <w:sz w:val="22"/>
          <w:szCs w:val="22"/>
        </w:rPr>
        <w:t xml:space="preserve"> the construction industry </w:t>
      </w:r>
      <w:r w:rsidR="00FC0E0F">
        <w:rPr>
          <w:rFonts w:ascii="Tahoma" w:hAnsi="Tahoma" w:cs="Tahoma"/>
          <w:sz w:val="22"/>
          <w:szCs w:val="22"/>
        </w:rPr>
        <w:t>for all biannual periods.</w:t>
      </w:r>
    </w:p>
    <w:p w:rsidR="00787DF9" w:rsidRPr="007A5319" w:rsidRDefault="00787DF9" w:rsidP="00CE7244">
      <w:pPr>
        <w:pStyle w:val="Heading2"/>
        <w:spacing w:before="120" w:after="120"/>
        <w:ind w:left="578" w:hanging="578"/>
      </w:pPr>
      <w:bookmarkStart w:id="16" w:name="_Toc246296851"/>
      <w:r w:rsidRPr="007A5319">
        <w:t>Injury frequency rates</w:t>
      </w:r>
      <w:bookmarkEnd w:id="16"/>
    </w:p>
    <w:p w:rsidR="00E137D2" w:rsidRPr="00CC62D6" w:rsidRDefault="00787DF9" w:rsidP="00E137D2">
      <w:pPr>
        <w:pStyle w:val="Heading3"/>
        <w:spacing w:before="120" w:after="120"/>
        <w:rPr>
          <w:bCs w:val="0"/>
        </w:rPr>
      </w:pPr>
      <w:bookmarkStart w:id="17" w:name="_Toc246296852"/>
      <w:r w:rsidRPr="00647029">
        <w:rPr>
          <w:rStyle w:val="Heading3Char"/>
          <w:b/>
        </w:rPr>
        <w:t xml:space="preserve">Lost </w:t>
      </w:r>
      <w:r w:rsidR="000A413B" w:rsidRPr="00647029">
        <w:rPr>
          <w:rStyle w:val="Heading3Char"/>
          <w:b/>
        </w:rPr>
        <w:t>T</w:t>
      </w:r>
      <w:r w:rsidRPr="00647029">
        <w:rPr>
          <w:rStyle w:val="Heading3Char"/>
          <w:b/>
        </w:rPr>
        <w:t xml:space="preserve">ime </w:t>
      </w:r>
      <w:r w:rsidR="000A413B" w:rsidRPr="00647029">
        <w:rPr>
          <w:rStyle w:val="Heading3Char"/>
          <w:b/>
        </w:rPr>
        <w:t>I</w:t>
      </w:r>
      <w:r w:rsidRPr="00647029">
        <w:rPr>
          <w:rStyle w:val="Heading3Char"/>
          <w:b/>
        </w:rPr>
        <w:t xml:space="preserve">njury </w:t>
      </w:r>
      <w:r w:rsidR="000A413B" w:rsidRPr="00647029">
        <w:rPr>
          <w:rStyle w:val="Heading3Char"/>
          <w:b/>
        </w:rPr>
        <w:t>F</w:t>
      </w:r>
      <w:r w:rsidRPr="00647029">
        <w:rPr>
          <w:rStyle w:val="Heading3Char"/>
          <w:b/>
        </w:rPr>
        <w:t xml:space="preserve">requency </w:t>
      </w:r>
      <w:r w:rsidR="000A413B" w:rsidRPr="00647029">
        <w:rPr>
          <w:rStyle w:val="Heading3Char"/>
          <w:b/>
        </w:rPr>
        <w:t>R</w:t>
      </w:r>
      <w:r w:rsidRPr="00647029">
        <w:rPr>
          <w:rStyle w:val="Heading3Char"/>
          <w:b/>
        </w:rPr>
        <w:t>ate (LTIFR)</w:t>
      </w:r>
      <w:bookmarkEnd w:id="17"/>
    </w:p>
    <w:tbl>
      <w:tblPr>
        <w:tblStyle w:val="TableGrid"/>
        <w:tblW w:w="9244" w:type="dxa"/>
        <w:jc w:val="center"/>
        <w:tblLayout w:type="fixed"/>
        <w:tblLook w:val="01E0" w:firstRow="1" w:lastRow="1" w:firstColumn="1" w:lastColumn="1" w:noHBand="0" w:noVBand="0"/>
      </w:tblPr>
      <w:tblGrid>
        <w:gridCol w:w="1588"/>
        <w:gridCol w:w="1276"/>
        <w:gridCol w:w="1276"/>
        <w:gridCol w:w="1276"/>
        <w:gridCol w:w="1276"/>
        <w:gridCol w:w="1276"/>
        <w:gridCol w:w="1276"/>
      </w:tblGrid>
      <w:tr w:rsidR="00787DF9" w:rsidRPr="003F2F98" w:rsidTr="004015B8">
        <w:trPr>
          <w:jc w:val="center"/>
        </w:trPr>
        <w:tc>
          <w:tcPr>
            <w:tcW w:w="1588" w:type="dxa"/>
            <w:noWrap/>
            <w:tcMar>
              <w:left w:w="57" w:type="dxa"/>
              <w:right w:w="57" w:type="dxa"/>
            </w:tcMar>
            <w:vAlign w:val="bottom"/>
          </w:tcPr>
          <w:p w:rsidR="00787DF9" w:rsidRPr="003F2F98" w:rsidRDefault="004015B8" w:rsidP="004015B8">
            <w:pPr>
              <w:jc w:val="center"/>
              <w:rPr>
                <w:rFonts w:ascii="Tahoma" w:hAnsi="Tahoma" w:cs="Tahoma"/>
                <w:b/>
                <w:sz w:val="20"/>
              </w:rPr>
            </w:pPr>
            <w:r>
              <w:rPr>
                <w:rFonts w:ascii="Tahoma" w:hAnsi="Tahoma" w:cs="Tahoma"/>
                <w:b/>
                <w:sz w:val="20"/>
              </w:rPr>
              <w:t>Period</w:t>
            </w:r>
          </w:p>
        </w:tc>
        <w:tc>
          <w:tcPr>
            <w:tcW w:w="1276" w:type="dxa"/>
            <w:noWrap/>
            <w:tcMar>
              <w:left w:w="57" w:type="dxa"/>
              <w:right w:w="57" w:type="dxa"/>
            </w:tcMar>
            <w:vAlign w:val="bottom"/>
          </w:tcPr>
          <w:p w:rsidR="00787DF9" w:rsidRPr="003F2F98" w:rsidRDefault="004015B8" w:rsidP="00763CF7">
            <w:pPr>
              <w:jc w:val="center"/>
              <w:rPr>
                <w:rFonts w:ascii="Tahoma" w:hAnsi="Tahoma" w:cs="Tahoma"/>
                <w:b/>
                <w:sz w:val="20"/>
              </w:rPr>
            </w:pPr>
            <w:r>
              <w:rPr>
                <w:rFonts w:ascii="Tahoma" w:hAnsi="Tahoma" w:cs="Tahoma"/>
                <w:b/>
                <w:sz w:val="20"/>
              </w:rPr>
              <w:t xml:space="preserve">LTIFR </w:t>
            </w:r>
            <w:r w:rsidR="00787DF9" w:rsidRPr="003F2F98">
              <w:rPr>
                <w:rFonts w:ascii="Tahoma" w:hAnsi="Tahoma" w:cs="Tahoma"/>
                <w:b/>
                <w:sz w:val="20"/>
              </w:rPr>
              <w:t>Median</w:t>
            </w:r>
            <w:r>
              <w:rPr>
                <w:rFonts w:ascii="Tahoma" w:hAnsi="Tahoma" w:cs="Tahoma"/>
                <w:b/>
                <w:sz w:val="20"/>
              </w:rPr>
              <w:t xml:space="preserve"> on Scheme projects</w:t>
            </w:r>
          </w:p>
        </w:tc>
        <w:tc>
          <w:tcPr>
            <w:tcW w:w="1276" w:type="dxa"/>
            <w:noWrap/>
            <w:tcMar>
              <w:left w:w="57" w:type="dxa"/>
              <w:right w:w="57" w:type="dxa"/>
            </w:tcMar>
            <w:vAlign w:val="bottom"/>
          </w:tcPr>
          <w:p w:rsidR="00787DF9" w:rsidRPr="003F2F98" w:rsidRDefault="004015B8" w:rsidP="00763CF7">
            <w:pPr>
              <w:jc w:val="center"/>
              <w:rPr>
                <w:rFonts w:ascii="Tahoma" w:hAnsi="Tahoma" w:cs="Tahoma"/>
                <w:b/>
                <w:sz w:val="20"/>
              </w:rPr>
            </w:pPr>
            <w:r>
              <w:rPr>
                <w:rFonts w:ascii="Tahoma" w:hAnsi="Tahoma" w:cs="Tahoma"/>
                <w:b/>
                <w:sz w:val="20"/>
              </w:rPr>
              <w:t xml:space="preserve">LTIFR </w:t>
            </w:r>
            <w:r w:rsidR="00787DF9" w:rsidRPr="003F2F98">
              <w:rPr>
                <w:rFonts w:ascii="Tahoma" w:hAnsi="Tahoma" w:cs="Tahoma"/>
                <w:b/>
                <w:sz w:val="20"/>
              </w:rPr>
              <w:t>Arithmetic</w:t>
            </w:r>
          </w:p>
          <w:p w:rsidR="00787DF9" w:rsidRPr="003F2F98" w:rsidRDefault="004015B8" w:rsidP="00763CF7">
            <w:pPr>
              <w:jc w:val="center"/>
              <w:rPr>
                <w:rFonts w:ascii="Tahoma" w:hAnsi="Tahoma" w:cs="Tahoma"/>
                <w:b/>
                <w:sz w:val="20"/>
              </w:rPr>
            </w:pPr>
            <w:r w:rsidRPr="003F2F98">
              <w:rPr>
                <w:rFonts w:ascii="Tahoma" w:hAnsi="Tahoma" w:cs="Tahoma"/>
                <w:b/>
                <w:sz w:val="20"/>
              </w:rPr>
              <w:t>M</w:t>
            </w:r>
            <w:r w:rsidR="00787DF9" w:rsidRPr="003F2F98">
              <w:rPr>
                <w:rFonts w:ascii="Tahoma" w:hAnsi="Tahoma" w:cs="Tahoma"/>
                <w:b/>
                <w:sz w:val="20"/>
              </w:rPr>
              <w:t>ean</w:t>
            </w:r>
            <w:r>
              <w:rPr>
                <w:rFonts w:ascii="Tahoma" w:hAnsi="Tahoma" w:cs="Tahoma"/>
                <w:b/>
                <w:sz w:val="20"/>
              </w:rPr>
              <w:t xml:space="preserve"> on Scheme projects</w:t>
            </w:r>
          </w:p>
        </w:tc>
        <w:tc>
          <w:tcPr>
            <w:tcW w:w="1276" w:type="dxa"/>
            <w:noWrap/>
            <w:tcMar>
              <w:left w:w="57" w:type="dxa"/>
              <w:right w:w="57" w:type="dxa"/>
            </w:tcMar>
            <w:vAlign w:val="bottom"/>
          </w:tcPr>
          <w:p w:rsidR="00787DF9" w:rsidRPr="003F2F98" w:rsidRDefault="004015B8" w:rsidP="00763CF7">
            <w:pPr>
              <w:jc w:val="center"/>
              <w:rPr>
                <w:rFonts w:ascii="Tahoma" w:hAnsi="Tahoma" w:cs="Tahoma"/>
                <w:b/>
                <w:sz w:val="20"/>
              </w:rPr>
            </w:pPr>
            <w:r>
              <w:rPr>
                <w:rFonts w:ascii="Tahoma" w:hAnsi="Tahoma" w:cs="Tahoma"/>
                <w:b/>
                <w:sz w:val="20"/>
              </w:rPr>
              <w:t xml:space="preserve">LTIFR </w:t>
            </w:r>
            <w:r w:rsidR="00787DF9" w:rsidRPr="003F2F98">
              <w:rPr>
                <w:rFonts w:ascii="Tahoma" w:hAnsi="Tahoma" w:cs="Tahoma"/>
                <w:b/>
                <w:sz w:val="20"/>
              </w:rPr>
              <w:t>Winsorized</w:t>
            </w:r>
          </w:p>
          <w:p w:rsidR="00787DF9" w:rsidRPr="003F2F98" w:rsidRDefault="004015B8" w:rsidP="00763CF7">
            <w:pPr>
              <w:jc w:val="center"/>
              <w:rPr>
                <w:rFonts w:ascii="Tahoma" w:hAnsi="Tahoma" w:cs="Tahoma"/>
                <w:b/>
                <w:sz w:val="20"/>
              </w:rPr>
            </w:pPr>
            <w:r w:rsidRPr="003F2F98">
              <w:rPr>
                <w:rFonts w:ascii="Tahoma" w:hAnsi="Tahoma" w:cs="Tahoma"/>
                <w:b/>
                <w:sz w:val="20"/>
              </w:rPr>
              <w:t>M</w:t>
            </w:r>
            <w:r w:rsidR="00787DF9" w:rsidRPr="003F2F98">
              <w:rPr>
                <w:rFonts w:ascii="Tahoma" w:hAnsi="Tahoma" w:cs="Tahoma"/>
                <w:b/>
                <w:sz w:val="20"/>
              </w:rPr>
              <w:t>ean</w:t>
            </w:r>
            <w:r>
              <w:rPr>
                <w:rFonts w:ascii="Tahoma" w:hAnsi="Tahoma" w:cs="Tahoma"/>
                <w:b/>
                <w:sz w:val="20"/>
              </w:rPr>
              <w:t xml:space="preserve"> on Scheme projects</w:t>
            </w:r>
          </w:p>
        </w:tc>
        <w:tc>
          <w:tcPr>
            <w:tcW w:w="1276" w:type="dxa"/>
            <w:noWrap/>
            <w:tcMar>
              <w:left w:w="57" w:type="dxa"/>
              <w:right w:w="57" w:type="dxa"/>
            </w:tcMar>
            <w:vAlign w:val="bottom"/>
          </w:tcPr>
          <w:p w:rsidR="00787DF9" w:rsidRPr="003F2F98" w:rsidRDefault="004015B8" w:rsidP="00763CF7">
            <w:pPr>
              <w:jc w:val="center"/>
              <w:rPr>
                <w:rFonts w:ascii="Tahoma" w:hAnsi="Tahoma" w:cs="Tahoma"/>
                <w:b/>
                <w:sz w:val="20"/>
              </w:rPr>
            </w:pPr>
            <w:r>
              <w:rPr>
                <w:rFonts w:ascii="Tahoma" w:hAnsi="Tahoma" w:cs="Tahoma"/>
                <w:b/>
                <w:sz w:val="20"/>
              </w:rPr>
              <w:t xml:space="preserve">LTIFR </w:t>
            </w:r>
            <w:r w:rsidR="00787DF9" w:rsidRPr="003F2F98">
              <w:rPr>
                <w:rFonts w:ascii="Tahoma" w:hAnsi="Tahoma" w:cs="Tahoma"/>
                <w:b/>
                <w:sz w:val="20"/>
              </w:rPr>
              <w:t>Median</w:t>
            </w:r>
            <w:r>
              <w:rPr>
                <w:rFonts w:ascii="Tahoma" w:hAnsi="Tahoma" w:cs="Tahoma"/>
                <w:b/>
                <w:sz w:val="20"/>
              </w:rPr>
              <w:t xml:space="preserve"> on Non-Scheme projects</w:t>
            </w:r>
          </w:p>
        </w:tc>
        <w:tc>
          <w:tcPr>
            <w:tcW w:w="1276" w:type="dxa"/>
            <w:noWrap/>
            <w:tcMar>
              <w:left w:w="57" w:type="dxa"/>
              <w:right w:w="57" w:type="dxa"/>
            </w:tcMar>
            <w:vAlign w:val="bottom"/>
          </w:tcPr>
          <w:p w:rsidR="00787DF9" w:rsidRPr="003F2F98" w:rsidRDefault="004015B8" w:rsidP="00763CF7">
            <w:pPr>
              <w:jc w:val="center"/>
              <w:rPr>
                <w:rFonts w:ascii="Tahoma" w:hAnsi="Tahoma" w:cs="Tahoma"/>
                <w:b/>
                <w:sz w:val="20"/>
              </w:rPr>
            </w:pPr>
            <w:r>
              <w:rPr>
                <w:rFonts w:ascii="Tahoma" w:hAnsi="Tahoma" w:cs="Tahoma"/>
                <w:b/>
                <w:sz w:val="20"/>
              </w:rPr>
              <w:t xml:space="preserve">LTIFR </w:t>
            </w:r>
            <w:r w:rsidR="00787DF9" w:rsidRPr="003F2F98">
              <w:rPr>
                <w:rFonts w:ascii="Tahoma" w:hAnsi="Tahoma" w:cs="Tahoma"/>
                <w:b/>
                <w:sz w:val="20"/>
              </w:rPr>
              <w:t>Arithmetic</w:t>
            </w:r>
          </w:p>
          <w:p w:rsidR="00787DF9" w:rsidRPr="003F2F98" w:rsidRDefault="004015B8" w:rsidP="00763CF7">
            <w:pPr>
              <w:jc w:val="center"/>
              <w:rPr>
                <w:rFonts w:ascii="Tahoma" w:hAnsi="Tahoma" w:cs="Tahoma"/>
                <w:b/>
                <w:sz w:val="20"/>
              </w:rPr>
            </w:pPr>
            <w:r w:rsidRPr="003F2F98">
              <w:rPr>
                <w:rFonts w:ascii="Tahoma" w:hAnsi="Tahoma" w:cs="Tahoma"/>
                <w:b/>
                <w:sz w:val="20"/>
              </w:rPr>
              <w:t>M</w:t>
            </w:r>
            <w:r w:rsidR="00787DF9" w:rsidRPr="003F2F98">
              <w:rPr>
                <w:rFonts w:ascii="Tahoma" w:hAnsi="Tahoma" w:cs="Tahoma"/>
                <w:b/>
                <w:sz w:val="20"/>
              </w:rPr>
              <w:t>ean</w:t>
            </w:r>
            <w:r>
              <w:rPr>
                <w:rFonts w:ascii="Tahoma" w:hAnsi="Tahoma" w:cs="Tahoma"/>
                <w:b/>
                <w:sz w:val="20"/>
              </w:rPr>
              <w:t xml:space="preserve"> on Non-Scheme projects</w:t>
            </w:r>
          </w:p>
        </w:tc>
        <w:tc>
          <w:tcPr>
            <w:tcW w:w="1276" w:type="dxa"/>
            <w:noWrap/>
            <w:tcMar>
              <w:left w:w="57" w:type="dxa"/>
              <w:right w:w="57" w:type="dxa"/>
            </w:tcMar>
            <w:vAlign w:val="bottom"/>
          </w:tcPr>
          <w:p w:rsidR="00787DF9" w:rsidRPr="003F2F98" w:rsidRDefault="004015B8" w:rsidP="00763CF7">
            <w:pPr>
              <w:jc w:val="center"/>
              <w:rPr>
                <w:rFonts w:ascii="Tahoma" w:hAnsi="Tahoma" w:cs="Tahoma"/>
                <w:b/>
                <w:sz w:val="20"/>
              </w:rPr>
            </w:pPr>
            <w:r>
              <w:rPr>
                <w:rFonts w:ascii="Tahoma" w:hAnsi="Tahoma" w:cs="Tahoma"/>
                <w:b/>
                <w:sz w:val="20"/>
              </w:rPr>
              <w:t xml:space="preserve">LTIFR </w:t>
            </w:r>
            <w:r w:rsidR="00787DF9" w:rsidRPr="003F2F98">
              <w:rPr>
                <w:rFonts w:ascii="Tahoma" w:hAnsi="Tahoma" w:cs="Tahoma"/>
                <w:b/>
                <w:sz w:val="20"/>
              </w:rPr>
              <w:t>Winsorized</w:t>
            </w:r>
          </w:p>
          <w:p w:rsidR="00787DF9" w:rsidRPr="003F2F98" w:rsidRDefault="004015B8" w:rsidP="00763CF7">
            <w:pPr>
              <w:jc w:val="center"/>
              <w:rPr>
                <w:rFonts w:ascii="Tahoma" w:hAnsi="Tahoma" w:cs="Tahoma"/>
                <w:b/>
                <w:sz w:val="20"/>
              </w:rPr>
            </w:pPr>
            <w:r w:rsidRPr="003F2F98">
              <w:rPr>
                <w:rFonts w:ascii="Tahoma" w:hAnsi="Tahoma" w:cs="Tahoma"/>
                <w:b/>
                <w:sz w:val="20"/>
              </w:rPr>
              <w:t>M</w:t>
            </w:r>
            <w:r w:rsidR="00787DF9" w:rsidRPr="003F2F98">
              <w:rPr>
                <w:rFonts w:ascii="Tahoma" w:hAnsi="Tahoma" w:cs="Tahoma"/>
                <w:b/>
                <w:sz w:val="20"/>
              </w:rPr>
              <w:t>ean</w:t>
            </w:r>
            <w:r>
              <w:rPr>
                <w:rFonts w:ascii="Tahoma" w:hAnsi="Tahoma" w:cs="Tahoma"/>
                <w:b/>
                <w:sz w:val="20"/>
              </w:rPr>
              <w:t xml:space="preserve"> on Non-Scheme projects</w:t>
            </w:r>
          </w:p>
        </w:tc>
      </w:tr>
      <w:tr w:rsidR="00787DF9" w:rsidRPr="003F2F98" w:rsidTr="004015B8">
        <w:trPr>
          <w:jc w:val="center"/>
        </w:trPr>
        <w:tc>
          <w:tcPr>
            <w:tcW w:w="1588"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Jul to Dec 2007</w:t>
            </w:r>
          </w:p>
        </w:tc>
        <w:tc>
          <w:tcPr>
            <w:tcW w:w="1276"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0</w:t>
            </w:r>
            <w:r>
              <w:rPr>
                <w:rFonts w:ascii="Tahoma" w:hAnsi="Tahoma" w:cs="Tahoma"/>
                <w:sz w:val="20"/>
              </w:rPr>
              <w:t>.00</w:t>
            </w:r>
          </w:p>
        </w:tc>
        <w:tc>
          <w:tcPr>
            <w:tcW w:w="1276" w:type="dxa"/>
            <w:noWrap/>
            <w:tcMar>
              <w:left w:w="57" w:type="dxa"/>
              <w:right w:w="57" w:type="dxa"/>
            </w:tcMar>
            <w:vAlign w:val="bottom"/>
          </w:tcPr>
          <w:p w:rsidR="00787DF9" w:rsidRPr="003F2F98" w:rsidRDefault="00C119E1" w:rsidP="00217218">
            <w:pPr>
              <w:spacing w:before="20" w:after="20"/>
              <w:jc w:val="center"/>
              <w:rPr>
                <w:rFonts w:ascii="Tahoma" w:hAnsi="Tahoma" w:cs="Tahoma"/>
                <w:sz w:val="20"/>
              </w:rPr>
            </w:pPr>
            <w:r>
              <w:rPr>
                <w:rFonts w:ascii="Tahoma" w:hAnsi="Tahoma" w:cs="Tahoma"/>
                <w:sz w:val="20"/>
              </w:rPr>
              <w:t>6.94</w:t>
            </w:r>
          </w:p>
        </w:tc>
        <w:tc>
          <w:tcPr>
            <w:tcW w:w="1276" w:type="dxa"/>
            <w:noWrap/>
            <w:tcMar>
              <w:left w:w="57" w:type="dxa"/>
              <w:right w:w="57" w:type="dxa"/>
            </w:tcMar>
            <w:vAlign w:val="bottom"/>
          </w:tcPr>
          <w:p w:rsidR="00787DF9" w:rsidRPr="003F2F98" w:rsidRDefault="00787DF9" w:rsidP="00217218">
            <w:pPr>
              <w:jc w:val="center"/>
              <w:rPr>
                <w:rFonts w:ascii="Tahoma" w:hAnsi="Tahoma" w:cs="Tahoma"/>
                <w:sz w:val="20"/>
              </w:rPr>
            </w:pPr>
            <w:r>
              <w:rPr>
                <w:rFonts w:ascii="Tahoma" w:hAnsi="Tahoma" w:cs="Tahoma"/>
                <w:sz w:val="20"/>
              </w:rPr>
              <w:t>4.04</w:t>
            </w:r>
          </w:p>
        </w:tc>
        <w:tc>
          <w:tcPr>
            <w:tcW w:w="1276"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4.</w:t>
            </w:r>
            <w:r w:rsidR="00C119E1">
              <w:rPr>
                <w:rFonts w:ascii="Tahoma" w:hAnsi="Tahoma" w:cs="Tahoma"/>
                <w:sz w:val="20"/>
              </w:rPr>
              <w:t>65</w:t>
            </w:r>
          </w:p>
        </w:tc>
        <w:tc>
          <w:tcPr>
            <w:tcW w:w="1276" w:type="dxa"/>
            <w:noWrap/>
            <w:tcMar>
              <w:left w:w="57" w:type="dxa"/>
              <w:right w:w="57" w:type="dxa"/>
            </w:tcMar>
            <w:vAlign w:val="bottom"/>
          </w:tcPr>
          <w:p w:rsidR="00787DF9" w:rsidRPr="003F2F98" w:rsidRDefault="00C119E1" w:rsidP="00217218">
            <w:pPr>
              <w:spacing w:before="20" w:after="20"/>
              <w:jc w:val="center"/>
              <w:rPr>
                <w:rFonts w:ascii="Tahoma" w:hAnsi="Tahoma" w:cs="Tahoma"/>
                <w:sz w:val="20"/>
              </w:rPr>
            </w:pPr>
            <w:r>
              <w:rPr>
                <w:rFonts w:ascii="Tahoma" w:hAnsi="Tahoma" w:cs="Tahoma"/>
                <w:sz w:val="20"/>
              </w:rPr>
              <w:t>10.06</w:t>
            </w:r>
          </w:p>
        </w:tc>
        <w:tc>
          <w:tcPr>
            <w:tcW w:w="1276" w:type="dxa"/>
            <w:noWrap/>
            <w:tcMar>
              <w:left w:w="57" w:type="dxa"/>
              <w:right w:w="57" w:type="dxa"/>
            </w:tcMar>
            <w:vAlign w:val="bottom"/>
          </w:tcPr>
          <w:p w:rsidR="00787DF9" w:rsidRPr="003F2F98" w:rsidRDefault="00787DF9" w:rsidP="00217218">
            <w:pPr>
              <w:jc w:val="center"/>
              <w:rPr>
                <w:rFonts w:ascii="Tahoma" w:hAnsi="Tahoma" w:cs="Tahoma"/>
                <w:sz w:val="20"/>
              </w:rPr>
            </w:pPr>
            <w:r>
              <w:rPr>
                <w:rFonts w:ascii="Tahoma" w:hAnsi="Tahoma" w:cs="Tahoma"/>
                <w:sz w:val="20"/>
              </w:rPr>
              <w:t>7.52</w:t>
            </w:r>
          </w:p>
        </w:tc>
      </w:tr>
      <w:tr w:rsidR="00787DF9" w:rsidRPr="003F2F98" w:rsidTr="004015B8">
        <w:trPr>
          <w:jc w:val="center"/>
        </w:trPr>
        <w:tc>
          <w:tcPr>
            <w:tcW w:w="1588"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Jan to Jun 2008</w:t>
            </w:r>
          </w:p>
        </w:tc>
        <w:tc>
          <w:tcPr>
            <w:tcW w:w="1276"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0</w:t>
            </w:r>
            <w:r>
              <w:rPr>
                <w:rFonts w:ascii="Tahoma" w:hAnsi="Tahoma" w:cs="Tahoma"/>
                <w:sz w:val="20"/>
              </w:rPr>
              <w:t>.00</w:t>
            </w:r>
          </w:p>
        </w:tc>
        <w:tc>
          <w:tcPr>
            <w:tcW w:w="1276"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9.24</w:t>
            </w:r>
          </w:p>
        </w:tc>
        <w:tc>
          <w:tcPr>
            <w:tcW w:w="1276" w:type="dxa"/>
            <w:noWrap/>
            <w:tcMar>
              <w:left w:w="57" w:type="dxa"/>
              <w:right w:w="57" w:type="dxa"/>
            </w:tcMar>
            <w:vAlign w:val="bottom"/>
          </w:tcPr>
          <w:p w:rsidR="00787DF9" w:rsidRPr="003F2F98" w:rsidRDefault="00787DF9" w:rsidP="00217218">
            <w:pPr>
              <w:jc w:val="center"/>
              <w:rPr>
                <w:rFonts w:ascii="Tahoma" w:hAnsi="Tahoma" w:cs="Tahoma"/>
                <w:sz w:val="20"/>
              </w:rPr>
            </w:pPr>
            <w:r>
              <w:rPr>
                <w:rFonts w:ascii="Tahoma" w:hAnsi="Tahoma" w:cs="Tahoma"/>
                <w:sz w:val="20"/>
              </w:rPr>
              <w:t>8.72</w:t>
            </w:r>
          </w:p>
        </w:tc>
        <w:tc>
          <w:tcPr>
            <w:tcW w:w="1276"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4.95</w:t>
            </w:r>
          </w:p>
        </w:tc>
        <w:tc>
          <w:tcPr>
            <w:tcW w:w="1276"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10.41</w:t>
            </w:r>
          </w:p>
        </w:tc>
        <w:tc>
          <w:tcPr>
            <w:tcW w:w="1276" w:type="dxa"/>
            <w:noWrap/>
            <w:tcMar>
              <w:left w:w="57" w:type="dxa"/>
              <w:right w:w="57" w:type="dxa"/>
            </w:tcMar>
            <w:vAlign w:val="bottom"/>
          </w:tcPr>
          <w:p w:rsidR="00787DF9" w:rsidRPr="003F2F98" w:rsidRDefault="00787DF9" w:rsidP="00217218">
            <w:pPr>
              <w:jc w:val="center"/>
              <w:rPr>
                <w:rFonts w:ascii="Tahoma" w:hAnsi="Tahoma" w:cs="Tahoma"/>
                <w:sz w:val="20"/>
              </w:rPr>
            </w:pPr>
            <w:r>
              <w:rPr>
                <w:rFonts w:ascii="Tahoma" w:hAnsi="Tahoma" w:cs="Tahoma"/>
                <w:sz w:val="20"/>
              </w:rPr>
              <w:t>9.05</w:t>
            </w:r>
          </w:p>
        </w:tc>
      </w:tr>
      <w:tr w:rsidR="00787DF9" w:rsidRPr="003F2F98" w:rsidTr="004015B8">
        <w:trPr>
          <w:jc w:val="center"/>
        </w:trPr>
        <w:tc>
          <w:tcPr>
            <w:tcW w:w="1588"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Jul to Dec 2008</w:t>
            </w:r>
          </w:p>
        </w:tc>
        <w:tc>
          <w:tcPr>
            <w:tcW w:w="1276"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0</w:t>
            </w:r>
            <w:r>
              <w:rPr>
                <w:rFonts w:ascii="Tahoma" w:hAnsi="Tahoma" w:cs="Tahoma"/>
                <w:sz w:val="20"/>
              </w:rPr>
              <w:t>.00</w:t>
            </w:r>
          </w:p>
        </w:tc>
        <w:tc>
          <w:tcPr>
            <w:tcW w:w="1276"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7.44</w:t>
            </w:r>
          </w:p>
        </w:tc>
        <w:tc>
          <w:tcPr>
            <w:tcW w:w="1276" w:type="dxa"/>
            <w:noWrap/>
            <w:tcMar>
              <w:left w:w="57" w:type="dxa"/>
              <w:right w:w="57" w:type="dxa"/>
            </w:tcMar>
            <w:vAlign w:val="bottom"/>
          </w:tcPr>
          <w:p w:rsidR="00787DF9" w:rsidRPr="003F2F98" w:rsidRDefault="00787DF9" w:rsidP="00217218">
            <w:pPr>
              <w:jc w:val="center"/>
              <w:rPr>
                <w:rFonts w:ascii="Tahoma" w:hAnsi="Tahoma" w:cs="Tahoma"/>
                <w:sz w:val="20"/>
              </w:rPr>
            </w:pPr>
            <w:r>
              <w:rPr>
                <w:rFonts w:ascii="Tahoma" w:hAnsi="Tahoma" w:cs="Tahoma"/>
                <w:sz w:val="20"/>
              </w:rPr>
              <w:t>6.21</w:t>
            </w:r>
          </w:p>
        </w:tc>
        <w:tc>
          <w:tcPr>
            <w:tcW w:w="1276"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4.65</w:t>
            </w:r>
          </w:p>
        </w:tc>
        <w:tc>
          <w:tcPr>
            <w:tcW w:w="1276"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12.22</w:t>
            </w:r>
          </w:p>
        </w:tc>
        <w:tc>
          <w:tcPr>
            <w:tcW w:w="1276" w:type="dxa"/>
            <w:noWrap/>
            <w:tcMar>
              <w:left w:w="57" w:type="dxa"/>
              <w:right w:w="57" w:type="dxa"/>
            </w:tcMar>
            <w:vAlign w:val="bottom"/>
          </w:tcPr>
          <w:p w:rsidR="00787DF9" w:rsidRPr="003F2F98" w:rsidRDefault="00787DF9" w:rsidP="00217218">
            <w:pPr>
              <w:jc w:val="center"/>
              <w:rPr>
                <w:rFonts w:ascii="Tahoma" w:hAnsi="Tahoma" w:cs="Tahoma"/>
                <w:sz w:val="20"/>
              </w:rPr>
            </w:pPr>
            <w:r>
              <w:rPr>
                <w:rFonts w:ascii="Tahoma" w:hAnsi="Tahoma" w:cs="Tahoma"/>
                <w:sz w:val="20"/>
              </w:rPr>
              <w:t>7.36</w:t>
            </w:r>
          </w:p>
        </w:tc>
      </w:tr>
      <w:tr w:rsidR="00C119E1" w:rsidRPr="003F2F98" w:rsidTr="004015B8">
        <w:trPr>
          <w:jc w:val="center"/>
        </w:trPr>
        <w:tc>
          <w:tcPr>
            <w:tcW w:w="1588" w:type="dxa"/>
            <w:noWrap/>
            <w:tcMar>
              <w:left w:w="57" w:type="dxa"/>
              <w:right w:w="57" w:type="dxa"/>
            </w:tcMar>
            <w:vAlign w:val="bottom"/>
          </w:tcPr>
          <w:p w:rsidR="00C119E1" w:rsidRPr="003F2F98" w:rsidRDefault="00C119E1" w:rsidP="00217218">
            <w:pPr>
              <w:spacing w:before="20" w:after="20"/>
              <w:jc w:val="center"/>
              <w:rPr>
                <w:rFonts w:ascii="Tahoma" w:hAnsi="Tahoma" w:cs="Tahoma"/>
                <w:sz w:val="20"/>
              </w:rPr>
            </w:pPr>
            <w:r w:rsidRPr="003F2F98">
              <w:rPr>
                <w:rFonts w:ascii="Tahoma" w:hAnsi="Tahoma" w:cs="Tahoma"/>
                <w:sz w:val="20"/>
              </w:rPr>
              <w:t>Jan to Jun 200</w:t>
            </w:r>
            <w:r>
              <w:rPr>
                <w:rFonts w:ascii="Tahoma" w:hAnsi="Tahoma" w:cs="Tahoma"/>
                <w:sz w:val="20"/>
              </w:rPr>
              <w:t>9</w:t>
            </w:r>
          </w:p>
        </w:tc>
        <w:tc>
          <w:tcPr>
            <w:tcW w:w="1276" w:type="dxa"/>
            <w:noWrap/>
            <w:tcMar>
              <w:left w:w="57" w:type="dxa"/>
              <w:right w:w="57" w:type="dxa"/>
            </w:tcMar>
            <w:vAlign w:val="bottom"/>
          </w:tcPr>
          <w:p w:rsidR="00C119E1" w:rsidRPr="003F2F98" w:rsidRDefault="00ED5CB1" w:rsidP="00217218">
            <w:pPr>
              <w:spacing w:before="20" w:after="20"/>
              <w:jc w:val="center"/>
              <w:rPr>
                <w:rFonts w:ascii="Tahoma" w:hAnsi="Tahoma" w:cs="Tahoma"/>
                <w:sz w:val="20"/>
              </w:rPr>
            </w:pPr>
            <w:r>
              <w:rPr>
                <w:rFonts w:ascii="Tahoma" w:hAnsi="Tahoma" w:cs="Tahoma"/>
                <w:sz w:val="20"/>
              </w:rPr>
              <w:t>0.00</w:t>
            </w:r>
          </w:p>
        </w:tc>
        <w:tc>
          <w:tcPr>
            <w:tcW w:w="1276" w:type="dxa"/>
            <w:noWrap/>
            <w:tcMar>
              <w:left w:w="57" w:type="dxa"/>
              <w:right w:w="57" w:type="dxa"/>
            </w:tcMar>
            <w:vAlign w:val="bottom"/>
          </w:tcPr>
          <w:p w:rsidR="00C119E1" w:rsidRPr="003F2F98" w:rsidRDefault="00D87F72" w:rsidP="00217218">
            <w:pPr>
              <w:spacing w:before="20" w:after="20"/>
              <w:jc w:val="center"/>
              <w:rPr>
                <w:rFonts w:ascii="Tahoma" w:hAnsi="Tahoma" w:cs="Tahoma"/>
                <w:sz w:val="20"/>
              </w:rPr>
            </w:pPr>
            <w:r>
              <w:rPr>
                <w:rFonts w:ascii="Tahoma" w:hAnsi="Tahoma" w:cs="Tahoma"/>
                <w:sz w:val="20"/>
              </w:rPr>
              <w:t>12.</w:t>
            </w:r>
            <w:r w:rsidR="00B02A92">
              <w:rPr>
                <w:rFonts w:ascii="Tahoma" w:hAnsi="Tahoma" w:cs="Tahoma"/>
                <w:sz w:val="20"/>
              </w:rPr>
              <w:t>86</w:t>
            </w:r>
          </w:p>
        </w:tc>
        <w:tc>
          <w:tcPr>
            <w:tcW w:w="1276" w:type="dxa"/>
            <w:noWrap/>
            <w:tcMar>
              <w:left w:w="57" w:type="dxa"/>
              <w:right w:w="57" w:type="dxa"/>
            </w:tcMar>
            <w:vAlign w:val="bottom"/>
          </w:tcPr>
          <w:p w:rsidR="00C119E1" w:rsidRDefault="00D87F72" w:rsidP="00217218">
            <w:pPr>
              <w:jc w:val="center"/>
              <w:rPr>
                <w:rFonts w:ascii="Tahoma" w:hAnsi="Tahoma" w:cs="Tahoma"/>
                <w:sz w:val="20"/>
              </w:rPr>
            </w:pPr>
            <w:r>
              <w:rPr>
                <w:rFonts w:ascii="Tahoma" w:hAnsi="Tahoma" w:cs="Tahoma"/>
                <w:sz w:val="20"/>
              </w:rPr>
              <w:t>10.</w:t>
            </w:r>
            <w:r w:rsidR="00B02A92">
              <w:rPr>
                <w:rFonts w:ascii="Tahoma" w:hAnsi="Tahoma" w:cs="Tahoma"/>
                <w:sz w:val="20"/>
              </w:rPr>
              <w:t>35</w:t>
            </w:r>
          </w:p>
        </w:tc>
        <w:tc>
          <w:tcPr>
            <w:tcW w:w="1276" w:type="dxa"/>
            <w:noWrap/>
            <w:tcMar>
              <w:left w:w="57" w:type="dxa"/>
              <w:right w:w="57" w:type="dxa"/>
            </w:tcMar>
            <w:vAlign w:val="bottom"/>
          </w:tcPr>
          <w:p w:rsidR="00C119E1" w:rsidRPr="003F2F98" w:rsidRDefault="00B02A92" w:rsidP="00217218">
            <w:pPr>
              <w:spacing w:before="20" w:after="20"/>
              <w:jc w:val="center"/>
              <w:rPr>
                <w:rFonts w:ascii="Tahoma" w:hAnsi="Tahoma" w:cs="Tahoma"/>
                <w:sz w:val="20"/>
              </w:rPr>
            </w:pPr>
            <w:r>
              <w:rPr>
                <w:rFonts w:ascii="Tahoma" w:hAnsi="Tahoma" w:cs="Tahoma"/>
                <w:sz w:val="20"/>
              </w:rPr>
              <w:t>3.58</w:t>
            </w:r>
          </w:p>
        </w:tc>
        <w:tc>
          <w:tcPr>
            <w:tcW w:w="1276" w:type="dxa"/>
            <w:noWrap/>
            <w:tcMar>
              <w:left w:w="57" w:type="dxa"/>
              <w:right w:w="57" w:type="dxa"/>
            </w:tcMar>
            <w:vAlign w:val="bottom"/>
          </w:tcPr>
          <w:p w:rsidR="00C119E1" w:rsidRPr="003F2F98" w:rsidRDefault="00ED5CB1" w:rsidP="00217218">
            <w:pPr>
              <w:spacing w:before="20" w:after="20"/>
              <w:jc w:val="center"/>
              <w:rPr>
                <w:rFonts w:ascii="Tahoma" w:hAnsi="Tahoma" w:cs="Tahoma"/>
                <w:sz w:val="20"/>
              </w:rPr>
            </w:pPr>
            <w:r>
              <w:rPr>
                <w:rFonts w:ascii="Tahoma" w:hAnsi="Tahoma" w:cs="Tahoma"/>
                <w:sz w:val="20"/>
              </w:rPr>
              <w:t>11.</w:t>
            </w:r>
            <w:r w:rsidR="00B02A92">
              <w:rPr>
                <w:rFonts w:ascii="Tahoma" w:hAnsi="Tahoma" w:cs="Tahoma"/>
                <w:sz w:val="20"/>
              </w:rPr>
              <w:t>64</w:t>
            </w:r>
          </w:p>
        </w:tc>
        <w:tc>
          <w:tcPr>
            <w:tcW w:w="1276" w:type="dxa"/>
            <w:noWrap/>
            <w:tcMar>
              <w:left w:w="57" w:type="dxa"/>
              <w:right w:w="57" w:type="dxa"/>
            </w:tcMar>
            <w:vAlign w:val="bottom"/>
          </w:tcPr>
          <w:p w:rsidR="00C119E1" w:rsidRDefault="00ED5CB1" w:rsidP="00217218">
            <w:pPr>
              <w:jc w:val="center"/>
              <w:rPr>
                <w:rFonts w:ascii="Tahoma" w:hAnsi="Tahoma" w:cs="Tahoma"/>
                <w:sz w:val="20"/>
              </w:rPr>
            </w:pPr>
            <w:r>
              <w:rPr>
                <w:rFonts w:ascii="Tahoma" w:hAnsi="Tahoma" w:cs="Tahoma"/>
                <w:sz w:val="20"/>
              </w:rPr>
              <w:t>6.</w:t>
            </w:r>
            <w:r w:rsidR="00D87F72">
              <w:rPr>
                <w:rFonts w:ascii="Tahoma" w:hAnsi="Tahoma" w:cs="Tahoma"/>
                <w:sz w:val="20"/>
              </w:rPr>
              <w:t>1</w:t>
            </w:r>
            <w:r w:rsidR="00B02A92">
              <w:rPr>
                <w:rFonts w:ascii="Tahoma" w:hAnsi="Tahoma" w:cs="Tahoma"/>
                <w:sz w:val="20"/>
              </w:rPr>
              <w:t>5</w:t>
            </w:r>
          </w:p>
        </w:tc>
      </w:tr>
    </w:tbl>
    <w:p w:rsidR="00343CB7" w:rsidRDefault="00343CB7" w:rsidP="002B7759">
      <w:pPr>
        <w:rPr>
          <w:rFonts w:ascii="Tahoma" w:hAnsi="Tahoma" w:cs="Tahoma"/>
          <w:sz w:val="22"/>
          <w:szCs w:val="22"/>
        </w:rPr>
      </w:pPr>
    </w:p>
    <w:p w:rsidR="009718CB" w:rsidRDefault="009718CB" w:rsidP="00BB1FFE">
      <w:pPr>
        <w:numPr>
          <w:ilvl w:val="0"/>
          <w:numId w:val="21"/>
        </w:numPr>
        <w:tabs>
          <w:tab w:val="clear" w:pos="568"/>
          <w:tab w:val="num" w:pos="709"/>
        </w:tabs>
        <w:spacing w:before="100" w:beforeAutospacing="1" w:after="120"/>
        <w:ind w:left="709"/>
        <w:rPr>
          <w:rFonts w:ascii="Tahoma" w:hAnsi="Tahoma" w:cs="Tahoma"/>
          <w:sz w:val="22"/>
          <w:szCs w:val="22"/>
        </w:rPr>
      </w:pPr>
      <w:r>
        <w:rPr>
          <w:rFonts w:ascii="Tahoma" w:hAnsi="Tahoma" w:cs="Tahoma"/>
          <w:sz w:val="22"/>
          <w:szCs w:val="22"/>
        </w:rPr>
        <w:t xml:space="preserve">The mean LTIFR for Scheme projects was higher than the mean LTIFR for non-Scheme projects for the first time in the June 2009 </w:t>
      </w:r>
      <w:r w:rsidR="002F60B4">
        <w:rPr>
          <w:rFonts w:ascii="Tahoma" w:hAnsi="Tahoma" w:cs="Tahoma"/>
          <w:sz w:val="22"/>
          <w:szCs w:val="22"/>
        </w:rPr>
        <w:t>period</w:t>
      </w:r>
      <w:r w:rsidR="00882951">
        <w:rPr>
          <w:rFonts w:ascii="Tahoma" w:hAnsi="Tahoma" w:cs="Tahoma"/>
          <w:sz w:val="22"/>
          <w:szCs w:val="22"/>
        </w:rPr>
        <w:t xml:space="preserve"> (due in part to a significant increase in the number of Scheme projects and the number of accredited contractors undertaking Scheme projects)</w:t>
      </w:r>
      <w:r w:rsidR="002F60B4">
        <w:rPr>
          <w:rFonts w:ascii="Tahoma" w:hAnsi="Tahoma" w:cs="Tahoma"/>
          <w:sz w:val="22"/>
          <w:szCs w:val="22"/>
        </w:rPr>
        <w:t>;</w:t>
      </w:r>
      <w:r>
        <w:rPr>
          <w:rFonts w:ascii="Tahoma" w:hAnsi="Tahoma" w:cs="Tahoma"/>
          <w:sz w:val="22"/>
          <w:szCs w:val="22"/>
        </w:rPr>
        <w:t xml:space="preserve"> however the median LTIFR at zero </w:t>
      </w:r>
      <w:r w:rsidR="00882951">
        <w:rPr>
          <w:rFonts w:ascii="Tahoma" w:hAnsi="Tahoma" w:cs="Tahoma"/>
          <w:sz w:val="22"/>
          <w:szCs w:val="22"/>
        </w:rPr>
        <w:t xml:space="preserve">for Scheme projects </w:t>
      </w:r>
      <w:r>
        <w:rPr>
          <w:rFonts w:ascii="Tahoma" w:hAnsi="Tahoma" w:cs="Tahoma"/>
          <w:sz w:val="22"/>
          <w:szCs w:val="22"/>
        </w:rPr>
        <w:t>was well below that for non-Scheme projects.</w:t>
      </w:r>
      <w:r w:rsidR="00600C2E">
        <w:rPr>
          <w:rFonts w:ascii="Tahoma" w:hAnsi="Tahoma" w:cs="Tahoma"/>
          <w:sz w:val="22"/>
          <w:szCs w:val="22"/>
        </w:rPr>
        <w:t xml:space="preserve"> This indicates a high proportion of Scheme projects are reporting nil lost time injuries (LTI’s).</w:t>
      </w:r>
    </w:p>
    <w:p w:rsidR="009E5FD2" w:rsidRDefault="009E5FD2" w:rsidP="00BB1FFE">
      <w:pPr>
        <w:numPr>
          <w:ilvl w:val="0"/>
          <w:numId w:val="21"/>
        </w:numPr>
        <w:tabs>
          <w:tab w:val="clear" w:pos="568"/>
          <w:tab w:val="num" w:pos="709"/>
        </w:tabs>
        <w:spacing w:before="100" w:beforeAutospacing="1" w:after="120"/>
        <w:ind w:left="709"/>
        <w:rPr>
          <w:rFonts w:ascii="Tahoma" w:hAnsi="Tahoma" w:cs="Tahoma"/>
          <w:sz w:val="22"/>
          <w:szCs w:val="22"/>
        </w:rPr>
      </w:pPr>
      <w:r w:rsidRPr="00E62A8D">
        <w:rPr>
          <w:rFonts w:ascii="Tahoma" w:hAnsi="Tahoma" w:cs="Tahoma"/>
          <w:sz w:val="22"/>
          <w:szCs w:val="22"/>
        </w:rPr>
        <w:t xml:space="preserve">The median LTIFR </w:t>
      </w:r>
      <w:r>
        <w:rPr>
          <w:rFonts w:ascii="Tahoma" w:hAnsi="Tahoma" w:cs="Tahoma"/>
          <w:sz w:val="22"/>
          <w:szCs w:val="22"/>
        </w:rPr>
        <w:t>for Scheme</w:t>
      </w:r>
      <w:r w:rsidRPr="00E62A8D">
        <w:rPr>
          <w:rFonts w:ascii="Tahoma" w:hAnsi="Tahoma" w:cs="Tahoma"/>
          <w:sz w:val="22"/>
          <w:szCs w:val="22"/>
        </w:rPr>
        <w:t xml:space="preserve"> projects has remained at zero </w:t>
      </w:r>
      <w:r>
        <w:rPr>
          <w:rFonts w:ascii="Tahoma" w:hAnsi="Tahoma" w:cs="Tahoma"/>
          <w:sz w:val="22"/>
          <w:szCs w:val="22"/>
        </w:rPr>
        <w:t>over the</w:t>
      </w:r>
      <w:r w:rsidRPr="00E62A8D">
        <w:rPr>
          <w:rFonts w:ascii="Tahoma" w:hAnsi="Tahoma" w:cs="Tahoma"/>
          <w:sz w:val="22"/>
          <w:szCs w:val="22"/>
        </w:rPr>
        <w:t xml:space="preserve"> </w:t>
      </w:r>
      <w:r>
        <w:rPr>
          <w:rFonts w:ascii="Tahoma" w:hAnsi="Tahoma" w:cs="Tahoma"/>
          <w:sz w:val="22"/>
          <w:szCs w:val="22"/>
        </w:rPr>
        <w:t>last four</w:t>
      </w:r>
      <w:r w:rsidRPr="00E62A8D">
        <w:rPr>
          <w:rFonts w:ascii="Tahoma" w:hAnsi="Tahoma" w:cs="Tahoma"/>
          <w:sz w:val="22"/>
          <w:szCs w:val="22"/>
        </w:rPr>
        <w:t xml:space="preserve"> biannual reporting</w:t>
      </w:r>
      <w:r>
        <w:rPr>
          <w:rFonts w:ascii="Tahoma" w:hAnsi="Tahoma" w:cs="Tahoma"/>
          <w:sz w:val="22"/>
          <w:szCs w:val="22"/>
        </w:rPr>
        <w:t xml:space="preserve"> periods</w:t>
      </w:r>
      <w:r w:rsidRPr="00E62A8D">
        <w:rPr>
          <w:rFonts w:ascii="Tahoma" w:hAnsi="Tahoma" w:cs="Tahoma"/>
          <w:sz w:val="22"/>
          <w:szCs w:val="22"/>
        </w:rPr>
        <w:t>, while the median LTIFR for non-</w:t>
      </w:r>
      <w:r>
        <w:rPr>
          <w:rFonts w:ascii="Tahoma" w:hAnsi="Tahoma" w:cs="Tahoma"/>
          <w:sz w:val="22"/>
          <w:szCs w:val="22"/>
        </w:rPr>
        <w:t>Scheme</w:t>
      </w:r>
      <w:r w:rsidRPr="00E62A8D">
        <w:rPr>
          <w:rFonts w:ascii="Tahoma" w:hAnsi="Tahoma" w:cs="Tahoma"/>
          <w:sz w:val="22"/>
          <w:szCs w:val="22"/>
        </w:rPr>
        <w:t xml:space="preserve"> projects </w:t>
      </w:r>
      <w:r>
        <w:rPr>
          <w:rFonts w:ascii="Tahoma" w:hAnsi="Tahoma" w:cs="Tahoma"/>
          <w:sz w:val="22"/>
          <w:szCs w:val="22"/>
        </w:rPr>
        <w:t>decreased in the June 2009 period to an all-time low of 3.58</w:t>
      </w:r>
      <w:r w:rsidRPr="00E62A8D">
        <w:rPr>
          <w:rFonts w:ascii="Tahoma" w:hAnsi="Tahoma" w:cs="Tahoma"/>
          <w:sz w:val="22"/>
          <w:szCs w:val="22"/>
        </w:rPr>
        <w:t>.</w:t>
      </w:r>
    </w:p>
    <w:p w:rsidR="00BD4186" w:rsidRPr="000A37EA" w:rsidRDefault="009E5FD2" w:rsidP="00BB1FFE">
      <w:pPr>
        <w:numPr>
          <w:ilvl w:val="0"/>
          <w:numId w:val="21"/>
        </w:numPr>
        <w:tabs>
          <w:tab w:val="clear" w:pos="568"/>
          <w:tab w:val="num" w:pos="709"/>
        </w:tabs>
        <w:spacing w:before="100" w:beforeAutospacing="1" w:after="120"/>
        <w:ind w:left="709"/>
        <w:rPr>
          <w:rFonts w:ascii="Tahoma" w:hAnsi="Tahoma" w:cs="Tahoma"/>
          <w:sz w:val="22"/>
          <w:szCs w:val="22"/>
        </w:rPr>
      </w:pPr>
      <w:r>
        <w:rPr>
          <w:rFonts w:ascii="Tahoma" w:hAnsi="Tahoma" w:cs="Tahoma"/>
          <w:sz w:val="22"/>
          <w:szCs w:val="22"/>
        </w:rPr>
        <w:t>As both Scheme and non-Scheme projects had extreme LTIFR values, the Winsorized mean was also calculated</w:t>
      </w:r>
      <w:r w:rsidRPr="00430AC9">
        <w:rPr>
          <w:rFonts w:ascii="Tahoma" w:hAnsi="Tahoma" w:cs="Tahoma"/>
          <w:sz w:val="22"/>
          <w:szCs w:val="22"/>
        </w:rPr>
        <w:t xml:space="preserve"> </w:t>
      </w:r>
      <w:r>
        <w:rPr>
          <w:rFonts w:ascii="Tahoma" w:hAnsi="Tahoma" w:cs="Tahoma"/>
          <w:sz w:val="22"/>
          <w:szCs w:val="22"/>
        </w:rPr>
        <w:t>as it</w:t>
      </w:r>
      <w:r w:rsidRPr="00430AC9">
        <w:rPr>
          <w:rFonts w:ascii="Tahoma" w:hAnsi="Tahoma" w:cs="Tahoma"/>
          <w:sz w:val="22"/>
          <w:szCs w:val="22"/>
        </w:rPr>
        <w:t xml:space="preserve"> is regarded as a more robust estimator of the central tendency </w:t>
      </w:r>
      <w:r>
        <w:rPr>
          <w:rFonts w:ascii="Tahoma" w:hAnsi="Tahoma" w:cs="Tahoma"/>
          <w:sz w:val="22"/>
          <w:szCs w:val="22"/>
        </w:rPr>
        <w:t>because</w:t>
      </w:r>
      <w:r w:rsidRPr="00430AC9">
        <w:rPr>
          <w:rFonts w:ascii="Tahoma" w:hAnsi="Tahoma" w:cs="Tahoma"/>
          <w:sz w:val="22"/>
          <w:szCs w:val="22"/>
        </w:rPr>
        <w:t xml:space="preserve"> it is less sensitive to outliers</w:t>
      </w:r>
      <w:r>
        <w:rPr>
          <w:rFonts w:ascii="Tahoma" w:hAnsi="Tahoma" w:cs="Tahoma"/>
          <w:sz w:val="22"/>
          <w:szCs w:val="22"/>
        </w:rPr>
        <w:t xml:space="preserve"> (see Glossary</w:t>
      </w:r>
      <w:r w:rsidRPr="00430AC9">
        <w:rPr>
          <w:rFonts w:ascii="Tahoma" w:hAnsi="Tahoma" w:cs="Tahoma"/>
          <w:sz w:val="22"/>
          <w:szCs w:val="22"/>
        </w:rPr>
        <w:t>)</w:t>
      </w:r>
      <w:r>
        <w:rPr>
          <w:rFonts w:ascii="Tahoma" w:hAnsi="Tahoma" w:cs="Tahoma"/>
          <w:sz w:val="22"/>
          <w:szCs w:val="22"/>
        </w:rPr>
        <w:t xml:space="preserve">. </w:t>
      </w:r>
      <w:r w:rsidR="00403790">
        <w:rPr>
          <w:rFonts w:ascii="Tahoma" w:hAnsi="Tahoma" w:cs="Tahoma"/>
          <w:sz w:val="22"/>
          <w:szCs w:val="22"/>
        </w:rPr>
        <w:t>Between the June 2008 and June 2009 reporting periods, t</w:t>
      </w:r>
      <w:r>
        <w:rPr>
          <w:rFonts w:ascii="Tahoma" w:hAnsi="Tahoma" w:cs="Tahoma"/>
          <w:sz w:val="22"/>
          <w:szCs w:val="22"/>
        </w:rPr>
        <w:t xml:space="preserve">he </w:t>
      </w:r>
      <w:r w:rsidRPr="00430AC9">
        <w:rPr>
          <w:rFonts w:ascii="Tahoma" w:hAnsi="Tahoma" w:cs="Tahoma"/>
          <w:sz w:val="22"/>
          <w:szCs w:val="22"/>
        </w:rPr>
        <w:t>90</w:t>
      </w:r>
      <w:r>
        <w:rPr>
          <w:rFonts w:ascii="Tahoma" w:hAnsi="Tahoma" w:cs="Tahoma"/>
          <w:sz w:val="22"/>
          <w:szCs w:val="22"/>
        </w:rPr>
        <w:t> per cent</w:t>
      </w:r>
      <w:r w:rsidRPr="00430AC9">
        <w:rPr>
          <w:rFonts w:ascii="Tahoma" w:hAnsi="Tahoma" w:cs="Tahoma"/>
          <w:sz w:val="22"/>
          <w:szCs w:val="22"/>
        </w:rPr>
        <w:t xml:space="preserve"> Winsorized mean</w:t>
      </w:r>
      <w:r>
        <w:rPr>
          <w:rFonts w:ascii="Tahoma" w:hAnsi="Tahoma" w:cs="Tahoma"/>
          <w:sz w:val="22"/>
          <w:szCs w:val="22"/>
        </w:rPr>
        <w:t xml:space="preserve"> for LTIFR increased for Scheme projects and decreased for non-Scheme projects.</w:t>
      </w:r>
    </w:p>
    <w:p w:rsidR="00882951" w:rsidRDefault="00492AD5" w:rsidP="00BB1FFE">
      <w:pPr>
        <w:numPr>
          <w:ilvl w:val="0"/>
          <w:numId w:val="21"/>
        </w:numPr>
        <w:tabs>
          <w:tab w:val="clear" w:pos="568"/>
          <w:tab w:val="num" w:pos="709"/>
        </w:tabs>
        <w:spacing w:before="100" w:beforeAutospacing="1" w:after="120"/>
        <w:ind w:left="709" w:hanging="283"/>
        <w:rPr>
          <w:rFonts w:ascii="Tahoma" w:hAnsi="Tahoma" w:cs="Tahoma"/>
          <w:sz w:val="22"/>
          <w:szCs w:val="22"/>
        </w:rPr>
      </w:pPr>
      <w:r>
        <w:rPr>
          <w:rFonts w:ascii="Tahoma" w:hAnsi="Tahoma" w:cs="Tahoma"/>
          <w:sz w:val="22"/>
          <w:szCs w:val="22"/>
        </w:rPr>
        <w:t>For the June 2009 period, around 5</w:t>
      </w:r>
      <w:r w:rsidR="002B1C2E">
        <w:rPr>
          <w:rFonts w:ascii="Tahoma" w:hAnsi="Tahoma" w:cs="Tahoma"/>
          <w:sz w:val="22"/>
          <w:szCs w:val="22"/>
        </w:rPr>
        <w:t>4</w:t>
      </w:r>
      <w:r>
        <w:rPr>
          <w:rFonts w:ascii="Tahoma" w:hAnsi="Tahoma" w:cs="Tahoma"/>
          <w:sz w:val="22"/>
          <w:szCs w:val="22"/>
        </w:rPr>
        <w:t xml:space="preserve"> per cent of all accredited contractors undertaking Scheme projects reported no LTI’s, while around </w:t>
      </w:r>
      <w:r w:rsidR="002B1C2E">
        <w:rPr>
          <w:rFonts w:ascii="Tahoma" w:hAnsi="Tahoma" w:cs="Tahoma"/>
          <w:sz w:val="22"/>
          <w:szCs w:val="22"/>
        </w:rPr>
        <w:t>69</w:t>
      </w:r>
      <w:r>
        <w:rPr>
          <w:rFonts w:ascii="Tahoma" w:hAnsi="Tahoma" w:cs="Tahoma"/>
          <w:sz w:val="22"/>
          <w:szCs w:val="22"/>
        </w:rPr>
        <w:t> per cent were below the mean LTIFR for Scheme projects (Chart 2)</w:t>
      </w:r>
      <w:r w:rsidR="002B1C2E">
        <w:rPr>
          <w:rFonts w:ascii="Tahoma" w:hAnsi="Tahoma" w:cs="Tahoma"/>
          <w:sz w:val="22"/>
          <w:szCs w:val="22"/>
        </w:rPr>
        <w:t xml:space="preserve">; </w:t>
      </w:r>
      <w:r>
        <w:rPr>
          <w:rFonts w:ascii="Tahoma" w:hAnsi="Tahoma" w:cs="Tahoma"/>
          <w:sz w:val="22"/>
          <w:szCs w:val="22"/>
        </w:rPr>
        <w:t>compar</w:t>
      </w:r>
      <w:r w:rsidR="002B1C2E">
        <w:rPr>
          <w:rFonts w:ascii="Tahoma" w:hAnsi="Tahoma" w:cs="Tahoma"/>
          <w:sz w:val="22"/>
          <w:szCs w:val="22"/>
        </w:rPr>
        <w:t xml:space="preserve">ed </w:t>
      </w:r>
      <w:r>
        <w:rPr>
          <w:rFonts w:ascii="Tahoma" w:hAnsi="Tahoma" w:cs="Tahoma"/>
          <w:sz w:val="22"/>
          <w:szCs w:val="22"/>
        </w:rPr>
        <w:t xml:space="preserve">to </w:t>
      </w:r>
      <w:r w:rsidR="002B1C2E">
        <w:rPr>
          <w:rFonts w:ascii="Tahoma" w:hAnsi="Tahoma" w:cs="Tahoma"/>
          <w:sz w:val="22"/>
          <w:szCs w:val="22"/>
        </w:rPr>
        <w:t xml:space="preserve">59 per cent and 72 per cent respectively for </w:t>
      </w:r>
      <w:r>
        <w:rPr>
          <w:rFonts w:ascii="Tahoma" w:hAnsi="Tahoma" w:cs="Tahoma"/>
          <w:sz w:val="22"/>
          <w:szCs w:val="22"/>
        </w:rPr>
        <w:t>the June 2008 period.</w:t>
      </w:r>
    </w:p>
    <w:p w:rsidR="00787DF9" w:rsidRDefault="00BD4186" w:rsidP="00BB1FFE">
      <w:pPr>
        <w:numPr>
          <w:ilvl w:val="0"/>
          <w:numId w:val="21"/>
        </w:numPr>
        <w:tabs>
          <w:tab w:val="clear" w:pos="568"/>
          <w:tab w:val="left" w:pos="720"/>
        </w:tabs>
        <w:spacing w:before="100" w:beforeAutospacing="1" w:after="120"/>
        <w:ind w:left="709" w:hanging="283"/>
        <w:rPr>
          <w:rFonts w:ascii="Tahoma" w:hAnsi="Tahoma" w:cs="Tahoma"/>
          <w:sz w:val="22"/>
          <w:szCs w:val="22"/>
        </w:rPr>
      </w:pPr>
      <w:r>
        <w:rPr>
          <w:rFonts w:ascii="Tahoma" w:hAnsi="Tahoma" w:cs="Tahoma"/>
          <w:sz w:val="22"/>
          <w:szCs w:val="22"/>
        </w:rPr>
        <w:t xml:space="preserve">For the same period, </w:t>
      </w:r>
      <w:r w:rsidR="00787DF9">
        <w:rPr>
          <w:rFonts w:ascii="Tahoma" w:hAnsi="Tahoma" w:cs="Tahoma"/>
          <w:sz w:val="22"/>
          <w:szCs w:val="22"/>
        </w:rPr>
        <w:t xml:space="preserve">around </w:t>
      </w:r>
      <w:r w:rsidR="005F2E26">
        <w:rPr>
          <w:rFonts w:ascii="Tahoma" w:hAnsi="Tahoma" w:cs="Tahoma"/>
          <w:sz w:val="22"/>
          <w:szCs w:val="22"/>
        </w:rPr>
        <w:t>3</w:t>
      </w:r>
      <w:r w:rsidR="002B1C2E">
        <w:rPr>
          <w:rFonts w:ascii="Tahoma" w:hAnsi="Tahoma" w:cs="Tahoma"/>
          <w:sz w:val="22"/>
          <w:szCs w:val="22"/>
        </w:rPr>
        <w:t>4</w:t>
      </w:r>
      <w:r w:rsidR="005F2E26">
        <w:rPr>
          <w:rFonts w:ascii="Tahoma" w:hAnsi="Tahoma" w:cs="Tahoma"/>
          <w:sz w:val="22"/>
          <w:szCs w:val="22"/>
        </w:rPr>
        <w:t> per cent</w:t>
      </w:r>
      <w:r w:rsidR="00787DF9">
        <w:rPr>
          <w:rFonts w:ascii="Tahoma" w:hAnsi="Tahoma" w:cs="Tahoma"/>
          <w:sz w:val="22"/>
          <w:szCs w:val="22"/>
        </w:rPr>
        <w:t xml:space="preserve"> of </w:t>
      </w:r>
      <w:r w:rsidR="00E95F5C">
        <w:rPr>
          <w:rFonts w:ascii="Tahoma" w:hAnsi="Tahoma" w:cs="Tahoma"/>
          <w:sz w:val="22"/>
          <w:szCs w:val="22"/>
        </w:rPr>
        <w:t xml:space="preserve">all </w:t>
      </w:r>
      <w:r w:rsidR="00787DF9">
        <w:rPr>
          <w:rFonts w:ascii="Tahoma" w:hAnsi="Tahoma" w:cs="Tahoma"/>
          <w:sz w:val="22"/>
          <w:szCs w:val="22"/>
        </w:rPr>
        <w:t xml:space="preserve">accredited contractors </w:t>
      </w:r>
      <w:r w:rsidR="00E95F5C">
        <w:rPr>
          <w:rFonts w:ascii="Tahoma" w:hAnsi="Tahoma" w:cs="Tahoma"/>
          <w:sz w:val="22"/>
          <w:szCs w:val="22"/>
        </w:rPr>
        <w:t xml:space="preserve">undertaking non-Scheme projects </w:t>
      </w:r>
      <w:r w:rsidR="00787DF9">
        <w:rPr>
          <w:rFonts w:ascii="Tahoma" w:hAnsi="Tahoma" w:cs="Tahoma"/>
          <w:sz w:val="22"/>
          <w:szCs w:val="22"/>
        </w:rPr>
        <w:t>reported no LTI’s</w:t>
      </w:r>
      <w:r>
        <w:rPr>
          <w:rFonts w:ascii="Tahoma" w:hAnsi="Tahoma" w:cs="Tahoma"/>
          <w:sz w:val="22"/>
          <w:szCs w:val="22"/>
        </w:rPr>
        <w:t xml:space="preserve">, while around </w:t>
      </w:r>
      <w:r w:rsidR="005F2E26">
        <w:rPr>
          <w:rFonts w:ascii="Tahoma" w:hAnsi="Tahoma" w:cs="Tahoma"/>
          <w:sz w:val="22"/>
          <w:szCs w:val="22"/>
        </w:rPr>
        <w:t>7</w:t>
      </w:r>
      <w:r w:rsidR="002B1C2E">
        <w:rPr>
          <w:rFonts w:ascii="Tahoma" w:hAnsi="Tahoma" w:cs="Tahoma"/>
          <w:sz w:val="22"/>
          <w:szCs w:val="22"/>
        </w:rPr>
        <w:t>5</w:t>
      </w:r>
      <w:r w:rsidR="005F2E26">
        <w:rPr>
          <w:rFonts w:ascii="Tahoma" w:hAnsi="Tahoma" w:cs="Tahoma"/>
          <w:sz w:val="22"/>
          <w:szCs w:val="22"/>
        </w:rPr>
        <w:t> per cent</w:t>
      </w:r>
      <w:r>
        <w:rPr>
          <w:rFonts w:ascii="Tahoma" w:hAnsi="Tahoma" w:cs="Tahoma"/>
          <w:sz w:val="22"/>
          <w:szCs w:val="22"/>
        </w:rPr>
        <w:t xml:space="preserve"> </w:t>
      </w:r>
      <w:r>
        <w:rPr>
          <w:rFonts w:ascii="Tahoma" w:hAnsi="Tahoma" w:cs="Tahoma"/>
          <w:sz w:val="22"/>
          <w:szCs w:val="22"/>
        </w:rPr>
        <w:lastRenderedPageBreak/>
        <w:t>were below the mean LTIFR for non-Scheme projects (Chart 3)</w:t>
      </w:r>
      <w:r w:rsidR="00882951">
        <w:rPr>
          <w:rFonts w:ascii="Tahoma" w:hAnsi="Tahoma" w:cs="Tahoma"/>
          <w:sz w:val="22"/>
          <w:szCs w:val="22"/>
        </w:rPr>
        <w:t xml:space="preserve">; </w:t>
      </w:r>
      <w:r w:rsidR="002B1C2E">
        <w:rPr>
          <w:rFonts w:ascii="Tahoma" w:hAnsi="Tahoma" w:cs="Tahoma"/>
          <w:sz w:val="22"/>
          <w:szCs w:val="22"/>
        </w:rPr>
        <w:t>compared to</w:t>
      </w:r>
      <w:r w:rsidR="00882951">
        <w:rPr>
          <w:rFonts w:ascii="Tahoma" w:hAnsi="Tahoma" w:cs="Tahoma"/>
          <w:sz w:val="22"/>
          <w:szCs w:val="22"/>
        </w:rPr>
        <w:t xml:space="preserve"> </w:t>
      </w:r>
      <w:r w:rsidR="002B1C2E">
        <w:rPr>
          <w:rFonts w:ascii="Tahoma" w:hAnsi="Tahoma" w:cs="Tahoma"/>
          <w:sz w:val="22"/>
          <w:szCs w:val="22"/>
        </w:rPr>
        <w:t xml:space="preserve">25 per cent and 65 per cent respectively for </w:t>
      </w:r>
      <w:r w:rsidR="004812FD">
        <w:rPr>
          <w:rFonts w:ascii="Tahoma" w:hAnsi="Tahoma" w:cs="Tahoma"/>
          <w:sz w:val="22"/>
          <w:szCs w:val="22"/>
        </w:rPr>
        <w:t>the June 2008 period.</w:t>
      </w:r>
    </w:p>
    <w:p w:rsidR="00CC62D6" w:rsidRDefault="00CC62D6" w:rsidP="00CC62D6">
      <w:pPr>
        <w:pStyle w:val="Heading3"/>
        <w:numPr>
          <w:ilvl w:val="0"/>
          <w:numId w:val="0"/>
        </w:numPr>
        <w:spacing w:before="120" w:after="120"/>
        <w:ind w:left="720"/>
        <w:rPr>
          <w:rStyle w:val="Heading3Char"/>
          <w:b/>
        </w:rPr>
      </w:pPr>
      <w:bookmarkStart w:id="18" w:name="_Toc246296853"/>
    </w:p>
    <w:p w:rsidR="00763CF7" w:rsidRPr="00CC62D6" w:rsidRDefault="00787DF9" w:rsidP="00763CF7">
      <w:pPr>
        <w:pStyle w:val="Heading3"/>
        <w:spacing w:before="120" w:after="120"/>
        <w:rPr>
          <w:bCs w:val="0"/>
        </w:rPr>
      </w:pPr>
      <w:r w:rsidRPr="00647029">
        <w:rPr>
          <w:rStyle w:val="Heading3Char"/>
          <w:b/>
        </w:rPr>
        <w:t xml:space="preserve">Medically </w:t>
      </w:r>
      <w:r w:rsidR="000A413B" w:rsidRPr="00647029">
        <w:rPr>
          <w:rStyle w:val="Heading3Char"/>
          <w:b/>
        </w:rPr>
        <w:t>T</w:t>
      </w:r>
      <w:r w:rsidRPr="00647029">
        <w:rPr>
          <w:rStyle w:val="Heading3Char"/>
          <w:b/>
        </w:rPr>
        <w:t xml:space="preserve">reated </w:t>
      </w:r>
      <w:r w:rsidR="000A413B" w:rsidRPr="00647029">
        <w:rPr>
          <w:rStyle w:val="Heading3Char"/>
          <w:b/>
        </w:rPr>
        <w:t>I</w:t>
      </w:r>
      <w:r w:rsidRPr="00647029">
        <w:rPr>
          <w:rStyle w:val="Heading3Char"/>
          <w:b/>
        </w:rPr>
        <w:t xml:space="preserve">njury </w:t>
      </w:r>
      <w:r w:rsidR="000A413B" w:rsidRPr="00647029">
        <w:rPr>
          <w:rStyle w:val="Heading3Char"/>
          <w:b/>
        </w:rPr>
        <w:t>F</w:t>
      </w:r>
      <w:r w:rsidRPr="00647029">
        <w:rPr>
          <w:rStyle w:val="Heading3Char"/>
          <w:b/>
        </w:rPr>
        <w:t xml:space="preserve">requency </w:t>
      </w:r>
      <w:r w:rsidR="000A413B" w:rsidRPr="00647029">
        <w:rPr>
          <w:rStyle w:val="Heading3Char"/>
          <w:b/>
        </w:rPr>
        <w:t>R</w:t>
      </w:r>
      <w:r w:rsidRPr="00647029">
        <w:rPr>
          <w:rStyle w:val="Heading3Char"/>
          <w:b/>
        </w:rPr>
        <w:t>ate (MTIFR)</w:t>
      </w:r>
      <w:bookmarkEnd w:id="18"/>
    </w:p>
    <w:tbl>
      <w:tblPr>
        <w:tblStyle w:val="TableGrid"/>
        <w:tblW w:w="9244" w:type="dxa"/>
        <w:jc w:val="center"/>
        <w:tblLayout w:type="fixed"/>
        <w:tblLook w:val="01E0" w:firstRow="1" w:lastRow="1" w:firstColumn="1" w:lastColumn="1" w:noHBand="0" w:noVBand="0"/>
      </w:tblPr>
      <w:tblGrid>
        <w:gridCol w:w="1588"/>
        <w:gridCol w:w="1276"/>
        <w:gridCol w:w="1276"/>
        <w:gridCol w:w="1276"/>
        <w:gridCol w:w="1276"/>
        <w:gridCol w:w="1276"/>
        <w:gridCol w:w="1276"/>
      </w:tblGrid>
      <w:tr w:rsidR="00787DF9" w:rsidRPr="003F2F98" w:rsidTr="00C02545">
        <w:trPr>
          <w:jc w:val="center"/>
        </w:trPr>
        <w:tc>
          <w:tcPr>
            <w:tcW w:w="1588" w:type="dxa"/>
            <w:noWrap/>
            <w:tcMar>
              <w:left w:w="57" w:type="dxa"/>
              <w:right w:w="57" w:type="dxa"/>
            </w:tcMar>
            <w:vAlign w:val="bottom"/>
          </w:tcPr>
          <w:p w:rsidR="00787DF9" w:rsidRPr="003F2F98" w:rsidRDefault="00C02545" w:rsidP="00C02545">
            <w:pPr>
              <w:jc w:val="center"/>
              <w:rPr>
                <w:rFonts w:ascii="Tahoma" w:hAnsi="Tahoma" w:cs="Tahoma"/>
                <w:b/>
                <w:sz w:val="20"/>
              </w:rPr>
            </w:pPr>
            <w:r>
              <w:rPr>
                <w:rFonts w:ascii="Tahoma" w:hAnsi="Tahoma" w:cs="Tahoma"/>
                <w:b/>
                <w:sz w:val="20"/>
              </w:rPr>
              <w:t>Period</w:t>
            </w:r>
          </w:p>
        </w:tc>
        <w:tc>
          <w:tcPr>
            <w:tcW w:w="1276" w:type="dxa"/>
            <w:noWrap/>
            <w:tcMar>
              <w:left w:w="57" w:type="dxa"/>
              <w:right w:w="57" w:type="dxa"/>
            </w:tcMar>
            <w:vAlign w:val="bottom"/>
          </w:tcPr>
          <w:p w:rsidR="00787DF9" w:rsidRPr="003F2F98" w:rsidRDefault="00C02545" w:rsidP="00763CF7">
            <w:pPr>
              <w:jc w:val="center"/>
              <w:rPr>
                <w:rFonts w:ascii="Tahoma" w:hAnsi="Tahoma" w:cs="Tahoma"/>
                <w:b/>
                <w:sz w:val="20"/>
              </w:rPr>
            </w:pPr>
            <w:r>
              <w:rPr>
                <w:rFonts w:ascii="Tahoma" w:hAnsi="Tahoma" w:cs="Tahoma"/>
                <w:b/>
                <w:sz w:val="20"/>
              </w:rPr>
              <w:t xml:space="preserve">MTIFR </w:t>
            </w:r>
            <w:r w:rsidRPr="003F2F98">
              <w:rPr>
                <w:rFonts w:ascii="Tahoma" w:hAnsi="Tahoma" w:cs="Tahoma"/>
                <w:b/>
                <w:sz w:val="20"/>
              </w:rPr>
              <w:t>Median</w:t>
            </w:r>
            <w:r>
              <w:rPr>
                <w:rFonts w:ascii="Tahoma" w:hAnsi="Tahoma" w:cs="Tahoma"/>
                <w:b/>
                <w:sz w:val="20"/>
              </w:rPr>
              <w:t xml:space="preserve"> on Scheme projects</w:t>
            </w:r>
          </w:p>
        </w:tc>
        <w:tc>
          <w:tcPr>
            <w:tcW w:w="1276" w:type="dxa"/>
            <w:noWrap/>
            <w:tcMar>
              <w:left w:w="57" w:type="dxa"/>
              <w:right w:w="57" w:type="dxa"/>
            </w:tcMar>
            <w:vAlign w:val="bottom"/>
          </w:tcPr>
          <w:p w:rsidR="00C02545" w:rsidRPr="003F2F98" w:rsidRDefault="00C02545" w:rsidP="00C02545">
            <w:pPr>
              <w:jc w:val="center"/>
              <w:rPr>
                <w:rFonts w:ascii="Tahoma" w:hAnsi="Tahoma" w:cs="Tahoma"/>
                <w:b/>
                <w:sz w:val="20"/>
              </w:rPr>
            </w:pPr>
            <w:r>
              <w:rPr>
                <w:rFonts w:ascii="Tahoma" w:hAnsi="Tahoma" w:cs="Tahoma"/>
                <w:b/>
                <w:sz w:val="20"/>
              </w:rPr>
              <w:t xml:space="preserve">MTIFR </w:t>
            </w:r>
            <w:r w:rsidRPr="003F2F98">
              <w:rPr>
                <w:rFonts w:ascii="Tahoma" w:hAnsi="Tahoma" w:cs="Tahoma"/>
                <w:b/>
                <w:sz w:val="20"/>
              </w:rPr>
              <w:t>Arithmetic</w:t>
            </w:r>
          </w:p>
          <w:p w:rsidR="00787DF9" w:rsidRPr="003F2F98" w:rsidRDefault="00C02545" w:rsidP="00C02545">
            <w:pPr>
              <w:jc w:val="center"/>
              <w:rPr>
                <w:rFonts w:ascii="Tahoma" w:hAnsi="Tahoma" w:cs="Tahoma"/>
                <w:b/>
                <w:sz w:val="20"/>
              </w:rPr>
            </w:pPr>
            <w:r w:rsidRPr="003F2F98">
              <w:rPr>
                <w:rFonts w:ascii="Tahoma" w:hAnsi="Tahoma" w:cs="Tahoma"/>
                <w:b/>
                <w:sz w:val="20"/>
              </w:rPr>
              <w:t>Mean</w:t>
            </w:r>
            <w:r>
              <w:rPr>
                <w:rFonts w:ascii="Tahoma" w:hAnsi="Tahoma" w:cs="Tahoma"/>
                <w:b/>
                <w:sz w:val="20"/>
              </w:rPr>
              <w:t xml:space="preserve"> on Scheme projects</w:t>
            </w:r>
          </w:p>
        </w:tc>
        <w:tc>
          <w:tcPr>
            <w:tcW w:w="1276" w:type="dxa"/>
            <w:noWrap/>
            <w:tcMar>
              <w:left w:w="57" w:type="dxa"/>
              <w:right w:w="57" w:type="dxa"/>
            </w:tcMar>
            <w:vAlign w:val="bottom"/>
          </w:tcPr>
          <w:p w:rsidR="00C02545" w:rsidRPr="003F2F98" w:rsidRDefault="00C02545" w:rsidP="00C02545">
            <w:pPr>
              <w:jc w:val="center"/>
              <w:rPr>
                <w:rFonts w:ascii="Tahoma" w:hAnsi="Tahoma" w:cs="Tahoma"/>
                <w:b/>
                <w:sz w:val="20"/>
              </w:rPr>
            </w:pPr>
            <w:r>
              <w:rPr>
                <w:rFonts w:ascii="Tahoma" w:hAnsi="Tahoma" w:cs="Tahoma"/>
                <w:b/>
                <w:sz w:val="20"/>
              </w:rPr>
              <w:t xml:space="preserve">MTIFR </w:t>
            </w:r>
            <w:r w:rsidRPr="003F2F98">
              <w:rPr>
                <w:rFonts w:ascii="Tahoma" w:hAnsi="Tahoma" w:cs="Tahoma"/>
                <w:b/>
                <w:sz w:val="20"/>
              </w:rPr>
              <w:t>Winsorized</w:t>
            </w:r>
          </w:p>
          <w:p w:rsidR="00787DF9" w:rsidRPr="003F2F98" w:rsidRDefault="00C02545" w:rsidP="00C02545">
            <w:pPr>
              <w:jc w:val="center"/>
              <w:rPr>
                <w:rFonts w:ascii="Tahoma" w:hAnsi="Tahoma" w:cs="Tahoma"/>
                <w:b/>
                <w:sz w:val="20"/>
              </w:rPr>
            </w:pPr>
            <w:r w:rsidRPr="003F2F98">
              <w:rPr>
                <w:rFonts w:ascii="Tahoma" w:hAnsi="Tahoma" w:cs="Tahoma"/>
                <w:b/>
                <w:sz w:val="20"/>
              </w:rPr>
              <w:t>Mean</w:t>
            </w:r>
            <w:r>
              <w:rPr>
                <w:rFonts w:ascii="Tahoma" w:hAnsi="Tahoma" w:cs="Tahoma"/>
                <w:b/>
                <w:sz w:val="20"/>
              </w:rPr>
              <w:t xml:space="preserve"> on Scheme projects</w:t>
            </w:r>
          </w:p>
        </w:tc>
        <w:tc>
          <w:tcPr>
            <w:tcW w:w="1276" w:type="dxa"/>
            <w:noWrap/>
            <w:tcMar>
              <w:left w:w="57" w:type="dxa"/>
              <w:right w:w="57" w:type="dxa"/>
            </w:tcMar>
            <w:vAlign w:val="bottom"/>
          </w:tcPr>
          <w:p w:rsidR="00787DF9" w:rsidRPr="003F2F98" w:rsidRDefault="00C02545" w:rsidP="00763CF7">
            <w:pPr>
              <w:jc w:val="center"/>
              <w:rPr>
                <w:rFonts w:ascii="Tahoma" w:hAnsi="Tahoma" w:cs="Tahoma"/>
                <w:b/>
                <w:sz w:val="20"/>
              </w:rPr>
            </w:pPr>
            <w:r>
              <w:rPr>
                <w:rFonts w:ascii="Tahoma" w:hAnsi="Tahoma" w:cs="Tahoma"/>
                <w:b/>
                <w:sz w:val="20"/>
              </w:rPr>
              <w:t xml:space="preserve">MTIFR </w:t>
            </w:r>
            <w:r w:rsidRPr="003F2F98">
              <w:rPr>
                <w:rFonts w:ascii="Tahoma" w:hAnsi="Tahoma" w:cs="Tahoma"/>
                <w:b/>
                <w:sz w:val="20"/>
              </w:rPr>
              <w:t>Median</w:t>
            </w:r>
            <w:r>
              <w:rPr>
                <w:rFonts w:ascii="Tahoma" w:hAnsi="Tahoma" w:cs="Tahoma"/>
                <w:b/>
                <w:sz w:val="20"/>
              </w:rPr>
              <w:t xml:space="preserve"> on Non-Scheme projects</w:t>
            </w:r>
          </w:p>
        </w:tc>
        <w:tc>
          <w:tcPr>
            <w:tcW w:w="1276" w:type="dxa"/>
            <w:noWrap/>
            <w:tcMar>
              <w:left w:w="57" w:type="dxa"/>
              <w:right w:w="57" w:type="dxa"/>
            </w:tcMar>
            <w:vAlign w:val="bottom"/>
          </w:tcPr>
          <w:p w:rsidR="00C02545" w:rsidRPr="003F2F98" w:rsidRDefault="00C02545" w:rsidP="00C02545">
            <w:pPr>
              <w:jc w:val="center"/>
              <w:rPr>
                <w:rFonts w:ascii="Tahoma" w:hAnsi="Tahoma" w:cs="Tahoma"/>
                <w:b/>
                <w:sz w:val="20"/>
              </w:rPr>
            </w:pPr>
            <w:r>
              <w:rPr>
                <w:rFonts w:ascii="Tahoma" w:hAnsi="Tahoma" w:cs="Tahoma"/>
                <w:b/>
                <w:sz w:val="20"/>
              </w:rPr>
              <w:t xml:space="preserve">MTIFR </w:t>
            </w:r>
            <w:r w:rsidRPr="003F2F98">
              <w:rPr>
                <w:rFonts w:ascii="Tahoma" w:hAnsi="Tahoma" w:cs="Tahoma"/>
                <w:b/>
                <w:sz w:val="20"/>
              </w:rPr>
              <w:t>Arithmetic</w:t>
            </w:r>
          </w:p>
          <w:p w:rsidR="00787DF9" w:rsidRPr="003F2F98" w:rsidRDefault="00C02545" w:rsidP="00C02545">
            <w:pPr>
              <w:jc w:val="center"/>
              <w:rPr>
                <w:rFonts w:ascii="Tahoma" w:hAnsi="Tahoma" w:cs="Tahoma"/>
                <w:b/>
                <w:sz w:val="20"/>
              </w:rPr>
            </w:pPr>
            <w:r w:rsidRPr="003F2F98">
              <w:rPr>
                <w:rFonts w:ascii="Tahoma" w:hAnsi="Tahoma" w:cs="Tahoma"/>
                <w:b/>
                <w:sz w:val="20"/>
              </w:rPr>
              <w:t>Mean</w:t>
            </w:r>
            <w:r>
              <w:rPr>
                <w:rFonts w:ascii="Tahoma" w:hAnsi="Tahoma" w:cs="Tahoma"/>
                <w:b/>
                <w:sz w:val="20"/>
              </w:rPr>
              <w:t xml:space="preserve"> on Non-Scheme projects</w:t>
            </w:r>
          </w:p>
        </w:tc>
        <w:tc>
          <w:tcPr>
            <w:tcW w:w="1276" w:type="dxa"/>
            <w:noWrap/>
            <w:tcMar>
              <w:left w:w="57" w:type="dxa"/>
              <w:right w:w="57" w:type="dxa"/>
            </w:tcMar>
            <w:vAlign w:val="bottom"/>
          </w:tcPr>
          <w:p w:rsidR="00C02545" w:rsidRPr="003F2F98" w:rsidRDefault="00C02545" w:rsidP="00C02545">
            <w:pPr>
              <w:jc w:val="center"/>
              <w:rPr>
                <w:rFonts w:ascii="Tahoma" w:hAnsi="Tahoma" w:cs="Tahoma"/>
                <w:b/>
                <w:sz w:val="20"/>
              </w:rPr>
            </w:pPr>
            <w:r>
              <w:rPr>
                <w:rFonts w:ascii="Tahoma" w:hAnsi="Tahoma" w:cs="Tahoma"/>
                <w:b/>
                <w:sz w:val="20"/>
              </w:rPr>
              <w:t xml:space="preserve">MTIFR </w:t>
            </w:r>
            <w:r w:rsidRPr="003F2F98">
              <w:rPr>
                <w:rFonts w:ascii="Tahoma" w:hAnsi="Tahoma" w:cs="Tahoma"/>
                <w:b/>
                <w:sz w:val="20"/>
              </w:rPr>
              <w:t>Winsorized</w:t>
            </w:r>
          </w:p>
          <w:p w:rsidR="00787DF9" w:rsidRPr="003F2F98" w:rsidRDefault="00C02545" w:rsidP="00C02545">
            <w:pPr>
              <w:jc w:val="center"/>
              <w:rPr>
                <w:rFonts w:ascii="Tahoma" w:hAnsi="Tahoma" w:cs="Tahoma"/>
                <w:b/>
                <w:sz w:val="20"/>
              </w:rPr>
            </w:pPr>
            <w:r w:rsidRPr="003F2F98">
              <w:rPr>
                <w:rFonts w:ascii="Tahoma" w:hAnsi="Tahoma" w:cs="Tahoma"/>
                <w:b/>
                <w:sz w:val="20"/>
              </w:rPr>
              <w:t>Mean</w:t>
            </w:r>
            <w:r>
              <w:rPr>
                <w:rFonts w:ascii="Tahoma" w:hAnsi="Tahoma" w:cs="Tahoma"/>
                <w:b/>
                <w:sz w:val="20"/>
              </w:rPr>
              <w:t xml:space="preserve"> on Non-Scheme projects</w:t>
            </w:r>
          </w:p>
        </w:tc>
      </w:tr>
      <w:tr w:rsidR="00787DF9" w:rsidRPr="003F2F98" w:rsidTr="00C02545">
        <w:trPr>
          <w:jc w:val="center"/>
        </w:trPr>
        <w:tc>
          <w:tcPr>
            <w:tcW w:w="1588"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Jul to Dec 2007</w:t>
            </w:r>
          </w:p>
        </w:tc>
        <w:tc>
          <w:tcPr>
            <w:tcW w:w="1276" w:type="dxa"/>
            <w:noWrap/>
            <w:tcMar>
              <w:left w:w="57" w:type="dxa"/>
              <w:right w:w="57" w:type="dxa"/>
            </w:tcMar>
            <w:vAlign w:val="bottom"/>
          </w:tcPr>
          <w:p w:rsidR="00787DF9" w:rsidRPr="003F2F98" w:rsidRDefault="00C119E1" w:rsidP="00217218">
            <w:pPr>
              <w:spacing w:before="20" w:after="20"/>
              <w:jc w:val="center"/>
              <w:rPr>
                <w:rFonts w:ascii="Tahoma" w:hAnsi="Tahoma" w:cs="Tahoma"/>
                <w:sz w:val="20"/>
              </w:rPr>
            </w:pPr>
            <w:r>
              <w:rPr>
                <w:rFonts w:ascii="Tahoma" w:hAnsi="Tahoma" w:cs="Tahoma"/>
                <w:sz w:val="20"/>
              </w:rPr>
              <w:t>0.00</w:t>
            </w:r>
          </w:p>
        </w:tc>
        <w:tc>
          <w:tcPr>
            <w:tcW w:w="1276" w:type="dxa"/>
            <w:noWrap/>
            <w:tcMar>
              <w:left w:w="57" w:type="dxa"/>
              <w:right w:w="57" w:type="dxa"/>
            </w:tcMar>
            <w:vAlign w:val="bottom"/>
          </w:tcPr>
          <w:p w:rsidR="00787DF9" w:rsidRPr="00341CD4" w:rsidRDefault="00787DF9" w:rsidP="00217218">
            <w:pPr>
              <w:spacing w:before="20" w:after="20"/>
              <w:jc w:val="center"/>
              <w:rPr>
                <w:rFonts w:ascii="Tahoma" w:hAnsi="Tahoma" w:cs="Tahoma"/>
                <w:sz w:val="20"/>
              </w:rPr>
            </w:pPr>
            <w:r>
              <w:rPr>
                <w:rFonts w:ascii="Tahoma" w:hAnsi="Tahoma" w:cs="Tahoma"/>
                <w:sz w:val="20"/>
              </w:rPr>
              <w:t>12.</w:t>
            </w:r>
            <w:r w:rsidR="00C119E1">
              <w:rPr>
                <w:rFonts w:ascii="Tahoma" w:hAnsi="Tahoma" w:cs="Tahoma"/>
                <w:sz w:val="20"/>
              </w:rPr>
              <w:t>06</w:t>
            </w:r>
          </w:p>
        </w:tc>
        <w:tc>
          <w:tcPr>
            <w:tcW w:w="1276" w:type="dxa"/>
            <w:noWrap/>
            <w:tcMar>
              <w:left w:w="57" w:type="dxa"/>
              <w:right w:w="57" w:type="dxa"/>
            </w:tcMar>
            <w:vAlign w:val="bottom"/>
          </w:tcPr>
          <w:p w:rsidR="00787DF9" w:rsidRPr="003F2F98" w:rsidRDefault="00787DF9" w:rsidP="00217218">
            <w:pPr>
              <w:jc w:val="center"/>
              <w:rPr>
                <w:rFonts w:ascii="Tahoma" w:hAnsi="Tahoma" w:cs="Tahoma"/>
                <w:sz w:val="20"/>
              </w:rPr>
            </w:pPr>
            <w:r>
              <w:rPr>
                <w:rFonts w:ascii="Tahoma" w:hAnsi="Tahoma" w:cs="Tahoma"/>
                <w:sz w:val="20"/>
              </w:rPr>
              <w:t>9.53</w:t>
            </w:r>
          </w:p>
        </w:tc>
        <w:tc>
          <w:tcPr>
            <w:tcW w:w="1276" w:type="dxa"/>
            <w:noWrap/>
            <w:tcMar>
              <w:left w:w="57" w:type="dxa"/>
              <w:right w:w="57" w:type="dxa"/>
            </w:tcMar>
            <w:vAlign w:val="bottom"/>
          </w:tcPr>
          <w:p w:rsidR="00787DF9" w:rsidRPr="00341CD4" w:rsidRDefault="00C119E1" w:rsidP="00217218">
            <w:pPr>
              <w:spacing w:before="20" w:after="20"/>
              <w:jc w:val="center"/>
              <w:rPr>
                <w:rFonts w:ascii="Tahoma" w:hAnsi="Tahoma" w:cs="Tahoma"/>
                <w:sz w:val="20"/>
              </w:rPr>
            </w:pPr>
            <w:r>
              <w:rPr>
                <w:rFonts w:ascii="Tahoma" w:hAnsi="Tahoma" w:cs="Tahoma"/>
                <w:sz w:val="20"/>
              </w:rPr>
              <w:t>19.90</w:t>
            </w:r>
          </w:p>
        </w:tc>
        <w:tc>
          <w:tcPr>
            <w:tcW w:w="1276" w:type="dxa"/>
            <w:noWrap/>
            <w:tcMar>
              <w:left w:w="57" w:type="dxa"/>
              <w:right w:w="57" w:type="dxa"/>
            </w:tcMar>
            <w:vAlign w:val="bottom"/>
          </w:tcPr>
          <w:p w:rsidR="00787DF9" w:rsidRPr="00341CD4" w:rsidRDefault="00C119E1" w:rsidP="00217218">
            <w:pPr>
              <w:spacing w:before="20" w:after="20"/>
              <w:jc w:val="center"/>
              <w:rPr>
                <w:rFonts w:ascii="Tahoma" w:hAnsi="Tahoma" w:cs="Tahoma"/>
                <w:sz w:val="20"/>
              </w:rPr>
            </w:pPr>
            <w:r>
              <w:rPr>
                <w:rFonts w:ascii="Tahoma" w:hAnsi="Tahoma" w:cs="Tahoma"/>
                <w:sz w:val="20"/>
              </w:rPr>
              <w:t>26.23</w:t>
            </w:r>
          </w:p>
        </w:tc>
        <w:tc>
          <w:tcPr>
            <w:tcW w:w="1276" w:type="dxa"/>
            <w:noWrap/>
            <w:tcMar>
              <w:left w:w="57" w:type="dxa"/>
              <w:right w:w="57" w:type="dxa"/>
            </w:tcMar>
            <w:vAlign w:val="bottom"/>
          </w:tcPr>
          <w:p w:rsidR="00787DF9" w:rsidRPr="003F2F98" w:rsidRDefault="00787DF9" w:rsidP="00217218">
            <w:pPr>
              <w:jc w:val="center"/>
              <w:rPr>
                <w:rFonts w:ascii="Tahoma" w:hAnsi="Tahoma" w:cs="Tahoma"/>
                <w:sz w:val="20"/>
              </w:rPr>
            </w:pPr>
            <w:r>
              <w:rPr>
                <w:rFonts w:ascii="Tahoma" w:hAnsi="Tahoma" w:cs="Tahoma"/>
                <w:sz w:val="20"/>
              </w:rPr>
              <w:t>23.32</w:t>
            </w:r>
          </w:p>
        </w:tc>
      </w:tr>
      <w:tr w:rsidR="00787DF9" w:rsidRPr="003F2F98" w:rsidTr="00C02545">
        <w:trPr>
          <w:jc w:val="center"/>
        </w:trPr>
        <w:tc>
          <w:tcPr>
            <w:tcW w:w="1588"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Jan to Jun 2008</w:t>
            </w:r>
          </w:p>
        </w:tc>
        <w:tc>
          <w:tcPr>
            <w:tcW w:w="1276"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0</w:t>
            </w:r>
            <w:r>
              <w:rPr>
                <w:rFonts w:ascii="Tahoma" w:hAnsi="Tahoma" w:cs="Tahoma"/>
                <w:sz w:val="20"/>
              </w:rPr>
              <w:t>.00</w:t>
            </w:r>
          </w:p>
        </w:tc>
        <w:tc>
          <w:tcPr>
            <w:tcW w:w="1276" w:type="dxa"/>
            <w:noWrap/>
            <w:tcMar>
              <w:left w:w="57" w:type="dxa"/>
              <w:right w:w="57" w:type="dxa"/>
            </w:tcMar>
            <w:vAlign w:val="bottom"/>
          </w:tcPr>
          <w:p w:rsidR="00787DF9" w:rsidRPr="00341CD4" w:rsidRDefault="00787DF9" w:rsidP="00217218">
            <w:pPr>
              <w:spacing w:before="20" w:after="20"/>
              <w:jc w:val="center"/>
              <w:rPr>
                <w:rFonts w:ascii="Tahoma" w:hAnsi="Tahoma" w:cs="Tahoma"/>
                <w:sz w:val="20"/>
              </w:rPr>
            </w:pPr>
            <w:r>
              <w:rPr>
                <w:rFonts w:ascii="Tahoma" w:hAnsi="Tahoma" w:cs="Tahoma"/>
                <w:sz w:val="20"/>
              </w:rPr>
              <w:t>18.</w:t>
            </w:r>
            <w:r w:rsidR="00C119E1">
              <w:rPr>
                <w:rFonts w:ascii="Tahoma" w:hAnsi="Tahoma" w:cs="Tahoma"/>
                <w:sz w:val="20"/>
              </w:rPr>
              <w:t>06</w:t>
            </w:r>
          </w:p>
        </w:tc>
        <w:tc>
          <w:tcPr>
            <w:tcW w:w="1276" w:type="dxa"/>
            <w:noWrap/>
            <w:tcMar>
              <w:left w:w="57" w:type="dxa"/>
              <w:right w:w="57" w:type="dxa"/>
            </w:tcMar>
            <w:vAlign w:val="bottom"/>
          </w:tcPr>
          <w:p w:rsidR="00787DF9" w:rsidRPr="003F2F98" w:rsidRDefault="00787DF9" w:rsidP="00217218">
            <w:pPr>
              <w:jc w:val="center"/>
              <w:rPr>
                <w:rFonts w:ascii="Tahoma" w:hAnsi="Tahoma" w:cs="Tahoma"/>
                <w:sz w:val="20"/>
              </w:rPr>
            </w:pPr>
            <w:r>
              <w:rPr>
                <w:rFonts w:ascii="Tahoma" w:hAnsi="Tahoma" w:cs="Tahoma"/>
                <w:sz w:val="20"/>
              </w:rPr>
              <w:t>16.29</w:t>
            </w:r>
          </w:p>
        </w:tc>
        <w:tc>
          <w:tcPr>
            <w:tcW w:w="1276" w:type="dxa"/>
            <w:noWrap/>
            <w:tcMar>
              <w:left w:w="57" w:type="dxa"/>
              <w:right w:w="57" w:type="dxa"/>
            </w:tcMar>
            <w:vAlign w:val="bottom"/>
          </w:tcPr>
          <w:p w:rsidR="00787DF9" w:rsidRPr="00341CD4" w:rsidRDefault="00787DF9" w:rsidP="00217218">
            <w:pPr>
              <w:spacing w:before="20" w:after="20"/>
              <w:jc w:val="center"/>
              <w:rPr>
                <w:rFonts w:ascii="Tahoma" w:hAnsi="Tahoma" w:cs="Tahoma"/>
                <w:sz w:val="20"/>
              </w:rPr>
            </w:pPr>
            <w:r>
              <w:rPr>
                <w:rFonts w:ascii="Tahoma" w:hAnsi="Tahoma" w:cs="Tahoma"/>
                <w:sz w:val="20"/>
              </w:rPr>
              <w:t>19.</w:t>
            </w:r>
            <w:r w:rsidR="00C119E1">
              <w:rPr>
                <w:rFonts w:ascii="Tahoma" w:hAnsi="Tahoma" w:cs="Tahoma"/>
                <w:sz w:val="20"/>
              </w:rPr>
              <w:t>00</w:t>
            </w:r>
          </w:p>
        </w:tc>
        <w:tc>
          <w:tcPr>
            <w:tcW w:w="1276" w:type="dxa"/>
            <w:noWrap/>
            <w:tcMar>
              <w:left w:w="57" w:type="dxa"/>
              <w:right w:w="57" w:type="dxa"/>
            </w:tcMar>
            <w:vAlign w:val="bottom"/>
          </w:tcPr>
          <w:p w:rsidR="00787DF9" w:rsidRPr="00341CD4" w:rsidRDefault="00C119E1" w:rsidP="00217218">
            <w:pPr>
              <w:spacing w:before="20" w:after="20"/>
              <w:jc w:val="center"/>
              <w:rPr>
                <w:rFonts w:ascii="Tahoma" w:hAnsi="Tahoma" w:cs="Tahoma"/>
                <w:sz w:val="20"/>
              </w:rPr>
            </w:pPr>
            <w:r>
              <w:rPr>
                <w:rFonts w:ascii="Tahoma" w:hAnsi="Tahoma" w:cs="Tahoma"/>
                <w:sz w:val="20"/>
              </w:rPr>
              <w:t>29.39</w:t>
            </w:r>
          </w:p>
        </w:tc>
        <w:tc>
          <w:tcPr>
            <w:tcW w:w="1276" w:type="dxa"/>
            <w:noWrap/>
            <w:tcMar>
              <w:left w:w="57" w:type="dxa"/>
              <w:right w:w="57" w:type="dxa"/>
            </w:tcMar>
            <w:vAlign w:val="bottom"/>
          </w:tcPr>
          <w:p w:rsidR="00787DF9" w:rsidRPr="003F2F98" w:rsidRDefault="00787DF9" w:rsidP="00217218">
            <w:pPr>
              <w:jc w:val="center"/>
              <w:rPr>
                <w:rFonts w:ascii="Tahoma" w:hAnsi="Tahoma" w:cs="Tahoma"/>
                <w:sz w:val="20"/>
              </w:rPr>
            </w:pPr>
            <w:r>
              <w:rPr>
                <w:rFonts w:ascii="Tahoma" w:hAnsi="Tahoma" w:cs="Tahoma"/>
                <w:sz w:val="20"/>
              </w:rPr>
              <w:t>24.36</w:t>
            </w:r>
          </w:p>
        </w:tc>
      </w:tr>
      <w:tr w:rsidR="00787DF9" w:rsidRPr="003F2F98" w:rsidTr="00C02545">
        <w:trPr>
          <w:jc w:val="center"/>
        </w:trPr>
        <w:tc>
          <w:tcPr>
            <w:tcW w:w="1588"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sidRPr="003F2F98">
              <w:rPr>
                <w:rFonts w:ascii="Tahoma" w:hAnsi="Tahoma" w:cs="Tahoma"/>
                <w:sz w:val="20"/>
              </w:rPr>
              <w:t>Jul to Dec 2008</w:t>
            </w:r>
          </w:p>
        </w:tc>
        <w:tc>
          <w:tcPr>
            <w:tcW w:w="1276" w:type="dxa"/>
            <w:noWrap/>
            <w:tcMar>
              <w:left w:w="57" w:type="dxa"/>
              <w:right w:w="57" w:type="dxa"/>
            </w:tcMar>
            <w:vAlign w:val="bottom"/>
          </w:tcPr>
          <w:p w:rsidR="00787DF9" w:rsidRPr="003F2F98" w:rsidRDefault="00787DF9" w:rsidP="00217218">
            <w:pPr>
              <w:spacing w:before="20" w:after="20"/>
              <w:jc w:val="center"/>
              <w:rPr>
                <w:rFonts w:ascii="Tahoma" w:hAnsi="Tahoma" w:cs="Tahoma"/>
                <w:sz w:val="20"/>
              </w:rPr>
            </w:pPr>
            <w:r>
              <w:rPr>
                <w:rFonts w:ascii="Tahoma" w:hAnsi="Tahoma" w:cs="Tahoma"/>
                <w:sz w:val="20"/>
              </w:rPr>
              <w:t>2.78</w:t>
            </w:r>
          </w:p>
        </w:tc>
        <w:tc>
          <w:tcPr>
            <w:tcW w:w="1276" w:type="dxa"/>
            <w:noWrap/>
            <w:tcMar>
              <w:left w:w="57" w:type="dxa"/>
              <w:right w:w="57" w:type="dxa"/>
            </w:tcMar>
            <w:vAlign w:val="bottom"/>
          </w:tcPr>
          <w:p w:rsidR="00787DF9" w:rsidRPr="00341CD4" w:rsidRDefault="00787DF9" w:rsidP="00217218">
            <w:pPr>
              <w:spacing w:before="20" w:after="20"/>
              <w:jc w:val="center"/>
              <w:rPr>
                <w:rFonts w:ascii="Tahoma" w:hAnsi="Tahoma" w:cs="Tahoma"/>
                <w:sz w:val="20"/>
              </w:rPr>
            </w:pPr>
            <w:r>
              <w:rPr>
                <w:rFonts w:ascii="Tahoma" w:hAnsi="Tahoma" w:cs="Tahoma"/>
                <w:sz w:val="20"/>
              </w:rPr>
              <w:t>21.79</w:t>
            </w:r>
          </w:p>
        </w:tc>
        <w:tc>
          <w:tcPr>
            <w:tcW w:w="1276" w:type="dxa"/>
            <w:noWrap/>
            <w:tcMar>
              <w:left w:w="57" w:type="dxa"/>
              <w:right w:w="57" w:type="dxa"/>
            </w:tcMar>
            <w:vAlign w:val="bottom"/>
          </w:tcPr>
          <w:p w:rsidR="00787DF9" w:rsidRPr="003F2F98" w:rsidRDefault="00787DF9" w:rsidP="00217218">
            <w:pPr>
              <w:jc w:val="center"/>
              <w:rPr>
                <w:rFonts w:ascii="Tahoma" w:hAnsi="Tahoma" w:cs="Tahoma"/>
                <w:sz w:val="20"/>
              </w:rPr>
            </w:pPr>
            <w:r>
              <w:rPr>
                <w:rFonts w:ascii="Tahoma" w:hAnsi="Tahoma" w:cs="Tahoma"/>
                <w:sz w:val="20"/>
              </w:rPr>
              <w:t>14.50</w:t>
            </w:r>
          </w:p>
        </w:tc>
        <w:tc>
          <w:tcPr>
            <w:tcW w:w="1276" w:type="dxa"/>
            <w:noWrap/>
            <w:tcMar>
              <w:left w:w="57" w:type="dxa"/>
              <w:right w:w="57" w:type="dxa"/>
            </w:tcMar>
            <w:vAlign w:val="bottom"/>
          </w:tcPr>
          <w:p w:rsidR="00787DF9" w:rsidRPr="00341CD4" w:rsidRDefault="00787DF9" w:rsidP="00217218">
            <w:pPr>
              <w:spacing w:before="20" w:after="20"/>
              <w:jc w:val="center"/>
              <w:rPr>
                <w:rFonts w:ascii="Tahoma" w:hAnsi="Tahoma" w:cs="Tahoma"/>
                <w:sz w:val="20"/>
              </w:rPr>
            </w:pPr>
            <w:r>
              <w:rPr>
                <w:rFonts w:ascii="Tahoma" w:hAnsi="Tahoma" w:cs="Tahoma"/>
                <w:sz w:val="20"/>
              </w:rPr>
              <w:t>13.18</w:t>
            </w:r>
          </w:p>
        </w:tc>
        <w:tc>
          <w:tcPr>
            <w:tcW w:w="1276" w:type="dxa"/>
            <w:noWrap/>
            <w:tcMar>
              <w:left w:w="57" w:type="dxa"/>
              <w:right w:w="57" w:type="dxa"/>
            </w:tcMar>
            <w:vAlign w:val="bottom"/>
          </w:tcPr>
          <w:p w:rsidR="00787DF9" w:rsidRPr="00341CD4" w:rsidRDefault="00787DF9" w:rsidP="00217218">
            <w:pPr>
              <w:spacing w:before="20" w:after="20"/>
              <w:jc w:val="center"/>
              <w:rPr>
                <w:rFonts w:ascii="Tahoma" w:hAnsi="Tahoma" w:cs="Tahoma"/>
                <w:sz w:val="20"/>
              </w:rPr>
            </w:pPr>
            <w:r>
              <w:rPr>
                <w:rFonts w:ascii="Tahoma" w:hAnsi="Tahoma" w:cs="Tahoma"/>
                <w:sz w:val="20"/>
              </w:rPr>
              <w:t>21.10</w:t>
            </w:r>
          </w:p>
        </w:tc>
        <w:tc>
          <w:tcPr>
            <w:tcW w:w="1276" w:type="dxa"/>
            <w:noWrap/>
            <w:tcMar>
              <w:left w:w="57" w:type="dxa"/>
              <w:right w:w="57" w:type="dxa"/>
            </w:tcMar>
            <w:vAlign w:val="bottom"/>
          </w:tcPr>
          <w:p w:rsidR="00787DF9" w:rsidRPr="003F2F98" w:rsidRDefault="00787DF9" w:rsidP="00217218">
            <w:pPr>
              <w:jc w:val="center"/>
              <w:rPr>
                <w:rFonts w:ascii="Tahoma" w:hAnsi="Tahoma" w:cs="Tahoma"/>
                <w:sz w:val="20"/>
              </w:rPr>
            </w:pPr>
            <w:r>
              <w:rPr>
                <w:rFonts w:ascii="Tahoma" w:hAnsi="Tahoma" w:cs="Tahoma"/>
                <w:sz w:val="20"/>
              </w:rPr>
              <w:t>16.67</w:t>
            </w:r>
          </w:p>
        </w:tc>
      </w:tr>
      <w:tr w:rsidR="00C119E1" w:rsidRPr="003F2F98" w:rsidTr="00C02545">
        <w:trPr>
          <w:jc w:val="center"/>
        </w:trPr>
        <w:tc>
          <w:tcPr>
            <w:tcW w:w="1588" w:type="dxa"/>
            <w:noWrap/>
            <w:tcMar>
              <w:left w:w="57" w:type="dxa"/>
              <w:right w:w="57" w:type="dxa"/>
            </w:tcMar>
            <w:vAlign w:val="bottom"/>
          </w:tcPr>
          <w:p w:rsidR="00C119E1" w:rsidRPr="003F2F98" w:rsidRDefault="00C119E1" w:rsidP="00217218">
            <w:pPr>
              <w:spacing w:before="20" w:after="20"/>
              <w:jc w:val="center"/>
              <w:rPr>
                <w:rFonts w:ascii="Tahoma" w:hAnsi="Tahoma" w:cs="Tahoma"/>
                <w:sz w:val="20"/>
              </w:rPr>
            </w:pPr>
            <w:r w:rsidRPr="003F2F98">
              <w:rPr>
                <w:rFonts w:ascii="Tahoma" w:hAnsi="Tahoma" w:cs="Tahoma"/>
                <w:sz w:val="20"/>
              </w:rPr>
              <w:t>Jan to Jun 200</w:t>
            </w:r>
            <w:r>
              <w:rPr>
                <w:rFonts w:ascii="Tahoma" w:hAnsi="Tahoma" w:cs="Tahoma"/>
                <w:sz w:val="20"/>
              </w:rPr>
              <w:t>9</w:t>
            </w:r>
          </w:p>
        </w:tc>
        <w:tc>
          <w:tcPr>
            <w:tcW w:w="1276" w:type="dxa"/>
            <w:noWrap/>
            <w:tcMar>
              <w:left w:w="57" w:type="dxa"/>
              <w:right w:w="57" w:type="dxa"/>
            </w:tcMar>
            <w:vAlign w:val="bottom"/>
          </w:tcPr>
          <w:p w:rsidR="00C119E1" w:rsidRDefault="00C65C84" w:rsidP="00217218">
            <w:pPr>
              <w:spacing w:before="20" w:after="20"/>
              <w:jc w:val="center"/>
              <w:rPr>
                <w:rFonts w:ascii="Tahoma" w:hAnsi="Tahoma" w:cs="Tahoma"/>
                <w:sz w:val="20"/>
              </w:rPr>
            </w:pPr>
            <w:r>
              <w:rPr>
                <w:rFonts w:ascii="Tahoma" w:hAnsi="Tahoma" w:cs="Tahoma"/>
                <w:sz w:val="20"/>
              </w:rPr>
              <w:t>8.58</w:t>
            </w:r>
          </w:p>
        </w:tc>
        <w:tc>
          <w:tcPr>
            <w:tcW w:w="1276" w:type="dxa"/>
            <w:noWrap/>
            <w:tcMar>
              <w:left w:w="57" w:type="dxa"/>
              <w:right w:w="57" w:type="dxa"/>
            </w:tcMar>
            <w:vAlign w:val="bottom"/>
          </w:tcPr>
          <w:p w:rsidR="00C119E1" w:rsidRDefault="00CD3D95" w:rsidP="00217218">
            <w:pPr>
              <w:spacing w:before="20" w:after="20"/>
              <w:jc w:val="center"/>
              <w:rPr>
                <w:rFonts w:ascii="Tahoma" w:hAnsi="Tahoma" w:cs="Tahoma"/>
                <w:sz w:val="20"/>
              </w:rPr>
            </w:pPr>
            <w:r>
              <w:rPr>
                <w:rFonts w:ascii="Tahoma" w:hAnsi="Tahoma" w:cs="Tahoma"/>
                <w:sz w:val="20"/>
              </w:rPr>
              <w:t>33.</w:t>
            </w:r>
            <w:r w:rsidR="00C65C84">
              <w:rPr>
                <w:rFonts w:ascii="Tahoma" w:hAnsi="Tahoma" w:cs="Tahoma"/>
                <w:sz w:val="20"/>
              </w:rPr>
              <w:t>93</w:t>
            </w:r>
          </w:p>
        </w:tc>
        <w:tc>
          <w:tcPr>
            <w:tcW w:w="1276" w:type="dxa"/>
            <w:noWrap/>
            <w:tcMar>
              <w:left w:w="57" w:type="dxa"/>
              <w:right w:w="57" w:type="dxa"/>
            </w:tcMar>
            <w:vAlign w:val="bottom"/>
          </w:tcPr>
          <w:p w:rsidR="00C119E1" w:rsidRDefault="00CD3D95" w:rsidP="00217218">
            <w:pPr>
              <w:jc w:val="center"/>
              <w:rPr>
                <w:rFonts w:ascii="Tahoma" w:hAnsi="Tahoma" w:cs="Tahoma"/>
                <w:sz w:val="20"/>
              </w:rPr>
            </w:pPr>
            <w:r>
              <w:rPr>
                <w:rFonts w:ascii="Tahoma" w:hAnsi="Tahoma" w:cs="Tahoma"/>
                <w:sz w:val="20"/>
              </w:rPr>
              <w:t>22.</w:t>
            </w:r>
            <w:r w:rsidR="00C65C84">
              <w:rPr>
                <w:rFonts w:ascii="Tahoma" w:hAnsi="Tahoma" w:cs="Tahoma"/>
                <w:sz w:val="20"/>
              </w:rPr>
              <w:t>78</w:t>
            </w:r>
          </w:p>
        </w:tc>
        <w:tc>
          <w:tcPr>
            <w:tcW w:w="1276" w:type="dxa"/>
            <w:noWrap/>
            <w:tcMar>
              <w:left w:w="57" w:type="dxa"/>
              <w:right w:w="57" w:type="dxa"/>
            </w:tcMar>
            <w:vAlign w:val="bottom"/>
          </w:tcPr>
          <w:p w:rsidR="00C119E1" w:rsidRDefault="00583B25" w:rsidP="00217218">
            <w:pPr>
              <w:spacing w:before="20" w:after="20"/>
              <w:jc w:val="center"/>
              <w:rPr>
                <w:rFonts w:ascii="Tahoma" w:hAnsi="Tahoma" w:cs="Tahoma"/>
                <w:sz w:val="20"/>
              </w:rPr>
            </w:pPr>
            <w:r>
              <w:rPr>
                <w:rFonts w:ascii="Tahoma" w:hAnsi="Tahoma" w:cs="Tahoma"/>
                <w:sz w:val="20"/>
              </w:rPr>
              <w:t>14.</w:t>
            </w:r>
            <w:r w:rsidR="00C65C84">
              <w:rPr>
                <w:rFonts w:ascii="Tahoma" w:hAnsi="Tahoma" w:cs="Tahoma"/>
                <w:sz w:val="20"/>
              </w:rPr>
              <w:t>3</w:t>
            </w:r>
            <w:r>
              <w:rPr>
                <w:rFonts w:ascii="Tahoma" w:hAnsi="Tahoma" w:cs="Tahoma"/>
                <w:sz w:val="20"/>
              </w:rPr>
              <w:t>8</w:t>
            </w:r>
          </w:p>
        </w:tc>
        <w:tc>
          <w:tcPr>
            <w:tcW w:w="1276" w:type="dxa"/>
            <w:noWrap/>
            <w:tcMar>
              <w:left w:w="57" w:type="dxa"/>
              <w:right w:w="57" w:type="dxa"/>
            </w:tcMar>
            <w:vAlign w:val="bottom"/>
          </w:tcPr>
          <w:p w:rsidR="00C119E1" w:rsidRDefault="00C57C12" w:rsidP="00217218">
            <w:pPr>
              <w:spacing w:before="20" w:after="20"/>
              <w:jc w:val="center"/>
              <w:rPr>
                <w:rFonts w:ascii="Tahoma" w:hAnsi="Tahoma" w:cs="Tahoma"/>
                <w:sz w:val="20"/>
              </w:rPr>
            </w:pPr>
            <w:r>
              <w:rPr>
                <w:rFonts w:ascii="Tahoma" w:hAnsi="Tahoma" w:cs="Tahoma"/>
                <w:sz w:val="20"/>
              </w:rPr>
              <w:t>27.</w:t>
            </w:r>
            <w:r w:rsidR="00C65C84">
              <w:rPr>
                <w:rFonts w:ascii="Tahoma" w:hAnsi="Tahoma" w:cs="Tahoma"/>
                <w:sz w:val="20"/>
              </w:rPr>
              <w:t>04</w:t>
            </w:r>
          </w:p>
        </w:tc>
        <w:tc>
          <w:tcPr>
            <w:tcW w:w="1276" w:type="dxa"/>
            <w:noWrap/>
            <w:tcMar>
              <w:left w:w="57" w:type="dxa"/>
              <w:right w:w="57" w:type="dxa"/>
            </w:tcMar>
            <w:vAlign w:val="bottom"/>
          </w:tcPr>
          <w:p w:rsidR="00C119E1" w:rsidRDefault="00C57C12" w:rsidP="00217218">
            <w:pPr>
              <w:jc w:val="center"/>
              <w:rPr>
                <w:rFonts w:ascii="Tahoma" w:hAnsi="Tahoma" w:cs="Tahoma"/>
                <w:sz w:val="20"/>
              </w:rPr>
            </w:pPr>
            <w:r>
              <w:rPr>
                <w:rFonts w:ascii="Tahoma" w:hAnsi="Tahoma" w:cs="Tahoma"/>
                <w:sz w:val="20"/>
              </w:rPr>
              <w:t>17.</w:t>
            </w:r>
            <w:r w:rsidR="00C65C84">
              <w:rPr>
                <w:rFonts w:ascii="Tahoma" w:hAnsi="Tahoma" w:cs="Tahoma"/>
                <w:sz w:val="20"/>
              </w:rPr>
              <w:t>35</w:t>
            </w:r>
          </w:p>
        </w:tc>
      </w:tr>
    </w:tbl>
    <w:p w:rsidR="0001173E" w:rsidRDefault="0001173E" w:rsidP="0001173E">
      <w:pPr>
        <w:rPr>
          <w:rFonts w:ascii="Tahoma" w:hAnsi="Tahoma" w:cs="Tahoma"/>
          <w:sz w:val="22"/>
          <w:szCs w:val="22"/>
        </w:rPr>
      </w:pPr>
    </w:p>
    <w:p w:rsidR="003F2393" w:rsidRDefault="003F2393" w:rsidP="00BB1FFE">
      <w:pPr>
        <w:numPr>
          <w:ilvl w:val="0"/>
          <w:numId w:val="9"/>
        </w:numPr>
        <w:tabs>
          <w:tab w:val="clear" w:pos="720"/>
          <w:tab w:val="num" w:pos="709"/>
        </w:tabs>
        <w:spacing w:before="100" w:beforeAutospacing="1" w:after="120"/>
        <w:ind w:left="709" w:hanging="283"/>
        <w:rPr>
          <w:rFonts w:ascii="Tahoma" w:hAnsi="Tahoma" w:cs="Tahoma"/>
          <w:sz w:val="22"/>
          <w:szCs w:val="22"/>
        </w:rPr>
      </w:pPr>
      <w:r>
        <w:rPr>
          <w:rFonts w:ascii="Tahoma" w:hAnsi="Tahoma" w:cs="Tahoma"/>
          <w:sz w:val="22"/>
          <w:szCs w:val="22"/>
        </w:rPr>
        <w:t xml:space="preserve">Between the June 2008 and June 2009 reporting periods, Scheme MTIFR increased </w:t>
      </w:r>
      <w:r w:rsidR="00084E9C">
        <w:rPr>
          <w:rFonts w:ascii="Tahoma" w:hAnsi="Tahoma" w:cs="Tahoma"/>
          <w:sz w:val="22"/>
          <w:szCs w:val="22"/>
        </w:rPr>
        <w:t xml:space="preserve">significantly </w:t>
      </w:r>
      <w:r w:rsidR="00040647">
        <w:rPr>
          <w:rFonts w:ascii="Tahoma" w:hAnsi="Tahoma" w:cs="Tahoma"/>
          <w:sz w:val="22"/>
          <w:szCs w:val="22"/>
        </w:rPr>
        <w:t xml:space="preserve">(due in part to a significant increase in the number of Scheme projects and the number of accredited contractors undertaking Scheme projects) </w:t>
      </w:r>
      <w:r>
        <w:rPr>
          <w:rFonts w:ascii="Tahoma" w:hAnsi="Tahoma" w:cs="Tahoma"/>
          <w:sz w:val="22"/>
          <w:szCs w:val="22"/>
        </w:rPr>
        <w:t>while non-Scheme MTIFR decreased.</w:t>
      </w:r>
    </w:p>
    <w:p w:rsidR="005770F2" w:rsidRPr="00BB1FFE" w:rsidRDefault="00B13F45" w:rsidP="00B41D76">
      <w:pPr>
        <w:numPr>
          <w:ilvl w:val="0"/>
          <w:numId w:val="9"/>
        </w:numPr>
        <w:spacing w:before="100" w:beforeAutospacing="1" w:after="120"/>
        <w:ind w:left="709" w:hanging="283"/>
        <w:rPr>
          <w:rFonts w:ascii="Tahoma" w:hAnsi="Tahoma" w:cs="Tahoma"/>
          <w:sz w:val="22"/>
          <w:szCs w:val="22"/>
        </w:rPr>
      </w:pPr>
      <w:r>
        <w:rPr>
          <w:rFonts w:ascii="Tahoma" w:hAnsi="Tahoma" w:cs="Tahoma"/>
          <w:sz w:val="22"/>
          <w:szCs w:val="22"/>
        </w:rPr>
        <w:t>Both Scheme and non-Scheme projects had extreme MTIFR values which</w:t>
      </w:r>
      <w:r w:rsidR="00EB147D">
        <w:rPr>
          <w:rFonts w:ascii="Tahoma" w:hAnsi="Tahoma" w:cs="Tahoma"/>
          <w:sz w:val="22"/>
          <w:szCs w:val="22"/>
        </w:rPr>
        <w:t xml:space="preserve"> had a</w:t>
      </w:r>
      <w:r w:rsidR="002B1C2E">
        <w:rPr>
          <w:rFonts w:ascii="Tahoma" w:hAnsi="Tahoma" w:cs="Tahoma"/>
          <w:sz w:val="22"/>
          <w:szCs w:val="22"/>
        </w:rPr>
        <w:t>n impact</w:t>
      </w:r>
      <w:r w:rsidR="00EB147D">
        <w:rPr>
          <w:rFonts w:ascii="Tahoma" w:hAnsi="Tahoma" w:cs="Tahoma"/>
          <w:sz w:val="22"/>
          <w:szCs w:val="22"/>
        </w:rPr>
        <w:t xml:space="preserve"> on</w:t>
      </w:r>
      <w:r>
        <w:rPr>
          <w:rFonts w:ascii="Tahoma" w:hAnsi="Tahoma" w:cs="Tahoma"/>
          <w:sz w:val="22"/>
          <w:szCs w:val="22"/>
        </w:rPr>
        <w:t xml:space="preserve"> </w:t>
      </w:r>
      <w:r w:rsidR="00EB147D">
        <w:rPr>
          <w:rFonts w:ascii="Tahoma" w:hAnsi="Tahoma" w:cs="Tahoma"/>
          <w:sz w:val="22"/>
          <w:szCs w:val="22"/>
        </w:rPr>
        <w:t>all</w:t>
      </w:r>
      <w:r>
        <w:rPr>
          <w:rFonts w:ascii="Tahoma" w:hAnsi="Tahoma" w:cs="Tahoma"/>
          <w:sz w:val="22"/>
          <w:szCs w:val="22"/>
        </w:rPr>
        <w:t xml:space="preserve"> MTIFR averages.</w:t>
      </w:r>
    </w:p>
    <w:p w:rsidR="009E7050" w:rsidRDefault="00F435E4" w:rsidP="009E7050">
      <w:pPr>
        <w:numPr>
          <w:ilvl w:val="0"/>
          <w:numId w:val="9"/>
        </w:numPr>
        <w:ind w:left="709" w:hanging="283"/>
        <w:rPr>
          <w:rFonts w:ascii="Tahoma" w:hAnsi="Tahoma" w:cs="Tahoma"/>
          <w:sz w:val="22"/>
          <w:szCs w:val="22"/>
        </w:rPr>
      </w:pPr>
      <w:r>
        <w:rPr>
          <w:rFonts w:ascii="Tahoma" w:hAnsi="Tahoma" w:cs="Tahoma"/>
          <w:sz w:val="22"/>
          <w:szCs w:val="22"/>
        </w:rPr>
        <w:t xml:space="preserve">For the June 2009 period, around 46 per cent of all accredited contractors undertaking Scheme projects reported no </w:t>
      </w:r>
      <w:r w:rsidR="00B41D76">
        <w:rPr>
          <w:rFonts w:ascii="Tahoma" w:hAnsi="Tahoma" w:cs="Tahoma"/>
          <w:sz w:val="22"/>
          <w:szCs w:val="22"/>
        </w:rPr>
        <w:t>M</w:t>
      </w:r>
      <w:r>
        <w:rPr>
          <w:rFonts w:ascii="Tahoma" w:hAnsi="Tahoma" w:cs="Tahoma"/>
          <w:sz w:val="22"/>
          <w:szCs w:val="22"/>
        </w:rPr>
        <w:t>TI’s, while around 7</w:t>
      </w:r>
      <w:r w:rsidR="00B41D76">
        <w:rPr>
          <w:rFonts w:ascii="Tahoma" w:hAnsi="Tahoma" w:cs="Tahoma"/>
          <w:sz w:val="22"/>
          <w:szCs w:val="22"/>
        </w:rPr>
        <w:t>2</w:t>
      </w:r>
      <w:r>
        <w:rPr>
          <w:rFonts w:ascii="Tahoma" w:hAnsi="Tahoma" w:cs="Tahoma"/>
          <w:sz w:val="22"/>
          <w:szCs w:val="22"/>
        </w:rPr>
        <w:t xml:space="preserve"> per cent were below the mean </w:t>
      </w:r>
      <w:r w:rsidR="00B41D76">
        <w:rPr>
          <w:rFonts w:ascii="Tahoma" w:hAnsi="Tahoma" w:cs="Tahoma"/>
          <w:sz w:val="22"/>
          <w:szCs w:val="22"/>
        </w:rPr>
        <w:t>M</w:t>
      </w:r>
      <w:r>
        <w:rPr>
          <w:rFonts w:ascii="Tahoma" w:hAnsi="Tahoma" w:cs="Tahoma"/>
          <w:sz w:val="22"/>
          <w:szCs w:val="22"/>
        </w:rPr>
        <w:t>TIFR for Scheme projects (Chart 4)</w:t>
      </w:r>
      <w:r w:rsidR="002B1C2E">
        <w:rPr>
          <w:rFonts w:ascii="Tahoma" w:hAnsi="Tahoma" w:cs="Tahoma"/>
          <w:sz w:val="22"/>
          <w:szCs w:val="22"/>
        </w:rPr>
        <w:t xml:space="preserve">; compared to </w:t>
      </w:r>
      <w:r w:rsidR="00DA75A1">
        <w:rPr>
          <w:rFonts w:ascii="Tahoma" w:hAnsi="Tahoma" w:cs="Tahoma"/>
          <w:sz w:val="22"/>
          <w:szCs w:val="22"/>
        </w:rPr>
        <w:t>53 per cent and 66 per cent respectively</w:t>
      </w:r>
      <w:r w:rsidR="002B1C2E">
        <w:rPr>
          <w:rFonts w:ascii="Tahoma" w:hAnsi="Tahoma" w:cs="Tahoma"/>
          <w:sz w:val="22"/>
          <w:szCs w:val="22"/>
        </w:rPr>
        <w:t xml:space="preserve"> for the June 2008 period</w:t>
      </w:r>
      <w:r w:rsidR="00DA75A1">
        <w:rPr>
          <w:rFonts w:ascii="Tahoma" w:hAnsi="Tahoma" w:cs="Tahoma"/>
          <w:sz w:val="22"/>
          <w:szCs w:val="22"/>
        </w:rPr>
        <w:t>.</w:t>
      </w:r>
    </w:p>
    <w:p w:rsidR="009E7050" w:rsidRPr="009E7050" w:rsidRDefault="009E7050" w:rsidP="009E7050">
      <w:pPr>
        <w:ind w:left="709"/>
        <w:rPr>
          <w:rFonts w:ascii="Tahoma" w:hAnsi="Tahoma" w:cs="Tahoma"/>
          <w:sz w:val="22"/>
          <w:szCs w:val="22"/>
        </w:rPr>
      </w:pPr>
    </w:p>
    <w:p w:rsidR="000A37EA" w:rsidRPr="00CC62D6" w:rsidRDefault="00F435E4" w:rsidP="00CC62D6">
      <w:pPr>
        <w:numPr>
          <w:ilvl w:val="0"/>
          <w:numId w:val="9"/>
        </w:numPr>
        <w:tabs>
          <w:tab w:val="clear" w:pos="720"/>
          <w:tab w:val="left" w:pos="709"/>
        </w:tabs>
        <w:spacing w:before="100" w:beforeAutospacing="1" w:after="120"/>
        <w:ind w:left="709" w:hanging="283"/>
        <w:rPr>
          <w:rFonts w:ascii="Tahoma" w:hAnsi="Tahoma" w:cs="Tahoma"/>
          <w:sz w:val="22"/>
          <w:szCs w:val="22"/>
        </w:rPr>
      </w:pPr>
      <w:r>
        <w:rPr>
          <w:rFonts w:ascii="Tahoma" w:hAnsi="Tahoma" w:cs="Tahoma"/>
          <w:sz w:val="22"/>
          <w:szCs w:val="22"/>
        </w:rPr>
        <w:t xml:space="preserve">For the same period, around </w:t>
      </w:r>
      <w:r w:rsidR="00B41D76">
        <w:rPr>
          <w:rFonts w:ascii="Tahoma" w:hAnsi="Tahoma" w:cs="Tahoma"/>
          <w:sz w:val="22"/>
          <w:szCs w:val="22"/>
        </w:rPr>
        <w:t>2</w:t>
      </w:r>
      <w:r>
        <w:rPr>
          <w:rFonts w:ascii="Tahoma" w:hAnsi="Tahoma" w:cs="Tahoma"/>
          <w:sz w:val="22"/>
          <w:szCs w:val="22"/>
        </w:rPr>
        <w:t xml:space="preserve">5 per cent of all accredited contractors undertaking non-Scheme projects reported no </w:t>
      </w:r>
      <w:r w:rsidR="00B41D76">
        <w:rPr>
          <w:rFonts w:ascii="Tahoma" w:hAnsi="Tahoma" w:cs="Tahoma"/>
          <w:sz w:val="22"/>
          <w:szCs w:val="22"/>
        </w:rPr>
        <w:t>M</w:t>
      </w:r>
      <w:r>
        <w:rPr>
          <w:rFonts w:ascii="Tahoma" w:hAnsi="Tahoma" w:cs="Tahoma"/>
          <w:sz w:val="22"/>
          <w:szCs w:val="22"/>
        </w:rPr>
        <w:t>TI’s, while around 7</w:t>
      </w:r>
      <w:r w:rsidR="00B41D76">
        <w:rPr>
          <w:rFonts w:ascii="Tahoma" w:hAnsi="Tahoma" w:cs="Tahoma"/>
          <w:sz w:val="22"/>
          <w:szCs w:val="22"/>
        </w:rPr>
        <w:t>5</w:t>
      </w:r>
      <w:r>
        <w:rPr>
          <w:rFonts w:ascii="Tahoma" w:hAnsi="Tahoma" w:cs="Tahoma"/>
          <w:sz w:val="22"/>
          <w:szCs w:val="22"/>
        </w:rPr>
        <w:t xml:space="preserve"> per cent were below the mean </w:t>
      </w:r>
      <w:r w:rsidR="00B41D76">
        <w:rPr>
          <w:rFonts w:ascii="Tahoma" w:hAnsi="Tahoma" w:cs="Tahoma"/>
          <w:sz w:val="22"/>
          <w:szCs w:val="22"/>
        </w:rPr>
        <w:t>M</w:t>
      </w:r>
      <w:r>
        <w:rPr>
          <w:rFonts w:ascii="Tahoma" w:hAnsi="Tahoma" w:cs="Tahoma"/>
          <w:sz w:val="22"/>
          <w:szCs w:val="22"/>
        </w:rPr>
        <w:t>TIFR for non-Scheme projects (Chart 5)</w:t>
      </w:r>
      <w:r w:rsidR="00B13F45">
        <w:rPr>
          <w:rFonts w:ascii="Tahoma" w:hAnsi="Tahoma" w:cs="Tahoma"/>
          <w:sz w:val="22"/>
          <w:szCs w:val="22"/>
        </w:rPr>
        <w:t>; compar</w:t>
      </w:r>
      <w:r w:rsidR="002B1C2E">
        <w:rPr>
          <w:rFonts w:ascii="Tahoma" w:hAnsi="Tahoma" w:cs="Tahoma"/>
          <w:sz w:val="22"/>
          <w:szCs w:val="22"/>
        </w:rPr>
        <w:t>ed</w:t>
      </w:r>
      <w:r w:rsidR="00B13F45">
        <w:rPr>
          <w:rFonts w:ascii="Tahoma" w:hAnsi="Tahoma" w:cs="Tahoma"/>
          <w:sz w:val="22"/>
          <w:szCs w:val="22"/>
        </w:rPr>
        <w:t xml:space="preserve"> to </w:t>
      </w:r>
      <w:r w:rsidR="002B1C2E">
        <w:rPr>
          <w:rFonts w:ascii="Tahoma" w:hAnsi="Tahoma" w:cs="Tahoma"/>
          <w:sz w:val="22"/>
          <w:szCs w:val="22"/>
        </w:rPr>
        <w:t xml:space="preserve">20 per cent and 62 per cent respectively for </w:t>
      </w:r>
      <w:r w:rsidR="00B13F45">
        <w:rPr>
          <w:rFonts w:ascii="Tahoma" w:hAnsi="Tahoma" w:cs="Tahoma"/>
          <w:sz w:val="22"/>
          <w:szCs w:val="22"/>
        </w:rPr>
        <w:t>the June 2008 period</w:t>
      </w:r>
      <w:r w:rsidR="00DA75A1">
        <w:rPr>
          <w:rFonts w:ascii="Tahoma" w:hAnsi="Tahoma" w:cs="Tahoma"/>
          <w:sz w:val="22"/>
          <w:szCs w:val="22"/>
        </w:rPr>
        <w:t>.</w:t>
      </w:r>
    </w:p>
    <w:p w:rsidR="007A5319" w:rsidRPr="0028196C" w:rsidRDefault="00876E4C" w:rsidP="00CE7244">
      <w:pPr>
        <w:pStyle w:val="Heading2"/>
        <w:spacing w:before="120" w:after="120"/>
        <w:ind w:left="578" w:hanging="578"/>
      </w:pPr>
      <w:bookmarkStart w:id="19" w:name="_Toc246296854"/>
      <w:r w:rsidRPr="0028196C">
        <w:t>Profile of injuries</w:t>
      </w:r>
      <w:bookmarkEnd w:id="19"/>
    </w:p>
    <w:p w:rsidR="000D1B54" w:rsidRPr="0028196C" w:rsidRDefault="0063719A" w:rsidP="001C4369">
      <w:pPr>
        <w:spacing w:before="100" w:beforeAutospacing="1" w:after="120"/>
        <w:rPr>
          <w:rFonts w:ascii="Tahoma" w:hAnsi="Tahoma" w:cs="Tahoma"/>
          <w:sz w:val="22"/>
          <w:szCs w:val="22"/>
        </w:rPr>
      </w:pPr>
      <w:r w:rsidRPr="0028196C">
        <w:rPr>
          <w:rFonts w:ascii="Tahoma" w:hAnsi="Tahoma" w:cs="Tahoma"/>
          <w:sz w:val="22"/>
          <w:szCs w:val="22"/>
        </w:rPr>
        <w:t xml:space="preserve">Accredited contractors are required to report lost time incidents based on the mechanism of incident classification groups contained in the </w:t>
      </w:r>
      <w:r w:rsidRPr="009E7050">
        <w:rPr>
          <w:rStyle w:val="Emphasis"/>
        </w:rPr>
        <w:t>Type of Occurrence Classification System, Version 3.</w:t>
      </w:r>
      <w:r w:rsidR="00272A3C" w:rsidRPr="009E7050">
        <w:rPr>
          <w:rStyle w:val="Emphasis"/>
        </w:rPr>
        <w:t>1</w:t>
      </w:r>
      <w:r w:rsidRPr="0028196C">
        <w:rPr>
          <w:rFonts w:ascii="Tahoma" w:hAnsi="Tahoma" w:cs="Tahoma"/>
          <w:sz w:val="22"/>
          <w:szCs w:val="22"/>
        </w:rPr>
        <w:t xml:space="preserve"> (TOOCS3.</w:t>
      </w:r>
      <w:r w:rsidR="00272A3C" w:rsidRPr="0028196C">
        <w:rPr>
          <w:rFonts w:ascii="Tahoma" w:hAnsi="Tahoma" w:cs="Tahoma"/>
          <w:sz w:val="22"/>
          <w:szCs w:val="22"/>
        </w:rPr>
        <w:t>1</w:t>
      </w:r>
      <w:r w:rsidRPr="0028196C">
        <w:rPr>
          <w:rFonts w:ascii="Tahoma" w:hAnsi="Tahoma" w:cs="Tahoma"/>
          <w:sz w:val="22"/>
          <w:szCs w:val="22"/>
        </w:rPr>
        <w:t xml:space="preserve">) published by </w:t>
      </w:r>
      <w:r w:rsidR="00502828" w:rsidRPr="0028196C">
        <w:rPr>
          <w:rFonts w:ascii="Tahoma" w:hAnsi="Tahoma" w:cs="Tahoma"/>
          <w:sz w:val="22"/>
          <w:szCs w:val="22"/>
        </w:rPr>
        <w:t>Safe Work Australia</w:t>
      </w:r>
      <w:r w:rsidRPr="0028196C">
        <w:rPr>
          <w:rFonts w:ascii="Tahoma" w:hAnsi="Tahoma" w:cs="Tahoma"/>
          <w:sz w:val="22"/>
          <w:szCs w:val="22"/>
        </w:rPr>
        <w:t>.</w:t>
      </w:r>
    </w:p>
    <w:p w:rsidR="00F342F3" w:rsidRDefault="00876E4C" w:rsidP="00AE6F2B">
      <w:pPr>
        <w:spacing w:before="100" w:beforeAutospacing="1" w:after="120"/>
        <w:rPr>
          <w:rFonts w:ascii="Tahoma" w:hAnsi="Tahoma" w:cs="Tahoma"/>
          <w:sz w:val="22"/>
          <w:szCs w:val="22"/>
        </w:rPr>
      </w:pPr>
      <w:r w:rsidRPr="0028196C">
        <w:rPr>
          <w:rFonts w:ascii="Tahoma" w:hAnsi="Tahoma" w:cs="Tahoma"/>
          <w:sz w:val="22"/>
          <w:szCs w:val="22"/>
        </w:rPr>
        <w:lastRenderedPageBreak/>
        <w:t xml:space="preserve">The </w:t>
      </w:r>
      <w:r w:rsidRPr="009E7050">
        <w:rPr>
          <w:rStyle w:val="Emphasis"/>
        </w:rPr>
        <w:t>mechanism of incident</w:t>
      </w:r>
      <w:r w:rsidRPr="0028196C">
        <w:rPr>
          <w:rFonts w:ascii="Tahoma" w:hAnsi="Tahoma" w:cs="Tahoma"/>
          <w:sz w:val="22"/>
          <w:szCs w:val="22"/>
        </w:rPr>
        <w:t xml:space="preserve"> classification is intended to identify the overall action, exposure or event that best describes the circumstances that resulted in the most serious injury or disease.</w:t>
      </w:r>
      <w:r w:rsidR="00717762">
        <w:rPr>
          <w:rFonts w:ascii="Tahoma" w:hAnsi="Tahoma" w:cs="Tahoma"/>
          <w:sz w:val="22"/>
          <w:szCs w:val="22"/>
        </w:rPr>
        <w:t xml:space="preserve"> </w:t>
      </w:r>
      <w:r w:rsidR="002D6A23">
        <w:rPr>
          <w:rFonts w:ascii="Tahoma" w:hAnsi="Tahoma" w:cs="Tahoma"/>
          <w:sz w:val="22"/>
          <w:szCs w:val="22"/>
        </w:rPr>
        <w:t xml:space="preserve">Accredited contractors report at the </w:t>
      </w:r>
      <w:r w:rsidR="000633D7">
        <w:rPr>
          <w:rFonts w:ascii="Tahoma" w:hAnsi="Tahoma" w:cs="Tahoma"/>
          <w:sz w:val="22"/>
          <w:szCs w:val="22"/>
        </w:rPr>
        <w:t xml:space="preserve">major group </w:t>
      </w:r>
      <w:r w:rsidR="00E42153">
        <w:rPr>
          <w:rFonts w:ascii="Tahoma" w:hAnsi="Tahoma" w:cs="Tahoma"/>
          <w:sz w:val="22"/>
          <w:szCs w:val="22"/>
        </w:rPr>
        <w:t>classification level</w:t>
      </w:r>
      <w:r w:rsidR="002D6A23">
        <w:rPr>
          <w:rFonts w:ascii="Tahoma" w:hAnsi="Tahoma" w:cs="Tahoma"/>
          <w:sz w:val="22"/>
          <w:szCs w:val="22"/>
        </w:rPr>
        <w:t xml:space="preserve"> (</w:t>
      </w:r>
      <w:r w:rsidR="000633D7">
        <w:rPr>
          <w:rFonts w:ascii="Tahoma" w:hAnsi="Tahoma" w:cs="Tahoma"/>
          <w:sz w:val="22"/>
          <w:szCs w:val="22"/>
        </w:rPr>
        <w:t>see Glossary</w:t>
      </w:r>
      <w:r w:rsidR="002D6A23">
        <w:rPr>
          <w:rFonts w:ascii="Tahoma" w:hAnsi="Tahoma" w:cs="Tahoma"/>
          <w:sz w:val="22"/>
          <w:szCs w:val="22"/>
        </w:rPr>
        <w:t>)</w:t>
      </w:r>
      <w:r w:rsidR="00E42153">
        <w:rPr>
          <w:rFonts w:ascii="Tahoma" w:hAnsi="Tahoma" w:cs="Tahoma"/>
          <w:sz w:val="22"/>
          <w:szCs w:val="22"/>
        </w:rPr>
        <w:t>.</w:t>
      </w:r>
    </w:p>
    <w:p w:rsidR="006C6353" w:rsidRDefault="00941B75" w:rsidP="00BB1FFE">
      <w:pPr>
        <w:numPr>
          <w:ilvl w:val="0"/>
          <w:numId w:val="17"/>
        </w:numPr>
        <w:tabs>
          <w:tab w:val="clear" w:pos="568"/>
          <w:tab w:val="num" w:pos="709"/>
        </w:tabs>
        <w:spacing w:before="100" w:beforeAutospacing="1" w:after="120"/>
        <w:ind w:left="709"/>
        <w:rPr>
          <w:rFonts w:ascii="Tahoma" w:hAnsi="Tahoma" w:cs="Tahoma"/>
          <w:sz w:val="22"/>
          <w:szCs w:val="22"/>
        </w:rPr>
      </w:pPr>
      <w:r w:rsidRPr="001614C9">
        <w:rPr>
          <w:rFonts w:ascii="Tahoma" w:hAnsi="Tahoma" w:cs="Tahoma"/>
          <w:sz w:val="22"/>
          <w:szCs w:val="22"/>
        </w:rPr>
        <w:t xml:space="preserve">For the </w:t>
      </w:r>
      <w:r w:rsidR="009B4EEF">
        <w:rPr>
          <w:rFonts w:ascii="Tahoma" w:hAnsi="Tahoma" w:cs="Tahoma"/>
          <w:sz w:val="22"/>
          <w:szCs w:val="22"/>
        </w:rPr>
        <w:t>June</w:t>
      </w:r>
      <w:r w:rsidR="00797D7C">
        <w:rPr>
          <w:rFonts w:ascii="Tahoma" w:hAnsi="Tahoma" w:cs="Tahoma"/>
          <w:sz w:val="22"/>
          <w:szCs w:val="22"/>
        </w:rPr>
        <w:t> </w:t>
      </w:r>
      <w:r w:rsidRPr="001614C9">
        <w:rPr>
          <w:rFonts w:ascii="Tahoma" w:hAnsi="Tahoma" w:cs="Tahoma"/>
          <w:sz w:val="22"/>
          <w:szCs w:val="22"/>
        </w:rPr>
        <w:t>200</w:t>
      </w:r>
      <w:r w:rsidR="009B4EEF">
        <w:rPr>
          <w:rFonts w:ascii="Tahoma" w:hAnsi="Tahoma" w:cs="Tahoma"/>
          <w:sz w:val="22"/>
          <w:szCs w:val="22"/>
        </w:rPr>
        <w:t>9</w:t>
      </w:r>
      <w:r w:rsidRPr="001614C9">
        <w:rPr>
          <w:rFonts w:ascii="Tahoma" w:hAnsi="Tahoma" w:cs="Tahoma"/>
          <w:sz w:val="22"/>
          <w:szCs w:val="22"/>
        </w:rPr>
        <w:t xml:space="preserve"> reporting period, </w:t>
      </w:r>
      <w:r w:rsidR="009B4EEF">
        <w:rPr>
          <w:rFonts w:ascii="Tahoma" w:hAnsi="Tahoma" w:cs="Tahoma"/>
          <w:sz w:val="22"/>
          <w:szCs w:val="22"/>
        </w:rPr>
        <w:t>622</w:t>
      </w:r>
      <w:r w:rsidRPr="001614C9">
        <w:rPr>
          <w:rFonts w:ascii="Tahoma" w:hAnsi="Tahoma" w:cs="Tahoma"/>
          <w:sz w:val="22"/>
          <w:szCs w:val="22"/>
        </w:rPr>
        <w:t xml:space="preserve"> incidents were reported by </w:t>
      </w:r>
      <w:r w:rsidR="009B4EEF">
        <w:rPr>
          <w:rFonts w:ascii="Tahoma" w:hAnsi="Tahoma" w:cs="Tahoma"/>
          <w:sz w:val="22"/>
          <w:szCs w:val="22"/>
        </w:rPr>
        <w:t>91</w:t>
      </w:r>
      <w:r w:rsidRPr="001614C9">
        <w:rPr>
          <w:rFonts w:ascii="Tahoma" w:hAnsi="Tahoma" w:cs="Tahoma"/>
          <w:sz w:val="22"/>
          <w:szCs w:val="22"/>
        </w:rPr>
        <w:t xml:space="preserve"> accredited contractors compared to </w:t>
      </w:r>
      <w:r w:rsidR="00E42153">
        <w:rPr>
          <w:rFonts w:ascii="Tahoma" w:hAnsi="Tahoma" w:cs="Tahoma"/>
          <w:sz w:val="22"/>
          <w:szCs w:val="22"/>
        </w:rPr>
        <w:t>770</w:t>
      </w:r>
      <w:r w:rsidRPr="001614C9">
        <w:rPr>
          <w:rFonts w:ascii="Tahoma" w:hAnsi="Tahoma" w:cs="Tahoma"/>
          <w:sz w:val="22"/>
          <w:szCs w:val="22"/>
        </w:rPr>
        <w:t xml:space="preserve"> incidents by </w:t>
      </w:r>
      <w:r w:rsidR="00E42153">
        <w:rPr>
          <w:rFonts w:ascii="Tahoma" w:hAnsi="Tahoma" w:cs="Tahoma"/>
          <w:sz w:val="22"/>
          <w:szCs w:val="22"/>
        </w:rPr>
        <w:t>69</w:t>
      </w:r>
      <w:r w:rsidRPr="001614C9">
        <w:rPr>
          <w:rFonts w:ascii="Tahoma" w:hAnsi="Tahoma" w:cs="Tahoma"/>
          <w:sz w:val="22"/>
          <w:szCs w:val="22"/>
        </w:rPr>
        <w:t xml:space="preserve"> accredited contractors in the </w:t>
      </w:r>
      <w:r w:rsidR="00E42153">
        <w:rPr>
          <w:rFonts w:ascii="Tahoma" w:hAnsi="Tahoma" w:cs="Tahoma"/>
          <w:sz w:val="22"/>
          <w:szCs w:val="22"/>
        </w:rPr>
        <w:t>June</w:t>
      </w:r>
      <w:r w:rsidR="00797D7C">
        <w:rPr>
          <w:rFonts w:ascii="Tahoma" w:hAnsi="Tahoma" w:cs="Tahoma"/>
          <w:sz w:val="22"/>
          <w:szCs w:val="22"/>
        </w:rPr>
        <w:t> </w:t>
      </w:r>
      <w:r w:rsidRPr="001614C9">
        <w:rPr>
          <w:rFonts w:ascii="Tahoma" w:hAnsi="Tahoma" w:cs="Tahoma"/>
          <w:sz w:val="22"/>
          <w:szCs w:val="22"/>
        </w:rPr>
        <w:t>200</w:t>
      </w:r>
      <w:r w:rsidR="00E42153">
        <w:rPr>
          <w:rFonts w:ascii="Tahoma" w:hAnsi="Tahoma" w:cs="Tahoma"/>
          <w:sz w:val="22"/>
          <w:szCs w:val="22"/>
        </w:rPr>
        <w:t>8</w:t>
      </w:r>
      <w:r w:rsidRPr="001614C9">
        <w:rPr>
          <w:rFonts w:ascii="Tahoma" w:hAnsi="Tahoma" w:cs="Tahoma"/>
          <w:sz w:val="22"/>
          <w:szCs w:val="22"/>
        </w:rPr>
        <w:t xml:space="preserve"> reporting period, a </w:t>
      </w:r>
      <w:r w:rsidR="009B4EEF">
        <w:rPr>
          <w:rFonts w:ascii="Tahoma" w:hAnsi="Tahoma" w:cs="Tahoma"/>
          <w:sz w:val="22"/>
          <w:szCs w:val="22"/>
        </w:rPr>
        <w:t>de</w:t>
      </w:r>
      <w:r w:rsidRPr="001614C9">
        <w:rPr>
          <w:rFonts w:ascii="Tahoma" w:hAnsi="Tahoma" w:cs="Tahoma"/>
          <w:sz w:val="22"/>
          <w:szCs w:val="22"/>
        </w:rPr>
        <w:t>crease of 1</w:t>
      </w:r>
      <w:r w:rsidR="00E42153">
        <w:rPr>
          <w:rFonts w:ascii="Tahoma" w:hAnsi="Tahoma" w:cs="Tahoma"/>
          <w:sz w:val="22"/>
          <w:szCs w:val="22"/>
        </w:rPr>
        <w:t>9</w:t>
      </w:r>
      <w:r w:rsidRPr="001614C9">
        <w:rPr>
          <w:rFonts w:ascii="Tahoma" w:hAnsi="Tahoma" w:cs="Tahoma"/>
          <w:sz w:val="22"/>
          <w:szCs w:val="22"/>
        </w:rPr>
        <w:t> per cent in the number of incidents.</w:t>
      </w:r>
    </w:p>
    <w:p w:rsidR="006C6353" w:rsidRDefault="00941B75" w:rsidP="00BB1FFE">
      <w:pPr>
        <w:numPr>
          <w:ilvl w:val="0"/>
          <w:numId w:val="17"/>
        </w:numPr>
        <w:tabs>
          <w:tab w:val="clear" w:pos="568"/>
          <w:tab w:val="num" w:pos="709"/>
        </w:tabs>
        <w:spacing w:before="100" w:beforeAutospacing="1" w:after="120"/>
        <w:ind w:left="709"/>
        <w:rPr>
          <w:rFonts w:ascii="Tahoma" w:hAnsi="Tahoma" w:cs="Tahoma"/>
          <w:sz w:val="22"/>
          <w:szCs w:val="22"/>
        </w:rPr>
      </w:pPr>
      <w:r w:rsidRPr="006C6353">
        <w:rPr>
          <w:rFonts w:ascii="Tahoma" w:hAnsi="Tahoma" w:cs="Tahoma"/>
          <w:sz w:val="22"/>
          <w:szCs w:val="22"/>
        </w:rPr>
        <w:t>The top five mechanism of incident groups accounted for 9</w:t>
      </w:r>
      <w:r w:rsidR="009B4EEF" w:rsidRPr="006C6353">
        <w:rPr>
          <w:rFonts w:ascii="Tahoma" w:hAnsi="Tahoma" w:cs="Tahoma"/>
          <w:sz w:val="22"/>
          <w:szCs w:val="22"/>
        </w:rPr>
        <w:t>6</w:t>
      </w:r>
      <w:r w:rsidRPr="006C6353">
        <w:rPr>
          <w:rFonts w:ascii="Tahoma" w:hAnsi="Tahoma" w:cs="Tahoma"/>
          <w:sz w:val="22"/>
          <w:szCs w:val="22"/>
        </w:rPr>
        <w:t>.</w:t>
      </w:r>
      <w:r w:rsidR="009B4EEF" w:rsidRPr="006C6353">
        <w:rPr>
          <w:rFonts w:ascii="Tahoma" w:hAnsi="Tahoma" w:cs="Tahoma"/>
          <w:sz w:val="22"/>
          <w:szCs w:val="22"/>
        </w:rPr>
        <w:t>0</w:t>
      </w:r>
      <w:r w:rsidRPr="006C6353">
        <w:rPr>
          <w:rFonts w:ascii="Tahoma" w:hAnsi="Tahoma" w:cs="Tahoma"/>
          <w:sz w:val="22"/>
          <w:szCs w:val="22"/>
        </w:rPr>
        <w:t xml:space="preserve"> per cent of all incidents for the </w:t>
      </w:r>
      <w:r w:rsidR="009B4EEF" w:rsidRPr="006C6353">
        <w:rPr>
          <w:rFonts w:ascii="Tahoma" w:hAnsi="Tahoma" w:cs="Tahoma"/>
          <w:sz w:val="22"/>
          <w:szCs w:val="22"/>
        </w:rPr>
        <w:t>June</w:t>
      </w:r>
      <w:r w:rsidR="00797D7C" w:rsidRPr="006C6353">
        <w:rPr>
          <w:rFonts w:ascii="Tahoma" w:hAnsi="Tahoma" w:cs="Tahoma"/>
          <w:sz w:val="22"/>
          <w:szCs w:val="22"/>
        </w:rPr>
        <w:t> </w:t>
      </w:r>
      <w:r w:rsidRPr="006C6353">
        <w:rPr>
          <w:rFonts w:ascii="Tahoma" w:hAnsi="Tahoma" w:cs="Tahoma"/>
          <w:sz w:val="22"/>
          <w:szCs w:val="22"/>
        </w:rPr>
        <w:t>200</w:t>
      </w:r>
      <w:r w:rsidR="009B4EEF" w:rsidRPr="006C6353">
        <w:rPr>
          <w:rFonts w:ascii="Tahoma" w:hAnsi="Tahoma" w:cs="Tahoma"/>
          <w:sz w:val="22"/>
          <w:szCs w:val="22"/>
        </w:rPr>
        <w:t>9</w:t>
      </w:r>
      <w:r w:rsidRPr="006C6353">
        <w:rPr>
          <w:rFonts w:ascii="Tahoma" w:hAnsi="Tahoma" w:cs="Tahoma"/>
          <w:sz w:val="22"/>
          <w:szCs w:val="22"/>
        </w:rPr>
        <w:t xml:space="preserve"> reporting period compared to 9</w:t>
      </w:r>
      <w:r w:rsidR="00884743" w:rsidRPr="006C6353">
        <w:rPr>
          <w:rFonts w:ascii="Tahoma" w:hAnsi="Tahoma" w:cs="Tahoma"/>
          <w:sz w:val="22"/>
          <w:szCs w:val="22"/>
        </w:rPr>
        <w:t>4.8</w:t>
      </w:r>
      <w:r w:rsidRPr="006C6353">
        <w:rPr>
          <w:rFonts w:ascii="Tahoma" w:hAnsi="Tahoma" w:cs="Tahoma"/>
          <w:sz w:val="22"/>
          <w:szCs w:val="22"/>
        </w:rPr>
        <w:t xml:space="preserve"> per cent for the </w:t>
      </w:r>
      <w:r w:rsidR="00884743" w:rsidRPr="006C6353">
        <w:rPr>
          <w:rFonts w:ascii="Tahoma" w:hAnsi="Tahoma" w:cs="Tahoma"/>
          <w:sz w:val="22"/>
          <w:szCs w:val="22"/>
        </w:rPr>
        <w:t>June</w:t>
      </w:r>
      <w:r w:rsidR="00797D7C" w:rsidRPr="006C6353">
        <w:rPr>
          <w:rFonts w:ascii="Tahoma" w:hAnsi="Tahoma" w:cs="Tahoma"/>
          <w:sz w:val="22"/>
          <w:szCs w:val="22"/>
        </w:rPr>
        <w:t> </w:t>
      </w:r>
      <w:r w:rsidRPr="006C6353">
        <w:rPr>
          <w:rFonts w:ascii="Tahoma" w:hAnsi="Tahoma" w:cs="Tahoma"/>
          <w:sz w:val="22"/>
          <w:szCs w:val="22"/>
        </w:rPr>
        <w:t>200</w:t>
      </w:r>
      <w:r w:rsidR="00884743" w:rsidRPr="006C6353">
        <w:rPr>
          <w:rFonts w:ascii="Tahoma" w:hAnsi="Tahoma" w:cs="Tahoma"/>
          <w:sz w:val="22"/>
          <w:szCs w:val="22"/>
        </w:rPr>
        <w:t>8</w:t>
      </w:r>
      <w:r w:rsidRPr="006C6353">
        <w:rPr>
          <w:rFonts w:ascii="Tahoma" w:hAnsi="Tahoma" w:cs="Tahoma"/>
          <w:sz w:val="22"/>
          <w:szCs w:val="22"/>
        </w:rPr>
        <w:t xml:space="preserve"> reporting period</w:t>
      </w:r>
      <w:r w:rsidR="00884743" w:rsidRPr="006C6353">
        <w:rPr>
          <w:rFonts w:ascii="Tahoma" w:hAnsi="Tahoma" w:cs="Tahoma"/>
          <w:sz w:val="22"/>
          <w:szCs w:val="22"/>
        </w:rPr>
        <w:t>.</w:t>
      </w:r>
    </w:p>
    <w:p w:rsidR="007B1780" w:rsidRPr="00CC62D6" w:rsidRDefault="00884743" w:rsidP="007B1780">
      <w:pPr>
        <w:numPr>
          <w:ilvl w:val="0"/>
          <w:numId w:val="17"/>
        </w:numPr>
        <w:tabs>
          <w:tab w:val="clear" w:pos="568"/>
          <w:tab w:val="num" w:pos="709"/>
        </w:tabs>
        <w:spacing w:before="100" w:beforeAutospacing="1" w:after="120"/>
        <w:ind w:left="709"/>
        <w:rPr>
          <w:rFonts w:ascii="Tahoma" w:hAnsi="Tahoma" w:cs="Tahoma"/>
          <w:sz w:val="22"/>
          <w:szCs w:val="22"/>
        </w:rPr>
      </w:pPr>
      <w:r w:rsidRPr="009E7050">
        <w:rPr>
          <w:rStyle w:val="Emphasis"/>
        </w:rPr>
        <w:t>Falls, trips and slips of a person</w:t>
      </w:r>
      <w:r w:rsidR="00941B75" w:rsidRPr="006C6353">
        <w:rPr>
          <w:rFonts w:ascii="Tahoma" w:hAnsi="Tahoma" w:cs="Tahoma"/>
          <w:sz w:val="22"/>
          <w:szCs w:val="22"/>
        </w:rPr>
        <w:t xml:space="preserve"> </w:t>
      </w:r>
      <w:r w:rsidRPr="006C6353">
        <w:rPr>
          <w:rFonts w:ascii="Tahoma" w:hAnsi="Tahoma" w:cs="Tahoma"/>
          <w:sz w:val="22"/>
          <w:szCs w:val="22"/>
        </w:rPr>
        <w:t>was the most common incident in June</w:t>
      </w:r>
      <w:r w:rsidR="00797D7C" w:rsidRPr="006C6353">
        <w:rPr>
          <w:rFonts w:ascii="Tahoma" w:hAnsi="Tahoma" w:cs="Tahoma"/>
          <w:sz w:val="22"/>
          <w:szCs w:val="22"/>
        </w:rPr>
        <w:t> </w:t>
      </w:r>
      <w:r w:rsidRPr="006C6353">
        <w:rPr>
          <w:rFonts w:ascii="Tahoma" w:hAnsi="Tahoma" w:cs="Tahoma"/>
          <w:sz w:val="22"/>
          <w:szCs w:val="22"/>
        </w:rPr>
        <w:t>2009 (ranked 2</w:t>
      </w:r>
      <w:r w:rsidRPr="006C6353">
        <w:rPr>
          <w:rFonts w:ascii="Tahoma" w:hAnsi="Tahoma" w:cs="Tahoma"/>
          <w:sz w:val="22"/>
          <w:szCs w:val="22"/>
          <w:vertAlign w:val="superscript"/>
        </w:rPr>
        <w:t>nd</w:t>
      </w:r>
      <w:r w:rsidRPr="006C6353">
        <w:rPr>
          <w:rFonts w:ascii="Tahoma" w:hAnsi="Tahoma" w:cs="Tahoma"/>
          <w:sz w:val="22"/>
          <w:szCs w:val="22"/>
        </w:rPr>
        <w:t xml:space="preserve"> in June</w:t>
      </w:r>
      <w:r w:rsidR="001D3EEB" w:rsidRPr="006C6353">
        <w:rPr>
          <w:rFonts w:ascii="Tahoma" w:hAnsi="Tahoma" w:cs="Tahoma"/>
          <w:sz w:val="22"/>
          <w:szCs w:val="22"/>
        </w:rPr>
        <w:t> </w:t>
      </w:r>
      <w:r w:rsidRPr="006C6353">
        <w:rPr>
          <w:rFonts w:ascii="Tahoma" w:hAnsi="Tahoma" w:cs="Tahoma"/>
          <w:sz w:val="22"/>
          <w:szCs w:val="22"/>
        </w:rPr>
        <w:t xml:space="preserve">2008), whereas </w:t>
      </w:r>
      <w:r w:rsidRPr="009E7050">
        <w:rPr>
          <w:rStyle w:val="Emphasis"/>
        </w:rPr>
        <w:t>Body stressing</w:t>
      </w:r>
      <w:r w:rsidRPr="006C6353">
        <w:rPr>
          <w:rFonts w:ascii="Tahoma" w:hAnsi="Tahoma" w:cs="Tahoma"/>
          <w:sz w:val="22"/>
          <w:szCs w:val="22"/>
        </w:rPr>
        <w:t xml:space="preserve"> was the most prevalent incident in June</w:t>
      </w:r>
      <w:r w:rsidR="00797D7C" w:rsidRPr="006C6353">
        <w:rPr>
          <w:rFonts w:ascii="Tahoma" w:hAnsi="Tahoma" w:cs="Tahoma"/>
          <w:sz w:val="22"/>
          <w:szCs w:val="22"/>
        </w:rPr>
        <w:t> </w:t>
      </w:r>
      <w:r w:rsidRPr="006C6353">
        <w:rPr>
          <w:rFonts w:ascii="Tahoma" w:hAnsi="Tahoma" w:cs="Tahoma"/>
          <w:sz w:val="22"/>
          <w:szCs w:val="22"/>
        </w:rPr>
        <w:t>2008 (ranked 2</w:t>
      </w:r>
      <w:r w:rsidRPr="006C6353">
        <w:rPr>
          <w:rFonts w:ascii="Tahoma" w:hAnsi="Tahoma" w:cs="Tahoma"/>
          <w:sz w:val="22"/>
          <w:szCs w:val="22"/>
          <w:vertAlign w:val="superscript"/>
        </w:rPr>
        <w:t>nd</w:t>
      </w:r>
      <w:r w:rsidRPr="006C6353">
        <w:rPr>
          <w:rFonts w:ascii="Tahoma" w:hAnsi="Tahoma" w:cs="Tahoma"/>
          <w:sz w:val="22"/>
          <w:szCs w:val="22"/>
        </w:rPr>
        <w:t xml:space="preserve"> in June</w:t>
      </w:r>
      <w:r w:rsidR="001D3EEB" w:rsidRPr="006C6353">
        <w:rPr>
          <w:rFonts w:ascii="Tahoma" w:hAnsi="Tahoma" w:cs="Tahoma"/>
          <w:sz w:val="22"/>
          <w:szCs w:val="22"/>
        </w:rPr>
        <w:t> </w:t>
      </w:r>
      <w:r w:rsidRPr="006C6353">
        <w:rPr>
          <w:rFonts w:ascii="Tahoma" w:hAnsi="Tahoma" w:cs="Tahoma"/>
          <w:sz w:val="22"/>
          <w:szCs w:val="22"/>
        </w:rPr>
        <w:t>2009).</w:t>
      </w:r>
    </w:p>
    <w:p w:rsidR="00ED336C" w:rsidRPr="007F0381" w:rsidRDefault="001E5401" w:rsidP="00CE7244">
      <w:pPr>
        <w:pStyle w:val="Heading2"/>
        <w:spacing w:before="120" w:after="120"/>
        <w:ind w:left="578" w:hanging="578"/>
      </w:pPr>
      <w:bookmarkStart w:id="20" w:name="_Toc246296855"/>
      <w:r>
        <w:t>High</w:t>
      </w:r>
      <w:r w:rsidR="003909C7">
        <w:t>-</w:t>
      </w:r>
      <w:r>
        <w:t>risk construction work</w:t>
      </w:r>
      <w:bookmarkEnd w:id="20"/>
    </w:p>
    <w:p w:rsidR="00E75914" w:rsidRDefault="009A1E5C" w:rsidP="001C4369">
      <w:pPr>
        <w:spacing w:before="100" w:beforeAutospacing="1" w:after="120"/>
        <w:rPr>
          <w:rFonts w:ascii="Tahoma" w:hAnsi="Tahoma" w:cs="Tahoma"/>
          <w:sz w:val="22"/>
          <w:szCs w:val="22"/>
        </w:rPr>
      </w:pPr>
      <w:r>
        <w:rPr>
          <w:rFonts w:ascii="Tahoma" w:hAnsi="Tahoma" w:cs="Tahoma"/>
          <w:sz w:val="22"/>
          <w:szCs w:val="22"/>
        </w:rPr>
        <w:t xml:space="preserve">Accredited contractors are required to report if they </w:t>
      </w:r>
      <w:r w:rsidR="00941B75">
        <w:rPr>
          <w:rFonts w:ascii="Tahoma" w:hAnsi="Tahoma" w:cs="Tahoma"/>
          <w:sz w:val="22"/>
          <w:szCs w:val="22"/>
        </w:rPr>
        <w:t>performed</w:t>
      </w:r>
      <w:r>
        <w:rPr>
          <w:rFonts w:ascii="Tahoma" w:hAnsi="Tahoma" w:cs="Tahoma"/>
          <w:sz w:val="22"/>
          <w:szCs w:val="22"/>
        </w:rPr>
        <w:t xml:space="preserve"> any </w:t>
      </w:r>
      <w:r w:rsidR="00926674" w:rsidRPr="005A4FFA">
        <w:rPr>
          <w:rFonts w:ascii="Tahoma" w:hAnsi="Tahoma" w:cs="Tahoma"/>
          <w:i/>
          <w:sz w:val="22"/>
          <w:szCs w:val="22"/>
        </w:rPr>
        <w:t>‘</w:t>
      </w:r>
      <w:r w:rsidRPr="009E7050">
        <w:rPr>
          <w:rStyle w:val="Emphasis"/>
        </w:rPr>
        <w:t>high</w:t>
      </w:r>
      <w:r w:rsidR="003909C7" w:rsidRPr="009E7050">
        <w:rPr>
          <w:rStyle w:val="Emphasis"/>
        </w:rPr>
        <w:t>-</w:t>
      </w:r>
      <w:r w:rsidRPr="009E7050">
        <w:rPr>
          <w:rStyle w:val="Emphasis"/>
        </w:rPr>
        <w:t>risk construction work</w:t>
      </w:r>
      <w:r w:rsidR="00926674" w:rsidRPr="009E7050">
        <w:rPr>
          <w:rStyle w:val="Emphasis"/>
        </w:rPr>
        <w:t>’</w:t>
      </w:r>
      <w:r>
        <w:rPr>
          <w:rFonts w:ascii="Tahoma" w:hAnsi="Tahoma" w:cs="Tahoma"/>
          <w:sz w:val="22"/>
          <w:szCs w:val="22"/>
        </w:rPr>
        <w:t xml:space="preserve"> </w:t>
      </w:r>
      <w:r w:rsidR="00536D9B">
        <w:rPr>
          <w:rFonts w:ascii="Tahoma" w:hAnsi="Tahoma" w:cs="Tahoma"/>
          <w:sz w:val="22"/>
          <w:szCs w:val="22"/>
        </w:rPr>
        <w:t xml:space="preserve">as described in the </w:t>
      </w:r>
      <w:r w:rsidR="00926674" w:rsidRPr="009E7050">
        <w:rPr>
          <w:rStyle w:val="Emphasis"/>
        </w:rPr>
        <w:t>National Standard For Construction Work</w:t>
      </w:r>
      <w:r w:rsidR="00926674">
        <w:rPr>
          <w:rFonts w:ascii="Tahoma" w:hAnsi="Tahoma" w:cs="Tahoma"/>
          <w:sz w:val="22"/>
          <w:szCs w:val="22"/>
        </w:rPr>
        <w:t xml:space="preserve"> [NOHSC:1016 (2005)] </w:t>
      </w:r>
      <w:r w:rsidR="00536D9B">
        <w:rPr>
          <w:rFonts w:ascii="Tahoma" w:hAnsi="Tahoma" w:cs="Tahoma"/>
          <w:sz w:val="22"/>
          <w:szCs w:val="22"/>
        </w:rPr>
        <w:t xml:space="preserve">published by </w:t>
      </w:r>
      <w:r w:rsidR="00502828">
        <w:rPr>
          <w:rFonts w:ascii="Tahoma" w:hAnsi="Tahoma" w:cs="Tahoma"/>
          <w:sz w:val="22"/>
          <w:szCs w:val="22"/>
        </w:rPr>
        <w:t>Safe Work Australia</w:t>
      </w:r>
      <w:r w:rsidR="00F15A1D">
        <w:rPr>
          <w:rFonts w:ascii="Tahoma" w:hAnsi="Tahoma" w:cs="Tahoma"/>
          <w:sz w:val="22"/>
          <w:szCs w:val="22"/>
        </w:rPr>
        <w:t xml:space="preserve"> </w:t>
      </w:r>
      <w:r>
        <w:rPr>
          <w:rFonts w:ascii="Tahoma" w:hAnsi="Tahoma" w:cs="Tahoma"/>
          <w:sz w:val="22"/>
          <w:szCs w:val="22"/>
        </w:rPr>
        <w:t xml:space="preserve">and indicate whether any such work resulted in </w:t>
      </w:r>
      <w:r w:rsidR="00E75914">
        <w:rPr>
          <w:rFonts w:ascii="Tahoma" w:hAnsi="Tahoma" w:cs="Tahoma"/>
          <w:sz w:val="22"/>
          <w:szCs w:val="22"/>
        </w:rPr>
        <w:t xml:space="preserve">an injury or near miss event </w:t>
      </w:r>
      <w:r>
        <w:rPr>
          <w:rFonts w:ascii="Tahoma" w:hAnsi="Tahoma" w:cs="Tahoma"/>
          <w:sz w:val="22"/>
          <w:szCs w:val="22"/>
        </w:rPr>
        <w:t>th</w:t>
      </w:r>
      <w:r w:rsidR="00E75914">
        <w:rPr>
          <w:rFonts w:ascii="Tahoma" w:hAnsi="Tahoma" w:cs="Tahoma"/>
          <w:sz w:val="22"/>
          <w:szCs w:val="22"/>
        </w:rPr>
        <w:t>at required th</w:t>
      </w:r>
      <w:r>
        <w:rPr>
          <w:rFonts w:ascii="Tahoma" w:hAnsi="Tahoma" w:cs="Tahoma"/>
          <w:sz w:val="22"/>
          <w:szCs w:val="22"/>
        </w:rPr>
        <w:t xml:space="preserve">e accredited contractor </w:t>
      </w:r>
      <w:r w:rsidR="00E75914">
        <w:rPr>
          <w:rFonts w:ascii="Tahoma" w:hAnsi="Tahoma" w:cs="Tahoma"/>
          <w:sz w:val="22"/>
          <w:szCs w:val="22"/>
        </w:rPr>
        <w:t>to notify the relevant OHS authority (under the OHS legislation covering notif</w:t>
      </w:r>
      <w:r w:rsidR="00787DF9">
        <w:rPr>
          <w:rFonts w:ascii="Tahoma" w:hAnsi="Tahoma" w:cs="Tahoma"/>
          <w:sz w:val="22"/>
          <w:szCs w:val="22"/>
        </w:rPr>
        <w:t>i</w:t>
      </w:r>
      <w:r w:rsidR="00E75914">
        <w:rPr>
          <w:rFonts w:ascii="Tahoma" w:hAnsi="Tahoma" w:cs="Tahoma"/>
          <w:sz w:val="22"/>
          <w:szCs w:val="22"/>
        </w:rPr>
        <w:t>able incidents) in the jurisdiction in which the project was undertaken.</w:t>
      </w:r>
    </w:p>
    <w:p w:rsidR="007B1780" w:rsidRPr="0097712A" w:rsidRDefault="002D6A23" w:rsidP="006C6353">
      <w:pPr>
        <w:spacing w:before="100" w:beforeAutospacing="1" w:after="120"/>
        <w:rPr>
          <w:rFonts w:ascii="Tahoma" w:hAnsi="Tahoma" w:cs="Tahoma"/>
          <w:color w:val="000000"/>
          <w:sz w:val="22"/>
          <w:szCs w:val="22"/>
          <w:lang w:eastAsia="en-AU"/>
        </w:rPr>
      </w:pPr>
      <w:r w:rsidRPr="0097712A">
        <w:rPr>
          <w:rFonts w:ascii="Tahoma" w:hAnsi="Tahoma" w:cs="Tahoma"/>
          <w:sz w:val="22"/>
          <w:szCs w:val="22"/>
        </w:rPr>
        <w:t>The objective of this national standard is to protect</w:t>
      </w:r>
      <w:r w:rsidR="0097712A" w:rsidRPr="0097712A">
        <w:rPr>
          <w:rFonts w:ascii="Tahoma" w:hAnsi="Tahoma" w:cs="Tahoma"/>
          <w:sz w:val="22"/>
          <w:szCs w:val="22"/>
        </w:rPr>
        <w:t xml:space="preserve"> </w:t>
      </w:r>
      <w:r w:rsidRPr="0097712A">
        <w:rPr>
          <w:rFonts w:ascii="Tahoma" w:hAnsi="Tahoma" w:cs="Tahoma"/>
          <w:sz w:val="22"/>
          <w:szCs w:val="22"/>
        </w:rPr>
        <w:t>persons from the hazards associated with construction work</w:t>
      </w:r>
      <w:r w:rsidR="0097712A" w:rsidRPr="0097712A">
        <w:rPr>
          <w:rFonts w:ascii="Tahoma" w:hAnsi="Tahoma" w:cs="Tahoma"/>
          <w:sz w:val="22"/>
          <w:szCs w:val="22"/>
        </w:rPr>
        <w:t xml:space="preserve">. </w:t>
      </w:r>
      <w:r w:rsidR="0097712A" w:rsidRPr="0097712A">
        <w:rPr>
          <w:rFonts w:ascii="Tahoma" w:hAnsi="Tahoma" w:cs="Tahoma"/>
          <w:color w:val="000000"/>
          <w:sz w:val="22"/>
          <w:szCs w:val="22"/>
        </w:rPr>
        <w:t xml:space="preserve">It assigns responsibilities to individuals to identify these hazards and either </w:t>
      </w:r>
      <w:r w:rsidR="00082E67" w:rsidRPr="0097712A">
        <w:rPr>
          <w:rFonts w:ascii="Tahoma" w:hAnsi="Tahoma" w:cs="Tahoma"/>
          <w:color w:val="000000"/>
          <w:sz w:val="22"/>
          <w:szCs w:val="22"/>
        </w:rPr>
        <w:t>eliminate</w:t>
      </w:r>
      <w:r w:rsidR="0097712A" w:rsidRPr="0097712A">
        <w:rPr>
          <w:rFonts w:ascii="Tahoma" w:hAnsi="Tahoma" w:cs="Tahoma"/>
          <w:color w:val="000000"/>
          <w:sz w:val="22"/>
          <w:szCs w:val="22"/>
        </w:rPr>
        <w:t xml:space="preserve"> them</w:t>
      </w:r>
      <w:r w:rsidR="00D57EAB">
        <w:rPr>
          <w:rFonts w:ascii="Tahoma" w:hAnsi="Tahoma" w:cs="Tahoma"/>
          <w:color w:val="000000"/>
          <w:sz w:val="22"/>
          <w:szCs w:val="22"/>
        </w:rPr>
        <w:t>,</w:t>
      </w:r>
      <w:r w:rsidR="0097712A" w:rsidRPr="0097712A">
        <w:rPr>
          <w:rFonts w:ascii="Tahoma" w:hAnsi="Tahoma" w:cs="Tahoma"/>
          <w:color w:val="000000"/>
          <w:sz w:val="22"/>
          <w:szCs w:val="22"/>
        </w:rPr>
        <w:t xml:space="preserve"> or where this is not reasonably practicable, minimise the risks they pose. </w:t>
      </w:r>
      <w:r w:rsidR="0097712A" w:rsidRPr="0097712A">
        <w:rPr>
          <w:rFonts w:ascii="Tahoma" w:hAnsi="Tahoma" w:cs="Tahoma"/>
          <w:color w:val="000000"/>
          <w:sz w:val="22"/>
          <w:szCs w:val="22"/>
          <w:lang w:eastAsia="en-AU"/>
        </w:rPr>
        <w:t>There are 19 hazards that have been identified as high-risk construction work</w:t>
      </w:r>
      <w:r w:rsidR="000633D7">
        <w:rPr>
          <w:rFonts w:ascii="Tahoma" w:hAnsi="Tahoma" w:cs="Tahoma"/>
          <w:color w:val="000000"/>
          <w:sz w:val="22"/>
          <w:szCs w:val="22"/>
          <w:lang w:eastAsia="en-AU"/>
        </w:rPr>
        <w:t xml:space="preserve"> (see Glossary)</w:t>
      </w:r>
      <w:r w:rsidR="0097712A" w:rsidRPr="0097712A">
        <w:rPr>
          <w:rFonts w:ascii="Tahoma" w:hAnsi="Tahoma" w:cs="Tahoma"/>
          <w:color w:val="000000"/>
          <w:sz w:val="22"/>
          <w:szCs w:val="22"/>
          <w:lang w:eastAsia="en-AU"/>
        </w:rPr>
        <w:t>.</w:t>
      </w:r>
    </w:p>
    <w:p w:rsidR="0041393C" w:rsidRDefault="00941B75" w:rsidP="00BB1FFE">
      <w:pPr>
        <w:numPr>
          <w:ilvl w:val="0"/>
          <w:numId w:val="16"/>
        </w:numPr>
        <w:tabs>
          <w:tab w:val="clear" w:pos="714"/>
          <w:tab w:val="num" w:pos="709"/>
        </w:tabs>
        <w:spacing w:before="100" w:beforeAutospacing="1" w:after="120"/>
        <w:ind w:left="709" w:hanging="283"/>
        <w:rPr>
          <w:rFonts w:ascii="Tahoma" w:hAnsi="Tahoma" w:cs="Tahoma"/>
          <w:sz w:val="22"/>
          <w:szCs w:val="22"/>
        </w:rPr>
      </w:pPr>
      <w:r>
        <w:rPr>
          <w:rFonts w:ascii="Tahoma" w:hAnsi="Tahoma" w:cs="Tahoma"/>
          <w:sz w:val="22"/>
          <w:szCs w:val="22"/>
        </w:rPr>
        <w:t xml:space="preserve">There were </w:t>
      </w:r>
      <w:r w:rsidR="00C8177B">
        <w:rPr>
          <w:rFonts w:ascii="Tahoma" w:hAnsi="Tahoma" w:cs="Tahoma"/>
          <w:sz w:val="22"/>
          <w:szCs w:val="22"/>
        </w:rPr>
        <w:t>23</w:t>
      </w:r>
      <w:r w:rsidR="00B329A3">
        <w:rPr>
          <w:rFonts w:ascii="Tahoma" w:hAnsi="Tahoma" w:cs="Tahoma"/>
          <w:sz w:val="22"/>
          <w:szCs w:val="22"/>
        </w:rPr>
        <w:t>9</w:t>
      </w:r>
      <w:r>
        <w:rPr>
          <w:rFonts w:ascii="Tahoma" w:hAnsi="Tahoma" w:cs="Tahoma"/>
          <w:sz w:val="22"/>
          <w:szCs w:val="22"/>
        </w:rPr>
        <w:t xml:space="preserve"> notifiable incidents reported by 4</w:t>
      </w:r>
      <w:r w:rsidR="00B329A3">
        <w:rPr>
          <w:rFonts w:ascii="Tahoma" w:hAnsi="Tahoma" w:cs="Tahoma"/>
          <w:sz w:val="22"/>
          <w:szCs w:val="22"/>
        </w:rPr>
        <w:t>9</w:t>
      </w:r>
      <w:r>
        <w:rPr>
          <w:rFonts w:ascii="Tahoma" w:hAnsi="Tahoma" w:cs="Tahoma"/>
          <w:sz w:val="22"/>
          <w:szCs w:val="22"/>
        </w:rPr>
        <w:t xml:space="preserve"> accredited contractors to the relevant jurisdiction OHS authority for the </w:t>
      </w:r>
      <w:r w:rsidR="00C8177B">
        <w:rPr>
          <w:rFonts w:ascii="Tahoma" w:hAnsi="Tahoma" w:cs="Tahoma"/>
          <w:sz w:val="22"/>
          <w:szCs w:val="22"/>
        </w:rPr>
        <w:t>June</w:t>
      </w:r>
      <w:r w:rsidR="00B329A3">
        <w:rPr>
          <w:rFonts w:ascii="Tahoma" w:hAnsi="Tahoma" w:cs="Tahoma"/>
          <w:sz w:val="22"/>
          <w:szCs w:val="22"/>
        </w:rPr>
        <w:t> </w:t>
      </w:r>
      <w:r>
        <w:rPr>
          <w:rFonts w:ascii="Tahoma" w:hAnsi="Tahoma" w:cs="Tahoma"/>
          <w:sz w:val="22"/>
          <w:szCs w:val="22"/>
        </w:rPr>
        <w:t>200</w:t>
      </w:r>
      <w:r w:rsidR="00C8177B">
        <w:rPr>
          <w:rFonts w:ascii="Tahoma" w:hAnsi="Tahoma" w:cs="Tahoma"/>
          <w:sz w:val="22"/>
          <w:szCs w:val="22"/>
        </w:rPr>
        <w:t>9</w:t>
      </w:r>
      <w:r>
        <w:rPr>
          <w:rFonts w:ascii="Tahoma" w:hAnsi="Tahoma" w:cs="Tahoma"/>
          <w:sz w:val="22"/>
          <w:szCs w:val="22"/>
        </w:rPr>
        <w:t xml:space="preserve"> reporting period</w:t>
      </w:r>
      <w:r w:rsidR="00B329A3">
        <w:rPr>
          <w:rFonts w:ascii="Tahoma" w:hAnsi="Tahoma" w:cs="Tahoma"/>
          <w:sz w:val="22"/>
          <w:szCs w:val="22"/>
        </w:rPr>
        <w:t>, compared to 165 notifiable incidents by 36 accred</w:t>
      </w:r>
      <w:r w:rsidR="00B329A3">
        <w:rPr>
          <w:rFonts w:ascii="Tahoma" w:hAnsi="Tahoma" w:cs="Tahoma"/>
          <w:sz w:val="22"/>
          <w:szCs w:val="22"/>
        </w:rPr>
        <w:lastRenderedPageBreak/>
        <w:t>ited contractors in the June 2008 period</w:t>
      </w:r>
      <w:r w:rsidR="00D57EAB">
        <w:rPr>
          <w:rFonts w:ascii="Tahoma" w:hAnsi="Tahoma" w:cs="Tahoma"/>
          <w:sz w:val="22"/>
          <w:szCs w:val="22"/>
        </w:rPr>
        <w:t>, an increase of 45 per cent in the number of notifiable incidents</w:t>
      </w:r>
      <w:r>
        <w:rPr>
          <w:rFonts w:ascii="Tahoma" w:hAnsi="Tahoma" w:cs="Tahoma"/>
          <w:sz w:val="22"/>
          <w:szCs w:val="22"/>
        </w:rPr>
        <w:t>.</w:t>
      </w:r>
    </w:p>
    <w:p w:rsidR="00C94C06" w:rsidRDefault="00C94C06" w:rsidP="00BB1FFE">
      <w:pPr>
        <w:numPr>
          <w:ilvl w:val="0"/>
          <w:numId w:val="16"/>
        </w:numPr>
        <w:tabs>
          <w:tab w:val="clear" w:pos="714"/>
          <w:tab w:val="num" w:pos="709"/>
        </w:tabs>
        <w:spacing w:before="100" w:beforeAutospacing="1" w:after="120"/>
        <w:ind w:left="709" w:hanging="283"/>
        <w:rPr>
          <w:rFonts w:ascii="Tahoma" w:hAnsi="Tahoma" w:cs="Tahoma"/>
          <w:sz w:val="22"/>
          <w:szCs w:val="22"/>
        </w:rPr>
      </w:pPr>
      <w:r>
        <w:rPr>
          <w:rFonts w:ascii="Tahoma" w:hAnsi="Tahoma" w:cs="Tahoma"/>
          <w:sz w:val="22"/>
          <w:szCs w:val="22"/>
        </w:rPr>
        <w:t>The top three notifiable incidents accounted for 61.5 per cent of all incidents for the June</w:t>
      </w:r>
      <w:r w:rsidR="001D3EEB">
        <w:rPr>
          <w:rFonts w:ascii="Tahoma" w:hAnsi="Tahoma" w:cs="Tahoma"/>
          <w:sz w:val="22"/>
          <w:szCs w:val="22"/>
        </w:rPr>
        <w:t> </w:t>
      </w:r>
      <w:r>
        <w:rPr>
          <w:rFonts w:ascii="Tahoma" w:hAnsi="Tahoma" w:cs="Tahoma"/>
          <w:sz w:val="22"/>
          <w:szCs w:val="22"/>
        </w:rPr>
        <w:t>2009 period compared to 67.9 per cent in the June</w:t>
      </w:r>
      <w:r w:rsidR="001D3EEB">
        <w:rPr>
          <w:rFonts w:ascii="Tahoma" w:hAnsi="Tahoma" w:cs="Tahoma"/>
          <w:sz w:val="22"/>
          <w:szCs w:val="22"/>
        </w:rPr>
        <w:t> </w:t>
      </w:r>
      <w:r>
        <w:rPr>
          <w:rFonts w:ascii="Tahoma" w:hAnsi="Tahoma" w:cs="Tahoma"/>
          <w:sz w:val="22"/>
          <w:szCs w:val="22"/>
        </w:rPr>
        <w:t>2008 period.</w:t>
      </w:r>
    </w:p>
    <w:p w:rsidR="00C94C06" w:rsidRDefault="00C94C06" w:rsidP="00BB1FFE">
      <w:pPr>
        <w:numPr>
          <w:ilvl w:val="0"/>
          <w:numId w:val="16"/>
        </w:numPr>
        <w:tabs>
          <w:tab w:val="clear" w:pos="714"/>
          <w:tab w:val="num" w:pos="709"/>
        </w:tabs>
        <w:spacing w:before="100" w:beforeAutospacing="1" w:after="120"/>
        <w:ind w:left="709" w:hanging="283"/>
        <w:rPr>
          <w:rFonts w:ascii="Tahoma" w:hAnsi="Tahoma" w:cs="Tahoma"/>
          <w:sz w:val="22"/>
          <w:szCs w:val="22"/>
        </w:rPr>
      </w:pPr>
      <w:r>
        <w:rPr>
          <w:rFonts w:ascii="Tahoma" w:hAnsi="Tahoma" w:cs="Tahoma"/>
          <w:sz w:val="22"/>
          <w:szCs w:val="22"/>
        </w:rPr>
        <w:t xml:space="preserve">Work on construction sites where there is any movement of powered mobile plant </w:t>
      </w:r>
      <w:r w:rsidR="001D3EEB">
        <w:rPr>
          <w:rFonts w:ascii="Tahoma" w:hAnsi="Tahoma" w:cs="Tahoma"/>
          <w:sz w:val="22"/>
          <w:szCs w:val="22"/>
        </w:rPr>
        <w:t>was</w:t>
      </w:r>
      <w:r>
        <w:rPr>
          <w:rFonts w:ascii="Tahoma" w:hAnsi="Tahoma" w:cs="Tahoma"/>
          <w:sz w:val="22"/>
          <w:szCs w:val="22"/>
        </w:rPr>
        <w:t xml:space="preserve"> the most common incident (25.9 per cent in June</w:t>
      </w:r>
      <w:r w:rsidR="001D3EEB">
        <w:rPr>
          <w:rFonts w:ascii="Tahoma" w:hAnsi="Tahoma" w:cs="Tahoma"/>
          <w:sz w:val="22"/>
          <w:szCs w:val="22"/>
        </w:rPr>
        <w:t> </w:t>
      </w:r>
      <w:r>
        <w:rPr>
          <w:rFonts w:ascii="Tahoma" w:hAnsi="Tahoma" w:cs="Tahoma"/>
          <w:sz w:val="22"/>
          <w:szCs w:val="22"/>
        </w:rPr>
        <w:t>2009 compared to 30.9 per cent in June</w:t>
      </w:r>
      <w:r w:rsidR="001D3EEB">
        <w:rPr>
          <w:rFonts w:ascii="Tahoma" w:hAnsi="Tahoma" w:cs="Tahoma"/>
          <w:sz w:val="22"/>
          <w:szCs w:val="22"/>
        </w:rPr>
        <w:t> </w:t>
      </w:r>
      <w:r>
        <w:rPr>
          <w:rFonts w:ascii="Tahoma" w:hAnsi="Tahoma" w:cs="Tahoma"/>
          <w:sz w:val="22"/>
          <w:szCs w:val="22"/>
        </w:rPr>
        <w:t>2008); followed by construction work on or near energised electrical installations and services (22.6 per cent and 24.2 per cent respectively)</w:t>
      </w:r>
      <w:r w:rsidR="00B45825">
        <w:rPr>
          <w:rFonts w:ascii="Tahoma" w:hAnsi="Tahoma" w:cs="Tahoma"/>
          <w:sz w:val="22"/>
          <w:szCs w:val="22"/>
        </w:rPr>
        <w:t>; and construction work where there is a risk of a person falling two metres or more (13.0 per cent and 12.7 per cent respectively).</w:t>
      </w:r>
    </w:p>
    <w:p w:rsidR="006C6353" w:rsidRPr="00CC62D6" w:rsidRDefault="00B45825" w:rsidP="00CC62D6">
      <w:pPr>
        <w:numPr>
          <w:ilvl w:val="0"/>
          <w:numId w:val="16"/>
        </w:numPr>
        <w:spacing w:before="100" w:beforeAutospacing="1" w:after="120"/>
        <w:ind w:left="709" w:hanging="283"/>
        <w:rPr>
          <w:rFonts w:ascii="Tahoma" w:hAnsi="Tahoma" w:cs="Tahoma"/>
          <w:sz w:val="22"/>
          <w:szCs w:val="22"/>
        </w:rPr>
      </w:pPr>
      <w:r>
        <w:rPr>
          <w:rFonts w:ascii="Tahoma" w:hAnsi="Tahoma" w:cs="Tahoma"/>
          <w:sz w:val="22"/>
          <w:szCs w:val="22"/>
        </w:rPr>
        <w:t>Between the June</w:t>
      </w:r>
      <w:r w:rsidR="001D3EEB">
        <w:rPr>
          <w:rFonts w:ascii="Tahoma" w:hAnsi="Tahoma" w:cs="Tahoma"/>
          <w:sz w:val="22"/>
          <w:szCs w:val="22"/>
        </w:rPr>
        <w:t> </w:t>
      </w:r>
      <w:r>
        <w:rPr>
          <w:rFonts w:ascii="Tahoma" w:hAnsi="Tahoma" w:cs="Tahoma"/>
          <w:sz w:val="22"/>
          <w:szCs w:val="22"/>
        </w:rPr>
        <w:t>2008 and June</w:t>
      </w:r>
      <w:r w:rsidR="001D3EEB">
        <w:rPr>
          <w:rFonts w:ascii="Tahoma" w:hAnsi="Tahoma" w:cs="Tahoma"/>
          <w:sz w:val="22"/>
          <w:szCs w:val="22"/>
        </w:rPr>
        <w:t> </w:t>
      </w:r>
      <w:r>
        <w:rPr>
          <w:rFonts w:ascii="Tahoma" w:hAnsi="Tahoma" w:cs="Tahoma"/>
          <w:sz w:val="22"/>
          <w:szCs w:val="22"/>
        </w:rPr>
        <w:t>2009 biannual periods, notifiable incidents involving construction work on or adjacent to roadways or railways used by road or rail traffic increased significantly</w:t>
      </w:r>
      <w:r w:rsidR="002F7305">
        <w:rPr>
          <w:rFonts w:ascii="Tahoma" w:hAnsi="Tahoma" w:cs="Tahoma"/>
          <w:sz w:val="22"/>
          <w:szCs w:val="22"/>
        </w:rPr>
        <w:t>,</w:t>
      </w:r>
      <w:r>
        <w:rPr>
          <w:rFonts w:ascii="Tahoma" w:hAnsi="Tahoma" w:cs="Tahoma"/>
          <w:sz w:val="22"/>
          <w:szCs w:val="22"/>
        </w:rPr>
        <w:t xml:space="preserve"> from 6.1 per cent to 11.7 per cent.</w:t>
      </w:r>
    </w:p>
    <w:p w:rsidR="00AE2DA5" w:rsidRPr="00AE2DA5" w:rsidRDefault="001907B3" w:rsidP="00AE2DA5">
      <w:pPr>
        <w:pStyle w:val="Heading2"/>
        <w:spacing w:before="120" w:after="120"/>
        <w:ind w:left="578" w:hanging="578"/>
      </w:pPr>
      <w:bookmarkStart w:id="21" w:name="_Toc246296856"/>
      <w:r>
        <w:t xml:space="preserve">Workers </w:t>
      </w:r>
      <w:r w:rsidR="00A179E8">
        <w:t>c</w:t>
      </w:r>
      <w:r>
        <w:t xml:space="preserve">ompensation </w:t>
      </w:r>
      <w:r w:rsidR="00A179E8">
        <w:t>p</w:t>
      </w:r>
      <w:r w:rsidR="001E5401" w:rsidRPr="001E5401">
        <w:t xml:space="preserve">remium </w:t>
      </w:r>
      <w:r w:rsidR="00A179E8">
        <w:t>r</w:t>
      </w:r>
      <w:r w:rsidR="001E5401" w:rsidRPr="001E5401">
        <w:t>ate</w:t>
      </w:r>
      <w:r>
        <w:t>s</w:t>
      </w:r>
      <w:bookmarkEnd w:id="21"/>
    </w:p>
    <w:tbl>
      <w:tblPr>
        <w:tblStyle w:val="TableGrid"/>
        <w:tblW w:w="11101" w:type="dxa"/>
        <w:jc w:val="center"/>
        <w:tblLayout w:type="fixed"/>
        <w:tblLook w:val="01E0" w:firstRow="1" w:lastRow="1" w:firstColumn="1" w:lastColumn="1" w:noHBand="0" w:noVBand="0"/>
      </w:tblPr>
      <w:tblGrid>
        <w:gridCol w:w="1928"/>
        <w:gridCol w:w="1130"/>
        <w:gridCol w:w="1134"/>
        <w:gridCol w:w="1134"/>
        <w:gridCol w:w="1134"/>
        <w:gridCol w:w="1134"/>
        <w:gridCol w:w="1134"/>
        <w:gridCol w:w="1134"/>
        <w:gridCol w:w="1239"/>
      </w:tblGrid>
      <w:tr w:rsidR="00400FE8" w:rsidTr="0023123F">
        <w:trPr>
          <w:jc w:val="center"/>
        </w:trPr>
        <w:tc>
          <w:tcPr>
            <w:tcW w:w="1928" w:type="dxa"/>
            <w:vAlign w:val="bottom"/>
          </w:tcPr>
          <w:p w:rsidR="000373A6" w:rsidRPr="000373A6" w:rsidRDefault="000373A6" w:rsidP="00E8402B">
            <w:pPr>
              <w:jc w:val="center"/>
              <w:rPr>
                <w:rFonts w:ascii="Tahoma" w:hAnsi="Tahoma" w:cs="Tahoma"/>
                <w:b/>
                <w:sz w:val="20"/>
              </w:rPr>
            </w:pPr>
            <w:r w:rsidRPr="000373A6">
              <w:rPr>
                <w:rFonts w:ascii="Tahoma" w:hAnsi="Tahoma" w:cs="Tahoma"/>
                <w:b/>
                <w:sz w:val="20"/>
              </w:rPr>
              <w:t>Period</w:t>
            </w:r>
          </w:p>
        </w:tc>
        <w:tc>
          <w:tcPr>
            <w:tcW w:w="1130" w:type="dxa"/>
            <w:vAlign w:val="bottom"/>
          </w:tcPr>
          <w:p w:rsidR="000373A6" w:rsidRPr="000373A6" w:rsidRDefault="00400FE8" w:rsidP="0023123F">
            <w:pPr>
              <w:jc w:val="center"/>
              <w:rPr>
                <w:rFonts w:ascii="Tahoma" w:hAnsi="Tahoma" w:cs="Tahoma"/>
                <w:b/>
                <w:sz w:val="20"/>
              </w:rPr>
            </w:pPr>
            <w:r w:rsidRPr="000373A6">
              <w:rPr>
                <w:rFonts w:ascii="Tahoma" w:hAnsi="Tahoma" w:cs="Tahoma"/>
                <w:b/>
                <w:sz w:val="20"/>
              </w:rPr>
              <w:t>Mean premium rate</w:t>
            </w:r>
            <w:r>
              <w:rPr>
                <w:rFonts w:ascii="Tahoma" w:hAnsi="Tahoma" w:cs="Tahoma"/>
                <w:b/>
                <w:sz w:val="20"/>
              </w:rPr>
              <w:t xml:space="preserve"> </w:t>
            </w:r>
            <w:r w:rsidR="000373A6" w:rsidRPr="000373A6">
              <w:rPr>
                <w:rFonts w:ascii="Tahoma" w:hAnsi="Tahoma" w:cs="Tahoma"/>
                <w:b/>
                <w:sz w:val="20"/>
              </w:rPr>
              <w:t>ACT</w:t>
            </w:r>
            <w:r>
              <w:rPr>
                <w:rFonts w:ascii="Tahoma" w:hAnsi="Tahoma" w:cs="Tahoma"/>
                <w:b/>
                <w:sz w:val="20"/>
              </w:rPr>
              <w:t xml:space="preserve"> %</w:t>
            </w:r>
          </w:p>
        </w:tc>
        <w:tc>
          <w:tcPr>
            <w:tcW w:w="1134" w:type="dxa"/>
            <w:vAlign w:val="bottom"/>
          </w:tcPr>
          <w:p w:rsidR="0023123F" w:rsidRDefault="00400FE8" w:rsidP="0023123F">
            <w:pPr>
              <w:jc w:val="center"/>
              <w:rPr>
                <w:rFonts w:ascii="Tahoma" w:hAnsi="Tahoma" w:cs="Tahoma"/>
                <w:b/>
                <w:sz w:val="20"/>
              </w:rPr>
            </w:pPr>
            <w:r w:rsidRPr="000373A6">
              <w:rPr>
                <w:rFonts w:ascii="Tahoma" w:hAnsi="Tahoma" w:cs="Tahoma"/>
                <w:b/>
                <w:sz w:val="20"/>
              </w:rPr>
              <w:t xml:space="preserve">Mean premium rate </w:t>
            </w:r>
            <w:r w:rsidR="000373A6" w:rsidRPr="000373A6">
              <w:rPr>
                <w:rFonts w:ascii="Tahoma" w:hAnsi="Tahoma" w:cs="Tahoma"/>
                <w:b/>
                <w:sz w:val="20"/>
              </w:rPr>
              <w:t>NSW</w:t>
            </w:r>
          </w:p>
          <w:p w:rsidR="000373A6" w:rsidRPr="000373A6" w:rsidRDefault="00400FE8" w:rsidP="0023123F">
            <w:pPr>
              <w:jc w:val="center"/>
              <w:rPr>
                <w:rFonts w:ascii="Tahoma" w:hAnsi="Tahoma" w:cs="Tahoma"/>
                <w:b/>
                <w:sz w:val="20"/>
              </w:rPr>
            </w:pPr>
            <w:r>
              <w:rPr>
                <w:rFonts w:ascii="Tahoma" w:hAnsi="Tahoma" w:cs="Tahoma"/>
                <w:b/>
                <w:sz w:val="20"/>
              </w:rPr>
              <w:t>%</w:t>
            </w:r>
          </w:p>
        </w:tc>
        <w:tc>
          <w:tcPr>
            <w:tcW w:w="1134" w:type="dxa"/>
            <w:vAlign w:val="bottom"/>
          </w:tcPr>
          <w:p w:rsidR="000373A6" w:rsidRPr="000373A6" w:rsidRDefault="00400FE8" w:rsidP="0023123F">
            <w:pPr>
              <w:jc w:val="center"/>
              <w:rPr>
                <w:rFonts w:ascii="Tahoma" w:hAnsi="Tahoma" w:cs="Tahoma"/>
                <w:b/>
                <w:sz w:val="20"/>
              </w:rPr>
            </w:pPr>
            <w:r w:rsidRPr="000373A6">
              <w:rPr>
                <w:rFonts w:ascii="Tahoma" w:hAnsi="Tahoma" w:cs="Tahoma"/>
                <w:b/>
                <w:sz w:val="20"/>
              </w:rPr>
              <w:t xml:space="preserve">Mean premium rate </w:t>
            </w:r>
            <w:r w:rsidR="000373A6" w:rsidRPr="000373A6">
              <w:rPr>
                <w:rFonts w:ascii="Tahoma" w:hAnsi="Tahoma" w:cs="Tahoma"/>
                <w:b/>
                <w:sz w:val="20"/>
              </w:rPr>
              <w:t>NT</w:t>
            </w:r>
            <w:r>
              <w:rPr>
                <w:rFonts w:ascii="Tahoma" w:hAnsi="Tahoma" w:cs="Tahoma"/>
                <w:b/>
                <w:sz w:val="20"/>
              </w:rPr>
              <w:t xml:space="preserve"> %</w:t>
            </w:r>
          </w:p>
        </w:tc>
        <w:tc>
          <w:tcPr>
            <w:tcW w:w="1134" w:type="dxa"/>
            <w:vAlign w:val="bottom"/>
          </w:tcPr>
          <w:p w:rsidR="000373A6" w:rsidRPr="000373A6" w:rsidRDefault="00400FE8" w:rsidP="0023123F">
            <w:pPr>
              <w:jc w:val="center"/>
              <w:rPr>
                <w:rFonts w:ascii="Tahoma" w:hAnsi="Tahoma" w:cs="Tahoma"/>
                <w:b/>
                <w:sz w:val="20"/>
              </w:rPr>
            </w:pPr>
            <w:r w:rsidRPr="000373A6">
              <w:rPr>
                <w:rFonts w:ascii="Tahoma" w:hAnsi="Tahoma" w:cs="Tahoma"/>
                <w:b/>
                <w:sz w:val="20"/>
              </w:rPr>
              <w:t xml:space="preserve">Mean premium rate </w:t>
            </w:r>
            <w:r w:rsidR="000373A6" w:rsidRPr="000373A6">
              <w:rPr>
                <w:rFonts w:ascii="Tahoma" w:hAnsi="Tahoma" w:cs="Tahoma"/>
                <w:b/>
                <w:sz w:val="20"/>
              </w:rPr>
              <w:t>QLD</w:t>
            </w:r>
            <w:r>
              <w:rPr>
                <w:rFonts w:ascii="Tahoma" w:hAnsi="Tahoma" w:cs="Tahoma"/>
                <w:b/>
                <w:sz w:val="20"/>
              </w:rPr>
              <w:t xml:space="preserve"> %</w:t>
            </w:r>
          </w:p>
        </w:tc>
        <w:tc>
          <w:tcPr>
            <w:tcW w:w="1134" w:type="dxa"/>
            <w:vAlign w:val="bottom"/>
          </w:tcPr>
          <w:p w:rsidR="000373A6" w:rsidRPr="000373A6" w:rsidRDefault="00400FE8" w:rsidP="0023123F">
            <w:pPr>
              <w:jc w:val="center"/>
              <w:rPr>
                <w:rFonts w:ascii="Tahoma" w:hAnsi="Tahoma" w:cs="Tahoma"/>
                <w:b/>
                <w:sz w:val="20"/>
              </w:rPr>
            </w:pPr>
            <w:r w:rsidRPr="000373A6">
              <w:rPr>
                <w:rFonts w:ascii="Tahoma" w:hAnsi="Tahoma" w:cs="Tahoma"/>
                <w:b/>
                <w:sz w:val="20"/>
              </w:rPr>
              <w:t xml:space="preserve">Mean premium rate </w:t>
            </w:r>
            <w:r w:rsidR="000373A6" w:rsidRPr="000373A6">
              <w:rPr>
                <w:rFonts w:ascii="Tahoma" w:hAnsi="Tahoma" w:cs="Tahoma"/>
                <w:b/>
                <w:sz w:val="20"/>
              </w:rPr>
              <w:t>SA</w:t>
            </w:r>
            <w:r>
              <w:rPr>
                <w:rFonts w:ascii="Tahoma" w:hAnsi="Tahoma" w:cs="Tahoma"/>
                <w:b/>
                <w:sz w:val="20"/>
              </w:rPr>
              <w:t xml:space="preserve"> %</w:t>
            </w:r>
          </w:p>
        </w:tc>
        <w:tc>
          <w:tcPr>
            <w:tcW w:w="1134" w:type="dxa"/>
            <w:vAlign w:val="bottom"/>
          </w:tcPr>
          <w:p w:rsidR="000373A6" w:rsidRPr="000373A6" w:rsidRDefault="00400FE8" w:rsidP="0023123F">
            <w:pPr>
              <w:jc w:val="center"/>
              <w:rPr>
                <w:rFonts w:ascii="Tahoma" w:hAnsi="Tahoma" w:cs="Tahoma"/>
                <w:b/>
                <w:sz w:val="20"/>
              </w:rPr>
            </w:pPr>
            <w:r w:rsidRPr="000373A6">
              <w:rPr>
                <w:rFonts w:ascii="Tahoma" w:hAnsi="Tahoma" w:cs="Tahoma"/>
                <w:b/>
                <w:sz w:val="20"/>
              </w:rPr>
              <w:t xml:space="preserve">Mean premium rate </w:t>
            </w:r>
            <w:r w:rsidR="000373A6" w:rsidRPr="000373A6">
              <w:rPr>
                <w:rFonts w:ascii="Tahoma" w:hAnsi="Tahoma" w:cs="Tahoma"/>
                <w:b/>
                <w:sz w:val="20"/>
              </w:rPr>
              <w:t>TAS</w:t>
            </w:r>
            <w:r>
              <w:rPr>
                <w:rFonts w:ascii="Tahoma" w:hAnsi="Tahoma" w:cs="Tahoma"/>
                <w:b/>
                <w:sz w:val="20"/>
              </w:rPr>
              <w:t xml:space="preserve"> %</w:t>
            </w:r>
          </w:p>
        </w:tc>
        <w:tc>
          <w:tcPr>
            <w:tcW w:w="1134" w:type="dxa"/>
            <w:vAlign w:val="bottom"/>
          </w:tcPr>
          <w:p w:rsidR="000373A6" w:rsidRPr="000373A6" w:rsidRDefault="00400FE8" w:rsidP="0023123F">
            <w:pPr>
              <w:jc w:val="center"/>
              <w:rPr>
                <w:rFonts w:ascii="Tahoma" w:hAnsi="Tahoma" w:cs="Tahoma"/>
                <w:b/>
                <w:sz w:val="20"/>
              </w:rPr>
            </w:pPr>
            <w:r w:rsidRPr="000373A6">
              <w:rPr>
                <w:rFonts w:ascii="Tahoma" w:hAnsi="Tahoma" w:cs="Tahoma"/>
                <w:b/>
                <w:sz w:val="20"/>
              </w:rPr>
              <w:t xml:space="preserve">Mean premium rate </w:t>
            </w:r>
            <w:r w:rsidR="000373A6" w:rsidRPr="000373A6">
              <w:rPr>
                <w:rFonts w:ascii="Tahoma" w:hAnsi="Tahoma" w:cs="Tahoma"/>
                <w:b/>
                <w:sz w:val="20"/>
              </w:rPr>
              <w:t>VIC</w:t>
            </w:r>
            <w:r>
              <w:rPr>
                <w:rFonts w:ascii="Tahoma" w:hAnsi="Tahoma" w:cs="Tahoma"/>
                <w:b/>
                <w:sz w:val="20"/>
              </w:rPr>
              <w:t xml:space="preserve"> %</w:t>
            </w:r>
          </w:p>
        </w:tc>
        <w:tc>
          <w:tcPr>
            <w:tcW w:w="1239" w:type="dxa"/>
            <w:vAlign w:val="bottom"/>
          </w:tcPr>
          <w:p w:rsidR="000373A6" w:rsidRPr="000373A6" w:rsidRDefault="00400FE8" w:rsidP="0023123F">
            <w:pPr>
              <w:jc w:val="center"/>
              <w:rPr>
                <w:rFonts w:ascii="Tahoma" w:hAnsi="Tahoma" w:cs="Tahoma"/>
                <w:b/>
                <w:sz w:val="20"/>
              </w:rPr>
            </w:pPr>
            <w:r w:rsidRPr="000373A6">
              <w:rPr>
                <w:rFonts w:ascii="Tahoma" w:hAnsi="Tahoma" w:cs="Tahoma"/>
                <w:b/>
                <w:sz w:val="20"/>
              </w:rPr>
              <w:t xml:space="preserve">Mean premium rate </w:t>
            </w:r>
            <w:r w:rsidR="000373A6" w:rsidRPr="000373A6">
              <w:rPr>
                <w:rFonts w:ascii="Tahoma" w:hAnsi="Tahoma" w:cs="Tahoma"/>
                <w:b/>
                <w:sz w:val="20"/>
              </w:rPr>
              <w:t>WA</w:t>
            </w:r>
            <w:r>
              <w:rPr>
                <w:rFonts w:ascii="Tahoma" w:hAnsi="Tahoma" w:cs="Tahoma"/>
                <w:b/>
                <w:sz w:val="20"/>
              </w:rPr>
              <w:t xml:space="preserve"> %</w:t>
            </w:r>
          </w:p>
        </w:tc>
      </w:tr>
      <w:tr w:rsidR="00400FE8" w:rsidTr="00400FE8">
        <w:trPr>
          <w:jc w:val="center"/>
        </w:trPr>
        <w:tc>
          <w:tcPr>
            <w:tcW w:w="1928" w:type="dxa"/>
            <w:vAlign w:val="bottom"/>
          </w:tcPr>
          <w:p w:rsidR="000373A6" w:rsidRPr="000373A6" w:rsidRDefault="000373A6" w:rsidP="000373A6">
            <w:pPr>
              <w:rPr>
                <w:rFonts w:ascii="Tahoma" w:hAnsi="Tahoma" w:cs="Tahoma"/>
                <w:sz w:val="20"/>
              </w:rPr>
            </w:pPr>
            <w:r w:rsidRPr="000373A6">
              <w:rPr>
                <w:rFonts w:ascii="Tahoma" w:hAnsi="Tahoma" w:cs="Tahoma"/>
                <w:sz w:val="20"/>
              </w:rPr>
              <w:t>Jul to Dec 2007</w:t>
            </w:r>
          </w:p>
        </w:tc>
        <w:tc>
          <w:tcPr>
            <w:tcW w:w="1130"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5.589</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3.7</w:t>
            </w:r>
            <w:r w:rsidR="001A5C1A">
              <w:rPr>
                <w:rFonts w:ascii="Tahoma" w:hAnsi="Tahoma" w:cs="Tahoma"/>
                <w:sz w:val="20"/>
              </w:rPr>
              <w:t>61</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2.675</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1.</w:t>
            </w:r>
            <w:r w:rsidR="008720B0">
              <w:rPr>
                <w:rFonts w:ascii="Tahoma" w:hAnsi="Tahoma" w:cs="Tahoma"/>
                <w:sz w:val="20"/>
              </w:rPr>
              <w:t>508</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2.94</w:t>
            </w:r>
            <w:r>
              <w:rPr>
                <w:rFonts w:ascii="Tahoma" w:hAnsi="Tahoma" w:cs="Tahoma"/>
                <w:sz w:val="20"/>
              </w:rPr>
              <w:t>0</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2.3</w:t>
            </w:r>
            <w:r w:rsidR="001A5C1A">
              <w:rPr>
                <w:rFonts w:ascii="Tahoma" w:hAnsi="Tahoma" w:cs="Tahoma"/>
                <w:sz w:val="20"/>
              </w:rPr>
              <w:t>38</w:t>
            </w:r>
          </w:p>
        </w:tc>
        <w:tc>
          <w:tcPr>
            <w:tcW w:w="1239"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2.496</w:t>
            </w:r>
          </w:p>
        </w:tc>
      </w:tr>
      <w:tr w:rsidR="00400FE8" w:rsidTr="00400FE8">
        <w:trPr>
          <w:jc w:val="center"/>
        </w:trPr>
        <w:tc>
          <w:tcPr>
            <w:tcW w:w="1928" w:type="dxa"/>
            <w:vAlign w:val="bottom"/>
          </w:tcPr>
          <w:p w:rsidR="000373A6" w:rsidRPr="000373A6" w:rsidRDefault="000373A6" w:rsidP="000373A6">
            <w:pPr>
              <w:rPr>
                <w:rFonts w:ascii="Tahoma" w:hAnsi="Tahoma" w:cs="Tahoma"/>
                <w:sz w:val="20"/>
              </w:rPr>
            </w:pPr>
            <w:r w:rsidRPr="000373A6">
              <w:rPr>
                <w:rFonts w:ascii="Tahoma" w:hAnsi="Tahoma" w:cs="Tahoma"/>
                <w:sz w:val="20"/>
              </w:rPr>
              <w:t>Jan to Jun 2008</w:t>
            </w:r>
          </w:p>
        </w:tc>
        <w:tc>
          <w:tcPr>
            <w:tcW w:w="1130"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4.962</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3.</w:t>
            </w:r>
            <w:r w:rsidR="001A5C1A">
              <w:rPr>
                <w:rFonts w:ascii="Tahoma" w:hAnsi="Tahoma" w:cs="Tahoma"/>
                <w:sz w:val="20"/>
              </w:rPr>
              <w:t>410</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2.355</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1.</w:t>
            </w:r>
            <w:r w:rsidR="008720B0">
              <w:rPr>
                <w:rFonts w:ascii="Tahoma" w:hAnsi="Tahoma" w:cs="Tahoma"/>
                <w:sz w:val="20"/>
              </w:rPr>
              <w:t>789</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3.037</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w:t>
            </w:r>
            <w:r w:rsidR="008720B0">
              <w:rPr>
                <w:rFonts w:ascii="Tahoma" w:hAnsi="Tahoma" w:cs="Tahoma"/>
                <w:sz w:val="20"/>
              </w:rPr>
              <w:t>1</w:t>
            </w:r>
            <w:r w:rsidR="001A5C1A">
              <w:rPr>
                <w:rFonts w:ascii="Tahoma" w:hAnsi="Tahoma" w:cs="Tahoma"/>
                <w:sz w:val="20"/>
              </w:rPr>
              <w:t>79</w:t>
            </w:r>
          </w:p>
        </w:tc>
        <w:tc>
          <w:tcPr>
            <w:tcW w:w="1239"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3.348</w:t>
            </w:r>
          </w:p>
        </w:tc>
      </w:tr>
      <w:tr w:rsidR="00400FE8" w:rsidTr="00400FE8">
        <w:trPr>
          <w:jc w:val="center"/>
        </w:trPr>
        <w:tc>
          <w:tcPr>
            <w:tcW w:w="1928" w:type="dxa"/>
            <w:vAlign w:val="bottom"/>
          </w:tcPr>
          <w:p w:rsidR="000373A6" w:rsidRPr="000373A6" w:rsidRDefault="000373A6" w:rsidP="000373A6">
            <w:pPr>
              <w:rPr>
                <w:rFonts w:ascii="Tahoma" w:hAnsi="Tahoma" w:cs="Tahoma"/>
                <w:sz w:val="20"/>
              </w:rPr>
            </w:pPr>
            <w:r w:rsidRPr="000373A6">
              <w:rPr>
                <w:rFonts w:ascii="Tahoma" w:hAnsi="Tahoma" w:cs="Tahoma"/>
                <w:sz w:val="20"/>
              </w:rPr>
              <w:t>Jul to Dec 2008</w:t>
            </w:r>
          </w:p>
        </w:tc>
        <w:tc>
          <w:tcPr>
            <w:tcW w:w="1130"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4.274</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3.1</w:t>
            </w:r>
            <w:r w:rsidR="001A5C1A">
              <w:rPr>
                <w:rFonts w:ascii="Tahoma" w:hAnsi="Tahoma" w:cs="Tahoma"/>
                <w:sz w:val="20"/>
              </w:rPr>
              <w:t>58</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2.261</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1.7</w:t>
            </w:r>
            <w:r w:rsidR="008720B0">
              <w:rPr>
                <w:rFonts w:ascii="Tahoma" w:hAnsi="Tahoma" w:cs="Tahoma"/>
                <w:sz w:val="20"/>
              </w:rPr>
              <w:t>12</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3.75</w:t>
            </w:r>
            <w:r>
              <w:rPr>
                <w:rFonts w:ascii="Tahoma" w:hAnsi="Tahoma" w:cs="Tahoma"/>
                <w:sz w:val="20"/>
              </w:rPr>
              <w:t>0</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1.087</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w:t>
            </w:r>
            <w:r w:rsidR="001A5C1A">
              <w:rPr>
                <w:rFonts w:ascii="Tahoma" w:hAnsi="Tahoma" w:cs="Tahoma"/>
                <w:sz w:val="20"/>
              </w:rPr>
              <w:t>210</w:t>
            </w:r>
          </w:p>
        </w:tc>
        <w:tc>
          <w:tcPr>
            <w:tcW w:w="1239"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2.066</w:t>
            </w:r>
          </w:p>
        </w:tc>
      </w:tr>
      <w:tr w:rsidR="00400FE8" w:rsidTr="00400FE8">
        <w:trPr>
          <w:jc w:val="center"/>
        </w:trPr>
        <w:tc>
          <w:tcPr>
            <w:tcW w:w="1928" w:type="dxa"/>
            <w:vAlign w:val="bottom"/>
          </w:tcPr>
          <w:p w:rsidR="00D1077B" w:rsidRPr="000373A6" w:rsidRDefault="00D1077B" w:rsidP="000373A6">
            <w:pPr>
              <w:rPr>
                <w:rFonts w:ascii="Tahoma" w:hAnsi="Tahoma" w:cs="Tahoma"/>
                <w:sz w:val="20"/>
              </w:rPr>
            </w:pPr>
            <w:r w:rsidRPr="000373A6">
              <w:rPr>
                <w:rFonts w:ascii="Tahoma" w:hAnsi="Tahoma" w:cs="Tahoma"/>
                <w:sz w:val="20"/>
              </w:rPr>
              <w:t>Jan to Jun 200</w:t>
            </w:r>
            <w:r>
              <w:rPr>
                <w:rFonts w:ascii="Tahoma" w:hAnsi="Tahoma" w:cs="Tahoma"/>
                <w:sz w:val="20"/>
              </w:rPr>
              <w:t>9</w:t>
            </w:r>
          </w:p>
        </w:tc>
        <w:tc>
          <w:tcPr>
            <w:tcW w:w="1130" w:type="dxa"/>
            <w:vAlign w:val="center"/>
          </w:tcPr>
          <w:p w:rsidR="00D1077B" w:rsidRPr="000373A6" w:rsidRDefault="001A5C1A" w:rsidP="000373A6">
            <w:pPr>
              <w:jc w:val="center"/>
              <w:rPr>
                <w:rFonts w:ascii="Tahoma" w:hAnsi="Tahoma" w:cs="Tahoma"/>
                <w:sz w:val="20"/>
              </w:rPr>
            </w:pPr>
            <w:r>
              <w:rPr>
                <w:rFonts w:ascii="Tahoma" w:hAnsi="Tahoma" w:cs="Tahoma"/>
                <w:sz w:val="20"/>
              </w:rPr>
              <w:t>3.742</w:t>
            </w:r>
          </w:p>
        </w:tc>
        <w:tc>
          <w:tcPr>
            <w:tcW w:w="1134" w:type="dxa"/>
            <w:vAlign w:val="center"/>
          </w:tcPr>
          <w:p w:rsidR="00D1077B" w:rsidRPr="000373A6" w:rsidRDefault="001A5C1A" w:rsidP="000373A6">
            <w:pPr>
              <w:jc w:val="center"/>
              <w:rPr>
                <w:rFonts w:ascii="Tahoma" w:hAnsi="Tahoma" w:cs="Tahoma"/>
                <w:sz w:val="20"/>
              </w:rPr>
            </w:pPr>
            <w:r>
              <w:rPr>
                <w:rFonts w:ascii="Tahoma" w:hAnsi="Tahoma" w:cs="Tahoma"/>
                <w:sz w:val="20"/>
              </w:rPr>
              <w:t>2.8</w:t>
            </w:r>
            <w:r w:rsidR="002E73E1">
              <w:rPr>
                <w:rFonts w:ascii="Tahoma" w:hAnsi="Tahoma" w:cs="Tahoma"/>
                <w:sz w:val="20"/>
              </w:rPr>
              <w:t>64</w:t>
            </w:r>
          </w:p>
        </w:tc>
        <w:tc>
          <w:tcPr>
            <w:tcW w:w="1134" w:type="dxa"/>
            <w:vAlign w:val="center"/>
          </w:tcPr>
          <w:p w:rsidR="00D1077B" w:rsidRPr="000373A6" w:rsidRDefault="001A5C1A" w:rsidP="000373A6">
            <w:pPr>
              <w:jc w:val="center"/>
              <w:rPr>
                <w:rFonts w:ascii="Tahoma" w:hAnsi="Tahoma" w:cs="Tahoma"/>
                <w:sz w:val="20"/>
              </w:rPr>
            </w:pPr>
            <w:r>
              <w:rPr>
                <w:rFonts w:ascii="Tahoma" w:hAnsi="Tahoma" w:cs="Tahoma"/>
                <w:sz w:val="20"/>
              </w:rPr>
              <w:t>1.</w:t>
            </w:r>
            <w:r w:rsidR="002E73E1">
              <w:rPr>
                <w:rFonts w:ascii="Tahoma" w:hAnsi="Tahoma" w:cs="Tahoma"/>
                <w:sz w:val="20"/>
              </w:rPr>
              <w:t>973</w:t>
            </w:r>
          </w:p>
        </w:tc>
        <w:tc>
          <w:tcPr>
            <w:tcW w:w="1134" w:type="dxa"/>
            <w:vAlign w:val="center"/>
          </w:tcPr>
          <w:p w:rsidR="00D1077B" w:rsidRPr="000373A6" w:rsidRDefault="001A5C1A" w:rsidP="000373A6">
            <w:pPr>
              <w:jc w:val="center"/>
              <w:rPr>
                <w:rFonts w:ascii="Tahoma" w:hAnsi="Tahoma" w:cs="Tahoma"/>
                <w:sz w:val="20"/>
              </w:rPr>
            </w:pPr>
            <w:r>
              <w:rPr>
                <w:rFonts w:ascii="Tahoma" w:hAnsi="Tahoma" w:cs="Tahoma"/>
                <w:sz w:val="20"/>
              </w:rPr>
              <w:t>1.213</w:t>
            </w:r>
          </w:p>
        </w:tc>
        <w:tc>
          <w:tcPr>
            <w:tcW w:w="1134" w:type="dxa"/>
            <w:vAlign w:val="center"/>
          </w:tcPr>
          <w:p w:rsidR="00D1077B" w:rsidRPr="000373A6" w:rsidRDefault="001A5C1A" w:rsidP="000373A6">
            <w:pPr>
              <w:jc w:val="center"/>
              <w:rPr>
                <w:rFonts w:ascii="Tahoma" w:hAnsi="Tahoma" w:cs="Tahoma"/>
                <w:sz w:val="20"/>
              </w:rPr>
            </w:pPr>
            <w:r>
              <w:rPr>
                <w:rFonts w:ascii="Tahoma" w:hAnsi="Tahoma" w:cs="Tahoma"/>
                <w:sz w:val="20"/>
              </w:rPr>
              <w:t>3.832</w:t>
            </w:r>
          </w:p>
        </w:tc>
        <w:tc>
          <w:tcPr>
            <w:tcW w:w="1134" w:type="dxa"/>
            <w:vAlign w:val="center"/>
          </w:tcPr>
          <w:p w:rsidR="00D1077B" w:rsidRPr="000373A6" w:rsidRDefault="001A5C1A" w:rsidP="000373A6">
            <w:pPr>
              <w:jc w:val="center"/>
              <w:rPr>
                <w:rFonts w:ascii="Tahoma" w:hAnsi="Tahoma" w:cs="Tahoma"/>
                <w:sz w:val="20"/>
              </w:rPr>
            </w:pPr>
            <w:r>
              <w:rPr>
                <w:rFonts w:ascii="Tahoma" w:hAnsi="Tahoma" w:cs="Tahoma"/>
                <w:sz w:val="20"/>
              </w:rPr>
              <w:t>1.155</w:t>
            </w:r>
          </w:p>
        </w:tc>
        <w:tc>
          <w:tcPr>
            <w:tcW w:w="1134" w:type="dxa"/>
            <w:vAlign w:val="center"/>
          </w:tcPr>
          <w:p w:rsidR="00D1077B" w:rsidRPr="000373A6" w:rsidRDefault="001A5C1A" w:rsidP="000373A6">
            <w:pPr>
              <w:jc w:val="center"/>
              <w:rPr>
                <w:rFonts w:ascii="Tahoma" w:hAnsi="Tahoma" w:cs="Tahoma"/>
                <w:sz w:val="20"/>
              </w:rPr>
            </w:pPr>
            <w:r>
              <w:rPr>
                <w:rFonts w:ascii="Tahoma" w:hAnsi="Tahoma" w:cs="Tahoma"/>
                <w:sz w:val="20"/>
              </w:rPr>
              <w:t>2.252</w:t>
            </w:r>
          </w:p>
        </w:tc>
        <w:tc>
          <w:tcPr>
            <w:tcW w:w="1239" w:type="dxa"/>
            <w:vAlign w:val="center"/>
          </w:tcPr>
          <w:p w:rsidR="00D1077B" w:rsidRPr="000373A6" w:rsidRDefault="001A5C1A" w:rsidP="000373A6">
            <w:pPr>
              <w:jc w:val="center"/>
              <w:rPr>
                <w:rFonts w:ascii="Tahoma" w:hAnsi="Tahoma" w:cs="Tahoma"/>
                <w:sz w:val="20"/>
              </w:rPr>
            </w:pPr>
            <w:r>
              <w:rPr>
                <w:rFonts w:ascii="Tahoma" w:hAnsi="Tahoma" w:cs="Tahoma"/>
                <w:sz w:val="20"/>
              </w:rPr>
              <w:t>2.342</w:t>
            </w:r>
          </w:p>
        </w:tc>
      </w:tr>
      <w:tr w:rsidR="00400FE8" w:rsidTr="00400FE8">
        <w:trPr>
          <w:jc w:val="center"/>
        </w:trPr>
        <w:tc>
          <w:tcPr>
            <w:tcW w:w="1928" w:type="dxa"/>
            <w:vAlign w:val="bottom"/>
          </w:tcPr>
          <w:p w:rsidR="00B6134E" w:rsidRDefault="00B6134E" w:rsidP="000373A6">
            <w:pPr>
              <w:rPr>
                <w:rFonts w:ascii="Tahoma" w:hAnsi="Tahoma" w:cs="Tahoma"/>
                <w:sz w:val="20"/>
              </w:rPr>
            </w:pPr>
            <w:r>
              <w:rPr>
                <w:rFonts w:ascii="Tahoma" w:hAnsi="Tahoma" w:cs="Tahoma"/>
                <w:sz w:val="20"/>
              </w:rPr>
              <w:t>House construction June 2008</w:t>
            </w:r>
            <w:r>
              <w:rPr>
                <w:rStyle w:val="FootnoteReference"/>
                <w:rFonts w:ascii="Tahoma" w:hAnsi="Tahoma"/>
                <w:sz w:val="20"/>
              </w:rPr>
              <w:footnoteReference w:id="9"/>
            </w:r>
          </w:p>
        </w:tc>
        <w:tc>
          <w:tcPr>
            <w:tcW w:w="1130" w:type="dxa"/>
            <w:vAlign w:val="center"/>
          </w:tcPr>
          <w:p w:rsidR="00B6134E" w:rsidRDefault="00B6134E" w:rsidP="000373A6">
            <w:pPr>
              <w:jc w:val="center"/>
              <w:rPr>
                <w:rFonts w:ascii="Tahoma" w:hAnsi="Tahoma" w:cs="Tahoma"/>
                <w:sz w:val="20"/>
              </w:rPr>
            </w:pPr>
            <w:r>
              <w:rPr>
                <w:rFonts w:ascii="Tahoma" w:hAnsi="Tahoma" w:cs="Tahoma"/>
                <w:sz w:val="20"/>
              </w:rPr>
              <w:t>NA</w:t>
            </w:r>
          </w:p>
        </w:tc>
        <w:tc>
          <w:tcPr>
            <w:tcW w:w="1134" w:type="dxa"/>
            <w:vAlign w:val="center"/>
          </w:tcPr>
          <w:p w:rsidR="00B6134E" w:rsidRDefault="00B6134E" w:rsidP="000373A6">
            <w:pPr>
              <w:jc w:val="center"/>
              <w:rPr>
                <w:rFonts w:ascii="Tahoma" w:hAnsi="Tahoma" w:cs="Tahoma"/>
                <w:sz w:val="20"/>
              </w:rPr>
            </w:pPr>
            <w:r>
              <w:rPr>
                <w:rFonts w:ascii="Tahoma" w:hAnsi="Tahoma" w:cs="Tahoma"/>
                <w:sz w:val="20"/>
              </w:rPr>
              <w:t>5.169</w:t>
            </w:r>
          </w:p>
        </w:tc>
        <w:tc>
          <w:tcPr>
            <w:tcW w:w="1134" w:type="dxa"/>
            <w:vAlign w:val="center"/>
          </w:tcPr>
          <w:p w:rsidR="00B6134E" w:rsidRDefault="00B6134E" w:rsidP="000373A6">
            <w:pPr>
              <w:jc w:val="center"/>
              <w:rPr>
                <w:rFonts w:ascii="Tahoma" w:hAnsi="Tahoma" w:cs="Tahoma"/>
                <w:sz w:val="20"/>
              </w:rPr>
            </w:pPr>
            <w:r>
              <w:rPr>
                <w:rFonts w:ascii="Tahoma" w:hAnsi="Tahoma" w:cs="Tahoma"/>
                <w:sz w:val="20"/>
              </w:rPr>
              <w:t>NA</w:t>
            </w:r>
          </w:p>
        </w:tc>
        <w:tc>
          <w:tcPr>
            <w:tcW w:w="1134" w:type="dxa"/>
            <w:vAlign w:val="center"/>
          </w:tcPr>
          <w:p w:rsidR="00B6134E" w:rsidRDefault="00B6134E" w:rsidP="000373A6">
            <w:pPr>
              <w:jc w:val="center"/>
              <w:rPr>
                <w:rFonts w:ascii="Tahoma" w:hAnsi="Tahoma" w:cs="Tahoma"/>
                <w:sz w:val="20"/>
              </w:rPr>
            </w:pPr>
            <w:r>
              <w:rPr>
                <w:rFonts w:ascii="Tahoma" w:hAnsi="Tahoma" w:cs="Tahoma"/>
                <w:sz w:val="20"/>
              </w:rPr>
              <w:t>2.391</w:t>
            </w:r>
          </w:p>
        </w:tc>
        <w:tc>
          <w:tcPr>
            <w:tcW w:w="1134" w:type="dxa"/>
            <w:vAlign w:val="center"/>
          </w:tcPr>
          <w:p w:rsidR="00B6134E" w:rsidRDefault="00B6134E" w:rsidP="000373A6">
            <w:pPr>
              <w:jc w:val="center"/>
              <w:rPr>
                <w:rFonts w:ascii="Tahoma" w:hAnsi="Tahoma" w:cs="Tahoma"/>
                <w:sz w:val="20"/>
              </w:rPr>
            </w:pPr>
            <w:r>
              <w:rPr>
                <w:rFonts w:ascii="Tahoma" w:hAnsi="Tahoma" w:cs="Tahoma"/>
                <w:sz w:val="20"/>
              </w:rPr>
              <w:t>3.2</w:t>
            </w:r>
          </w:p>
        </w:tc>
        <w:tc>
          <w:tcPr>
            <w:tcW w:w="1134" w:type="dxa"/>
            <w:vAlign w:val="center"/>
          </w:tcPr>
          <w:p w:rsidR="00B6134E" w:rsidRDefault="00B6134E" w:rsidP="000373A6">
            <w:pPr>
              <w:jc w:val="center"/>
              <w:rPr>
                <w:rFonts w:ascii="Tahoma" w:hAnsi="Tahoma" w:cs="Tahoma"/>
                <w:sz w:val="20"/>
              </w:rPr>
            </w:pPr>
            <w:r>
              <w:rPr>
                <w:rFonts w:ascii="Tahoma" w:hAnsi="Tahoma" w:cs="Tahoma"/>
                <w:sz w:val="20"/>
              </w:rPr>
              <w:t>3.73</w:t>
            </w:r>
          </w:p>
        </w:tc>
        <w:tc>
          <w:tcPr>
            <w:tcW w:w="1134" w:type="dxa"/>
            <w:vAlign w:val="center"/>
          </w:tcPr>
          <w:p w:rsidR="00B6134E" w:rsidRDefault="00B6134E" w:rsidP="000373A6">
            <w:pPr>
              <w:jc w:val="center"/>
              <w:rPr>
                <w:rFonts w:ascii="Tahoma" w:hAnsi="Tahoma" w:cs="Tahoma"/>
                <w:sz w:val="20"/>
              </w:rPr>
            </w:pPr>
            <w:r>
              <w:rPr>
                <w:rFonts w:ascii="Tahoma" w:hAnsi="Tahoma" w:cs="Tahoma"/>
                <w:sz w:val="20"/>
              </w:rPr>
              <w:t>1.945</w:t>
            </w:r>
          </w:p>
        </w:tc>
        <w:tc>
          <w:tcPr>
            <w:tcW w:w="1239" w:type="dxa"/>
            <w:vAlign w:val="center"/>
          </w:tcPr>
          <w:p w:rsidR="00B6134E" w:rsidRDefault="00B6134E" w:rsidP="000373A6">
            <w:pPr>
              <w:jc w:val="center"/>
              <w:rPr>
                <w:rFonts w:ascii="Tahoma" w:hAnsi="Tahoma" w:cs="Tahoma"/>
                <w:sz w:val="20"/>
              </w:rPr>
            </w:pPr>
            <w:r>
              <w:rPr>
                <w:rFonts w:ascii="Tahoma" w:hAnsi="Tahoma" w:cs="Tahoma"/>
                <w:sz w:val="20"/>
              </w:rPr>
              <w:t>1.52</w:t>
            </w:r>
          </w:p>
        </w:tc>
      </w:tr>
      <w:tr w:rsidR="00400FE8" w:rsidTr="00400FE8">
        <w:trPr>
          <w:jc w:val="center"/>
        </w:trPr>
        <w:tc>
          <w:tcPr>
            <w:tcW w:w="1928" w:type="dxa"/>
            <w:vAlign w:val="bottom"/>
          </w:tcPr>
          <w:p w:rsidR="00F147BA" w:rsidRPr="000373A6" w:rsidRDefault="00D1077B" w:rsidP="000373A6">
            <w:pPr>
              <w:rPr>
                <w:rFonts w:ascii="Tahoma" w:hAnsi="Tahoma" w:cs="Tahoma"/>
                <w:sz w:val="20"/>
              </w:rPr>
            </w:pPr>
            <w:r>
              <w:rPr>
                <w:rFonts w:ascii="Tahoma" w:hAnsi="Tahoma" w:cs="Tahoma"/>
                <w:sz w:val="20"/>
              </w:rPr>
              <w:t>Non-residential construction June 2008</w:t>
            </w:r>
            <w:r w:rsidR="001608D5">
              <w:rPr>
                <w:rFonts w:ascii="Tahoma" w:hAnsi="Tahoma" w:cs="Tahoma"/>
                <w:sz w:val="20"/>
                <w:vertAlign w:val="superscript"/>
              </w:rPr>
              <w:t>9</w:t>
            </w:r>
          </w:p>
        </w:tc>
        <w:tc>
          <w:tcPr>
            <w:tcW w:w="1130" w:type="dxa"/>
            <w:vAlign w:val="center"/>
          </w:tcPr>
          <w:p w:rsidR="00F147BA" w:rsidRPr="000373A6" w:rsidRDefault="004E0A98" w:rsidP="000373A6">
            <w:pPr>
              <w:jc w:val="center"/>
              <w:rPr>
                <w:rFonts w:ascii="Tahoma" w:hAnsi="Tahoma" w:cs="Tahoma"/>
                <w:sz w:val="20"/>
              </w:rPr>
            </w:pPr>
            <w:r>
              <w:rPr>
                <w:rFonts w:ascii="Tahoma" w:hAnsi="Tahoma" w:cs="Tahoma"/>
                <w:sz w:val="20"/>
              </w:rPr>
              <w:t>NA</w:t>
            </w:r>
          </w:p>
        </w:tc>
        <w:tc>
          <w:tcPr>
            <w:tcW w:w="1134" w:type="dxa"/>
            <w:vAlign w:val="center"/>
          </w:tcPr>
          <w:p w:rsidR="00F147BA" w:rsidRPr="000373A6" w:rsidRDefault="00D1077B" w:rsidP="000373A6">
            <w:pPr>
              <w:jc w:val="center"/>
              <w:rPr>
                <w:rFonts w:ascii="Tahoma" w:hAnsi="Tahoma" w:cs="Tahoma"/>
                <w:sz w:val="20"/>
              </w:rPr>
            </w:pPr>
            <w:r>
              <w:rPr>
                <w:rFonts w:ascii="Tahoma" w:hAnsi="Tahoma" w:cs="Tahoma"/>
                <w:sz w:val="20"/>
              </w:rPr>
              <w:t>4.028</w:t>
            </w:r>
          </w:p>
        </w:tc>
        <w:tc>
          <w:tcPr>
            <w:tcW w:w="1134" w:type="dxa"/>
            <w:vAlign w:val="center"/>
          </w:tcPr>
          <w:p w:rsidR="00F147BA" w:rsidRPr="000373A6" w:rsidRDefault="004E0A98" w:rsidP="000373A6">
            <w:pPr>
              <w:jc w:val="center"/>
              <w:rPr>
                <w:rFonts w:ascii="Tahoma" w:hAnsi="Tahoma" w:cs="Tahoma"/>
                <w:sz w:val="20"/>
              </w:rPr>
            </w:pPr>
            <w:r>
              <w:rPr>
                <w:rFonts w:ascii="Tahoma" w:hAnsi="Tahoma" w:cs="Tahoma"/>
                <w:sz w:val="20"/>
              </w:rPr>
              <w:t>NA</w:t>
            </w:r>
          </w:p>
        </w:tc>
        <w:tc>
          <w:tcPr>
            <w:tcW w:w="1134" w:type="dxa"/>
            <w:vAlign w:val="center"/>
          </w:tcPr>
          <w:p w:rsidR="00F147BA" w:rsidRPr="000373A6" w:rsidRDefault="00D1077B" w:rsidP="000373A6">
            <w:pPr>
              <w:jc w:val="center"/>
              <w:rPr>
                <w:rFonts w:ascii="Tahoma" w:hAnsi="Tahoma" w:cs="Tahoma"/>
                <w:sz w:val="20"/>
              </w:rPr>
            </w:pPr>
            <w:r>
              <w:rPr>
                <w:rFonts w:ascii="Tahoma" w:hAnsi="Tahoma" w:cs="Tahoma"/>
                <w:sz w:val="20"/>
              </w:rPr>
              <w:t>2.391</w:t>
            </w:r>
          </w:p>
        </w:tc>
        <w:tc>
          <w:tcPr>
            <w:tcW w:w="1134" w:type="dxa"/>
            <w:vAlign w:val="center"/>
          </w:tcPr>
          <w:p w:rsidR="00F147BA" w:rsidRPr="000373A6" w:rsidRDefault="004E0A98" w:rsidP="000373A6">
            <w:pPr>
              <w:jc w:val="center"/>
              <w:rPr>
                <w:rFonts w:ascii="Tahoma" w:hAnsi="Tahoma" w:cs="Tahoma"/>
                <w:sz w:val="20"/>
              </w:rPr>
            </w:pPr>
            <w:r>
              <w:rPr>
                <w:rFonts w:ascii="Tahoma" w:hAnsi="Tahoma" w:cs="Tahoma"/>
                <w:sz w:val="20"/>
              </w:rPr>
              <w:t>3.5</w:t>
            </w:r>
          </w:p>
        </w:tc>
        <w:tc>
          <w:tcPr>
            <w:tcW w:w="1134" w:type="dxa"/>
            <w:vAlign w:val="center"/>
          </w:tcPr>
          <w:p w:rsidR="00F147BA" w:rsidRPr="000373A6" w:rsidRDefault="004E0A98" w:rsidP="000373A6">
            <w:pPr>
              <w:jc w:val="center"/>
              <w:rPr>
                <w:rFonts w:ascii="Tahoma" w:hAnsi="Tahoma" w:cs="Tahoma"/>
                <w:sz w:val="20"/>
              </w:rPr>
            </w:pPr>
            <w:r>
              <w:rPr>
                <w:rFonts w:ascii="Tahoma" w:hAnsi="Tahoma" w:cs="Tahoma"/>
                <w:sz w:val="20"/>
              </w:rPr>
              <w:t>3.73</w:t>
            </w:r>
          </w:p>
        </w:tc>
        <w:tc>
          <w:tcPr>
            <w:tcW w:w="1134" w:type="dxa"/>
            <w:vAlign w:val="center"/>
          </w:tcPr>
          <w:p w:rsidR="00F147BA" w:rsidRPr="000373A6" w:rsidRDefault="00CF0B63" w:rsidP="000373A6">
            <w:pPr>
              <w:jc w:val="center"/>
              <w:rPr>
                <w:rFonts w:ascii="Tahoma" w:hAnsi="Tahoma" w:cs="Tahoma"/>
                <w:sz w:val="20"/>
              </w:rPr>
            </w:pPr>
            <w:r>
              <w:rPr>
                <w:rFonts w:ascii="Tahoma" w:hAnsi="Tahoma" w:cs="Tahoma"/>
                <w:sz w:val="20"/>
              </w:rPr>
              <w:t>2.651</w:t>
            </w:r>
          </w:p>
        </w:tc>
        <w:tc>
          <w:tcPr>
            <w:tcW w:w="1239" w:type="dxa"/>
            <w:vAlign w:val="center"/>
          </w:tcPr>
          <w:p w:rsidR="00F147BA" w:rsidRPr="000373A6" w:rsidRDefault="00CF0B63" w:rsidP="000373A6">
            <w:pPr>
              <w:jc w:val="center"/>
              <w:rPr>
                <w:rFonts w:ascii="Tahoma" w:hAnsi="Tahoma" w:cs="Tahoma"/>
                <w:sz w:val="20"/>
              </w:rPr>
            </w:pPr>
            <w:r>
              <w:rPr>
                <w:rFonts w:ascii="Tahoma" w:hAnsi="Tahoma" w:cs="Tahoma"/>
                <w:sz w:val="20"/>
              </w:rPr>
              <w:t>2.93</w:t>
            </w:r>
          </w:p>
        </w:tc>
      </w:tr>
    </w:tbl>
    <w:p w:rsidR="0041393C" w:rsidRDefault="0041393C" w:rsidP="0041393C">
      <w:pPr>
        <w:rPr>
          <w:rFonts w:ascii="Tahoma" w:hAnsi="Tahoma" w:cs="Tahoma"/>
          <w:sz w:val="22"/>
          <w:szCs w:val="22"/>
        </w:rPr>
      </w:pPr>
    </w:p>
    <w:p w:rsidR="00941B75" w:rsidRDefault="004A15F9" w:rsidP="00BB1FFE">
      <w:pPr>
        <w:numPr>
          <w:ilvl w:val="0"/>
          <w:numId w:val="10"/>
        </w:numPr>
        <w:tabs>
          <w:tab w:val="clear" w:pos="720"/>
          <w:tab w:val="num" w:pos="709"/>
        </w:tabs>
        <w:spacing w:before="100" w:beforeAutospacing="1" w:after="120"/>
        <w:ind w:left="709" w:hanging="283"/>
        <w:rPr>
          <w:rFonts w:ascii="Tahoma" w:hAnsi="Tahoma" w:cs="Tahoma"/>
          <w:sz w:val="22"/>
          <w:szCs w:val="22"/>
        </w:rPr>
      </w:pPr>
      <w:r>
        <w:rPr>
          <w:rFonts w:ascii="Tahoma" w:hAnsi="Tahoma" w:cs="Tahoma"/>
          <w:sz w:val="22"/>
          <w:szCs w:val="22"/>
        </w:rPr>
        <w:t xml:space="preserve">Between the </w:t>
      </w:r>
      <w:r w:rsidR="00E164EF">
        <w:rPr>
          <w:rFonts w:ascii="Tahoma" w:hAnsi="Tahoma" w:cs="Tahoma"/>
          <w:sz w:val="22"/>
          <w:szCs w:val="22"/>
        </w:rPr>
        <w:t>June</w:t>
      </w:r>
      <w:r w:rsidR="00B329A3">
        <w:rPr>
          <w:rFonts w:ascii="Tahoma" w:hAnsi="Tahoma" w:cs="Tahoma"/>
          <w:sz w:val="22"/>
          <w:szCs w:val="22"/>
        </w:rPr>
        <w:t> </w:t>
      </w:r>
      <w:r>
        <w:rPr>
          <w:rFonts w:ascii="Tahoma" w:hAnsi="Tahoma" w:cs="Tahoma"/>
          <w:sz w:val="22"/>
          <w:szCs w:val="22"/>
        </w:rPr>
        <w:t>200</w:t>
      </w:r>
      <w:r w:rsidR="00E164EF">
        <w:rPr>
          <w:rFonts w:ascii="Tahoma" w:hAnsi="Tahoma" w:cs="Tahoma"/>
          <w:sz w:val="22"/>
          <w:szCs w:val="22"/>
        </w:rPr>
        <w:t>8</w:t>
      </w:r>
      <w:r>
        <w:rPr>
          <w:rFonts w:ascii="Tahoma" w:hAnsi="Tahoma" w:cs="Tahoma"/>
          <w:sz w:val="22"/>
          <w:szCs w:val="22"/>
        </w:rPr>
        <w:t xml:space="preserve"> and the </w:t>
      </w:r>
      <w:r w:rsidR="001A5C1A">
        <w:rPr>
          <w:rFonts w:ascii="Tahoma" w:hAnsi="Tahoma" w:cs="Tahoma"/>
          <w:sz w:val="22"/>
          <w:szCs w:val="22"/>
        </w:rPr>
        <w:t>June</w:t>
      </w:r>
      <w:r w:rsidR="00B329A3">
        <w:rPr>
          <w:rFonts w:ascii="Tahoma" w:hAnsi="Tahoma" w:cs="Tahoma"/>
          <w:sz w:val="22"/>
          <w:szCs w:val="22"/>
        </w:rPr>
        <w:t> </w:t>
      </w:r>
      <w:r>
        <w:rPr>
          <w:rFonts w:ascii="Tahoma" w:hAnsi="Tahoma" w:cs="Tahoma"/>
          <w:sz w:val="22"/>
          <w:szCs w:val="22"/>
        </w:rPr>
        <w:t>200</w:t>
      </w:r>
      <w:r w:rsidR="001A5C1A">
        <w:rPr>
          <w:rFonts w:ascii="Tahoma" w:hAnsi="Tahoma" w:cs="Tahoma"/>
          <w:sz w:val="22"/>
          <w:szCs w:val="22"/>
        </w:rPr>
        <w:t>9</w:t>
      </w:r>
      <w:r>
        <w:rPr>
          <w:rFonts w:ascii="Tahoma" w:hAnsi="Tahoma" w:cs="Tahoma"/>
          <w:sz w:val="22"/>
          <w:szCs w:val="22"/>
        </w:rPr>
        <w:t xml:space="preserve"> reporting period</w:t>
      </w:r>
      <w:r w:rsidR="000A413B">
        <w:rPr>
          <w:rFonts w:ascii="Tahoma" w:hAnsi="Tahoma" w:cs="Tahoma"/>
          <w:sz w:val="22"/>
          <w:szCs w:val="22"/>
        </w:rPr>
        <w:t>s</w:t>
      </w:r>
      <w:r w:rsidR="008A5567">
        <w:rPr>
          <w:rFonts w:ascii="Tahoma" w:hAnsi="Tahoma" w:cs="Tahoma"/>
          <w:sz w:val="22"/>
          <w:szCs w:val="22"/>
        </w:rPr>
        <w:t>,</w:t>
      </w:r>
      <w:r>
        <w:rPr>
          <w:rFonts w:ascii="Tahoma" w:hAnsi="Tahoma" w:cs="Tahoma"/>
          <w:sz w:val="22"/>
          <w:szCs w:val="22"/>
        </w:rPr>
        <w:t xml:space="preserve"> t</w:t>
      </w:r>
      <w:r w:rsidR="000373A6">
        <w:rPr>
          <w:rFonts w:ascii="Tahoma" w:hAnsi="Tahoma" w:cs="Tahoma"/>
          <w:sz w:val="22"/>
          <w:szCs w:val="22"/>
        </w:rPr>
        <w:t xml:space="preserve">he mean premium rates </w:t>
      </w:r>
      <w:r w:rsidR="00EB62D4">
        <w:rPr>
          <w:rFonts w:ascii="Tahoma" w:hAnsi="Tahoma" w:cs="Tahoma"/>
          <w:sz w:val="22"/>
          <w:szCs w:val="22"/>
        </w:rPr>
        <w:t xml:space="preserve">for accredited contractors </w:t>
      </w:r>
      <w:r w:rsidR="000373A6">
        <w:rPr>
          <w:rFonts w:ascii="Tahoma" w:hAnsi="Tahoma" w:cs="Tahoma"/>
          <w:sz w:val="22"/>
          <w:szCs w:val="22"/>
        </w:rPr>
        <w:t>decreas</w:t>
      </w:r>
      <w:r>
        <w:rPr>
          <w:rFonts w:ascii="Tahoma" w:hAnsi="Tahoma" w:cs="Tahoma"/>
          <w:sz w:val="22"/>
          <w:szCs w:val="22"/>
        </w:rPr>
        <w:t>ed</w:t>
      </w:r>
      <w:r w:rsidR="000373A6">
        <w:rPr>
          <w:rFonts w:ascii="Tahoma" w:hAnsi="Tahoma" w:cs="Tahoma"/>
          <w:sz w:val="22"/>
          <w:szCs w:val="22"/>
        </w:rPr>
        <w:t xml:space="preserve"> for the </w:t>
      </w:r>
      <w:r w:rsidR="00A1150E">
        <w:rPr>
          <w:rFonts w:ascii="Tahoma" w:hAnsi="Tahoma" w:cs="Tahoma"/>
          <w:sz w:val="22"/>
          <w:szCs w:val="22"/>
        </w:rPr>
        <w:t xml:space="preserve">Australian Capital Territory, New South Wales, Northern Territory, </w:t>
      </w:r>
      <w:r w:rsidR="00E164EF">
        <w:rPr>
          <w:rFonts w:ascii="Tahoma" w:hAnsi="Tahoma" w:cs="Tahoma"/>
          <w:sz w:val="22"/>
          <w:szCs w:val="22"/>
        </w:rPr>
        <w:t xml:space="preserve">Queensland </w:t>
      </w:r>
      <w:r w:rsidR="00A1150E">
        <w:rPr>
          <w:rFonts w:ascii="Tahoma" w:hAnsi="Tahoma" w:cs="Tahoma"/>
          <w:sz w:val="22"/>
          <w:szCs w:val="22"/>
        </w:rPr>
        <w:t>and Western Australia</w:t>
      </w:r>
      <w:r w:rsidR="008A5567">
        <w:rPr>
          <w:rFonts w:ascii="Tahoma" w:hAnsi="Tahoma" w:cs="Tahoma"/>
          <w:sz w:val="22"/>
          <w:szCs w:val="22"/>
        </w:rPr>
        <w:t>;</w:t>
      </w:r>
      <w:r w:rsidR="000373A6">
        <w:rPr>
          <w:rFonts w:ascii="Tahoma" w:hAnsi="Tahoma" w:cs="Tahoma"/>
          <w:sz w:val="22"/>
          <w:szCs w:val="22"/>
        </w:rPr>
        <w:t xml:space="preserve"> and increas</w:t>
      </w:r>
      <w:r>
        <w:rPr>
          <w:rFonts w:ascii="Tahoma" w:hAnsi="Tahoma" w:cs="Tahoma"/>
          <w:sz w:val="22"/>
          <w:szCs w:val="22"/>
        </w:rPr>
        <w:t>ed</w:t>
      </w:r>
      <w:r w:rsidR="000373A6">
        <w:rPr>
          <w:rFonts w:ascii="Tahoma" w:hAnsi="Tahoma" w:cs="Tahoma"/>
          <w:sz w:val="22"/>
          <w:szCs w:val="22"/>
        </w:rPr>
        <w:t xml:space="preserve"> for </w:t>
      </w:r>
      <w:r w:rsidR="00A1150E">
        <w:rPr>
          <w:rFonts w:ascii="Tahoma" w:hAnsi="Tahoma" w:cs="Tahoma"/>
          <w:sz w:val="22"/>
          <w:szCs w:val="22"/>
        </w:rPr>
        <w:t>South Australia</w:t>
      </w:r>
      <w:r w:rsidR="00E164EF">
        <w:rPr>
          <w:rFonts w:ascii="Tahoma" w:hAnsi="Tahoma" w:cs="Tahoma"/>
          <w:sz w:val="22"/>
          <w:szCs w:val="22"/>
        </w:rPr>
        <w:t xml:space="preserve"> and Victoria</w:t>
      </w:r>
      <w:r w:rsidR="00744026">
        <w:rPr>
          <w:rFonts w:ascii="Tahoma" w:hAnsi="Tahoma" w:cs="Tahoma"/>
          <w:sz w:val="22"/>
          <w:szCs w:val="22"/>
        </w:rPr>
        <w:t>.</w:t>
      </w:r>
    </w:p>
    <w:p w:rsidR="00636618" w:rsidRPr="00CC62D6" w:rsidRDefault="001773B7" w:rsidP="00CC62D6">
      <w:pPr>
        <w:numPr>
          <w:ilvl w:val="0"/>
          <w:numId w:val="10"/>
        </w:numPr>
        <w:spacing w:before="100" w:beforeAutospacing="1" w:after="120"/>
        <w:ind w:left="709" w:hanging="283"/>
        <w:rPr>
          <w:rFonts w:ascii="Tahoma" w:hAnsi="Tahoma" w:cs="Tahoma"/>
          <w:sz w:val="22"/>
          <w:szCs w:val="22"/>
        </w:rPr>
      </w:pPr>
      <w:r>
        <w:rPr>
          <w:rFonts w:ascii="Tahoma" w:hAnsi="Tahoma" w:cs="Tahoma"/>
          <w:sz w:val="22"/>
          <w:szCs w:val="22"/>
        </w:rPr>
        <w:t xml:space="preserve">For comparative purposes, the latest available premium rates for </w:t>
      </w:r>
      <w:r w:rsidR="00B6134E">
        <w:rPr>
          <w:rFonts w:ascii="Tahoma" w:hAnsi="Tahoma" w:cs="Tahoma"/>
          <w:sz w:val="22"/>
          <w:szCs w:val="22"/>
        </w:rPr>
        <w:t xml:space="preserve">house construction and </w:t>
      </w:r>
      <w:r>
        <w:rPr>
          <w:rFonts w:ascii="Tahoma" w:hAnsi="Tahoma" w:cs="Tahoma"/>
          <w:sz w:val="22"/>
          <w:szCs w:val="22"/>
        </w:rPr>
        <w:t xml:space="preserve">non-residential construction across most jurisdictions have been </w:t>
      </w:r>
      <w:r>
        <w:rPr>
          <w:rFonts w:ascii="Tahoma" w:hAnsi="Tahoma" w:cs="Tahoma"/>
          <w:sz w:val="22"/>
          <w:szCs w:val="22"/>
        </w:rPr>
        <w:lastRenderedPageBreak/>
        <w:t xml:space="preserve">included. </w:t>
      </w:r>
      <w:r w:rsidR="00EB147D">
        <w:rPr>
          <w:rFonts w:ascii="Tahoma" w:hAnsi="Tahoma" w:cs="Tahoma"/>
          <w:sz w:val="22"/>
          <w:szCs w:val="22"/>
        </w:rPr>
        <w:t>At June 2008, t</w:t>
      </w:r>
      <w:r w:rsidR="006B63D7">
        <w:rPr>
          <w:rFonts w:ascii="Tahoma" w:hAnsi="Tahoma" w:cs="Tahoma"/>
          <w:sz w:val="22"/>
          <w:szCs w:val="22"/>
        </w:rPr>
        <w:t xml:space="preserve">he mean premium rates for accredited contractors </w:t>
      </w:r>
      <w:r w:rsidR="00DB0465">
        <w:rPr>
          <w:rFonts w:ascii="Tahoma" w:hAnsi="Tahoma" w:cs="Tahoma"/>
          <w:sz w:val="22"/>
          <w:szCs w:val="22"/>
        </w:rPr>
        <w:t>were</w:t>
      </w:r>
      <w:r w:rsidR="006B63D7">
        <w:rPr>
          <w:rFonts w:ascii="Tahoma" w:hAnsi="Tahoma" w:cs="Tahoma"/>
          <w:sz w:val="22"/>
          <w:szCs w:val="22"/>
        </w:rPr>
        <w:t xml:space="preserve"> below those for the non-re</w:t>
      </w:r>
      <w:r w:rsidR="00EB147D">
        <w:rPr>
          <w:rFonts w:ascii="Tahoma" w:hAnsi="Tahoma" w:cs="Tahoma"/>
          <w:sz w:val="22"/>
          <w:szCs w:val="22"/>
        </w:rPr>
        <w:t>sidential construction industry</w:t>
      </w:r>
      <w:r w:rsidR="006B63D7">
        <w:rPr>
          <w:rFonts w:ascii="Tahoma" w:hAnsi="Tahoma" w:cs="Tahoma"/>
          <w:sz w:val="22"/>
          <w:szCs w:val="22"/>
        </w:rPr>
        <w:t>, except Western Australia</w:t>
      </w:r>
      <w:r w:rsidR="00B632E0">
        <w:rPr>
          <w:rFonts w:ascii="Tahoma" w:hAnsi="Tahoma" w:cs="Tahoma"/>
          <w:sz w:val="22"/>
          <w:szCs w:val="22"/>
        </w:rPr>
        <w:t>; and also below those for house construction except Victoria and Western Australia.</w:t>
      </w:r>
    </w:p>
    <w:p w:rsidR="00A4474B" w:rsidRPr="00A4474B" w:rsidRDefault="00A4474B" w:rsidP="00CE7244">
      <w:pPr>
        <w:pStyle w:val="Heading2"/>
        <w:spacing w:before="120" w:after="120"/>
        <w:ind w:left="578" w:hanging="578"/>
      </w:pPr>
      <w:bookmarkStart w:id="22" w:name="_Toc246296857"/>
      <w:r w:rsidRPr="00A4474B">
        <w:t>Positive performance indicators</w:t>
      </w:r>
      <w:bookmarkEnd w:id="22"/>
    </w:p>
    <w:p w:rsidR="0065709E" w:rsidRDefault="0065709E" w:rsidP="001C4369">
      <w:pPr>
        <w:spacing w:before="100" w:beforeAutospacing="1" w:after="120"/>
        <w:rPr>
          <w:rFonts w:ascii="Tahoma" w:hAnsi="Tahoma" w:cs="Tahoma"/>
          <w:sz w:val="22"/>
          <w:szCs w:val="22"/>
        </w:rPr>
      </w:pPr>
      <w:r w:rsidRPr="006276C1">
        <w:rPr>
          <w:rFonts w:ascii="Tahoma" w:hAnsi="Tahoma" w:cs="Tahoma"/>
          <w:sz w:val="22"/>
          <w:szCs w:val="22"/>
        </w:rPr>
        <w:t xml:space="preserve">Positive </w:t>
      </w:r>
      <w:r w:rsidR="00A179E8">
        <w:rPr>
          <w:rFonts w:ascii="Tahoma" w:hAnsi="Tahoma" w:cs="Tahoma"/>
          <w:sz w:val="22"/>
          <w:szCs w:val="22"/>
        </w:rPr>
        <w:t>p</w:t>
      </w:r>
      <w:r w:rsidRPr="006276C1">
        <w:rPr>
          <w:rFonts w:ascii="Tahoma" w:hAnsi="Tahoma" w:cs="Tahoma"/>
          <w:sz w:val="22"/>
          <w:szCs w:val="22"/>
        </w:rPr>
        <w:t xml:space="preserve">erformance </w:t>
      </w:r>
      <w:r w:rsidR="00A179E8">
        <w:rPr>
          <w:rFonts w:ascii="Tahoma" w:hAnsi="Tahoma" w:cs="Tahoma"/>
          <w:sz w:val="22"/>
          <w:szCs w:val="22"/>
        </w:rPr>
        <w:t>i</w:t>
      </w:r>
      <w:r w:rsidRPr="006276C1">
        <w:rPr>
          <w:rFonts w:ascii="Tahoma" w:hAnsi="Tahoma" w:cs="Tahoma"/>
          <w:sz w:val="22"/>
          <w:szCs w:val="22"/>
        </w:rPr>
        <w:t>ndicators (PPI</w:t>
      </w:r>
      <w:r>
        <w:rPr>
          <w:rFonts w:ascii="Tahoma" w:hAnsi="Tahoma" w:cs="Tahoma"/>
          <w:sz w:val="22"/>
          <w:szCs w:val="22"/>
        </w:rPr>
        <w:t>s</w:t>
      </w:r>
      <w:r w:rsidRPr="006276C1">
        <w:rPr>
          <w:rFonts w:ascii="Tahoma" w:hAnsi="Tahoma" w:cs="Tahoma"/>
          <w:sz w:val="22"/>
          <w:szCs w:val="22"/>
        </w:rPr>
        <w:t xml:space="preserve">) are measures </w:t>
      </w:r>
      <w:r w:rsidR="00EF36C8">
        <w:rPr>
          <w:rFonts w:ascii="Tahoma" w:hAnsi="Tahoma" w:cs="Tahoma"/>
          <w:sz w:val="22"/>
          <w:szCs w:val="22"/>
        </w:rPr>
        <w:t xml:space="preserve">of actions or initiatives introduced to prevent workplace injury and disease. </w:t>
      </w:r>
      <w:r w:rsidR="00484148">
        <w:rPr>
          <w:rFonts w:ascii="Tahoma" w:hAnsi="Tahoma" w:cs="Tahoma"/>
          <w:sz w:val="22"/>
          <w:szCs w:val="22"/>
        </w:rPr>
        <w:t>Accredited contractors report details of PPIs, as well as details of any peer or industry recognition for OHS performance</w:t>
      </w:r>
      <w:r w:rsidR="00D956BE">
        <w:rPr>
          <w:rFonts w:ascii="Tahoma" w:hAnsi="Tahoma" w:cs="Tahoma"/>
          <w:sz w:val="22"/>
          <w:szCs w:val="22"/>
        </w:rPr>
        <w:t>,</w:t>
      </w:r>
      <w:r w:rsidR="00484148">
        <w:rPr>
          <w:rFonts w:ascii="Tahoma" w:hAnsi="Tahoma" w:cs="Tahoma"/>
          <w:sz w:val="22"/>
          <w:szCs w:val="22"/>
        </w:rPr>
        <w:t xml:space="preserve"> and details of any key OHS initiatives implemented during the reporting period.</w:t>
      </w:r>
    </w:p>
    <w:p w:rsidR="00FC0E0F" w:rsidRDefault="00484148" w:rsidP="009E7050">
      <w:pPr>
        <w:spacing w:before="100" w:beforeAutospacing="1" w:after="120"/>
        <w:rPr>
          <w:rFonts w:ascii="Tahoma" w:hAnsi="Tahoma" w:cs="Tahoma"/>
          <w:sz w:val="22"/>
          <w:szCs w:val="22"/>
        </w:rPr>
      </w:pPr>
      <w:r>
        <w:rPr>
          <w:rFonts w:ascii="Tahoma" w:hAnsi="Tahoma" w:cs="Tahoma"/>
          <w:sz w:val="22"/>
          <w:szCs w:val="22"/>
        </w:rPr>
        <w:t>Examples of these indicators</w:t>
      </w:r>
      <w:r w:rsidR="00E34ED5">
        <w:rPr>
          <w:rFonts w:ascii="Tahoma" w:hAnsi="Tahoma" w:cs="Tahoma"/>
          <w:sz w:val="22"/>
          <w:szCs w:val="22"/>
        </w:rPr>
        <w:t>, recognition and initiatives</w:t>
      </w:r>
      <w:r>
        <w:rPr>
          <w:rFonts w:ascii="Tahoma" w:hAnsi="Tahoma" w:cs="Tahoma"/>
          <w:sz w:val="22"/>
          <w:szCs w:val="22"/>
        </w:rPr>
        <w:t xml:space="preserve"> for the </w:t>
      </w:r>
      <w:r w:rsidR="00087D51">
        <w:rPr>
          <w:rFonts w:ascii="Tahoma" w:hAnsi="Tahoma" w:cs="Tahoma"/>
          <w:sz w:val="22"/>
          <w:szCs w:val="22"/>
        </w:rPr>
        <w:t>June</w:t>
      </w:r>
      <w:r w:rsidR="00797D7C">
        <w:rPr>
          <w:rFonts w:ascii="Tahoma" w:hAnsi="Tahoma" w:cs="Tahoma"/>
          <w:sz w:val="22"/>
          <w:szCs w:val="22"/>
        </w:rPr>
        <w:t> </w:t>
      </w:r>
      <w:r w:rsidR="00087D51">
        <w:rPr>
          <w:rFonts w:ascii="Tahoma" w:hAnsi="Tahoma" w:cs="Tahoma"/>
          <w:sz w:val="22"/>
          <w:szCs w:val="22"/>
        </w:rPr>
        <w:t>2009</w:t>
      </w:r>
      <w:r>
        <w:rPr>
          <w:rFonts w:ascii="Tahoma" w:hAnsi="Tahoma" w:cs="Tahoma"/>
          <w:sz w:val="22"/>
          <w:szCs w:val="22"/>
        </w:rPr>
        <w:t xml:space="preserve"> reporting period </w:t>
      </w:r>
      <w:r w:rsidR="00667D84">
        <w:rPr>
          <w:rFonts w:ascii="Tahoma" w:hAnsi="Tahoma" w:cs="Tahoma"/>
          <w:sz w:val="22"/>
          <w:szCs w:val="22"/>
        </w:rPr>
        <w:t>are provided</w:t>
      </w:r>
      <w:r w:rsidR="006F105D">
        <w:rPr>
          <w:rFonts w:ascii="Tahoma" w:hAnsi="Tahoma" w:cs="Tahoma"/>
          <w:sz w:val="22"/>
          <w:szCs w:val="22"/>
        </w:rPr>
        <w:t xml:space="preserve"> below. It is important to note that information on PPIs is provided as free text so the response percentage is likely to understate the number of </w:t>
      </w:r>
      <w:r w:rsidR="006F1CFA">
        <w:rPr>
          <w:rFonts w:ascii="Tahoma" w:hAnsi="Tahoma" w:cs="Tahoma"/>
          <w:sz w:val="22"/>
          <w:szCs w:val="22"/>
        </w:rPr>
        <w:t>contractors</w:t>
      </w:r>
      <w:r w:rsidR="006F105D">
        <w:rPr>
          <w:rFonts w:ascii="Tahoma" w:hAnsi="Tahoma" w:cs="Tahoma"/>
          <w:sz w:val="22"/>
          <w:szCs w:val="22"/>
        </w:rPr>
        <w:t xml:space="preserve"> that implement these PPIs</w:t>
      </w:r>
      <w:r w:rsidR="00E10E14">
        <w:rPr>
          <w:rFonts w:ascii="Tahoma" w:hAnsi="Tahoma" w:cs="Tahoma"/>
          <w:sz w:val="22"/>
          <w:szCs w:val="22"/>
        </w:rPr>
        <w:t>.</w:t>
      </w:r>
    </w:p>
    <w:p w:rsidR="001D5C20" w:rsidRPr="00CC2D17" w:rsidRDefault="001D5C20" w:rsidP="001D5C20">
      <w:pPr>
        <w:pStyle w:val="Heading3"/>
      </w:pPr>
      <w:r>
        <w:t>The response frequency of positive performance indicators during the January to June 2009 period</w:t>
      </w:r>
    </w:p>
    <w:tbl>
      <w:tblPr>
        <w:tblStyle w:val="TableGrid"/>
        <w:tblW w:w="0" w:type="auto"/>
        <w:tblLook w:val="01E0" w:firstRow="1" w:lastRow="1" w:firstColumn="1" w:lastColumn="1" w:noHBand="0" w:noVBand="0"/>
      </w:tblPr>
      <w:tblGrid>
        <w:gridCol w:w="5495"/>
        <w:gridCol w:w="2835"/>
      </w:tblGrid>
      <w:tr w:rsidR="00336FDB" w:rsidTr="0041393C">
        <w:tc>
          <w:tcPr>
            <w:tcW w:w="5495" w:type="dxa"/>
          </w:tcPr>
          <w:p w:rsidR="00336FDB" w:rsidRPr="00F342F3" w:rsidRDefault="00336FDB" w:rsidP="00F342F3">
            <w:pPr>
              <w:pStyle w:val="NormalWeb"/>
              <w:rPr>
                <w:rFonts w:ascii="Tahoma" w:hAnsi="Tahoma"/>
                <w:b/>
                <w:sz w:val="20"/>
                <w:szCs w:val="20"/>
              </w:rPr>
            </w:pPr>
            <w:r w:rsidRPr="00F342F3">
              <w:rPr>
                <w:rFonts w:ascii="Tahoma" w:hAnsi="Tahoma"/>
                <w:b/>
                <w:sz w:val="20"/>
                <w:szCs w:val="20"/>
              </w:rPr>
              <w:t>Positive performance indicator</w:t>
            </w:r>
            <w:r w:rsidR="00F342F3">
              <w:rPr>
                <w:rFonts w:ascii="Tahoma" w:hAnsi="Tahoma"/>
                <w:b/>
                <w:sz w:val="20"/>
                <w:szCs w:val="20"/>
              </w:rPr>
              <w:t>s</w:t>
            </w:r>
          </w:p>
        </w:tc>
        <w:tc>
          <w:tcPr>
            <w:tcW w:w="2835" w:type="dxa"/>
          </w:tcPr>
          <w:p w:rsidR="00336FDB" w:rsidRPr="00F342F3" w:rsidRDefault="00336FDB" w:rsidP="00D05F91">
            <w:pPr>
              <w:pStyle w:val="NormalWeb"/>
              <w:jc w:val="center"/>
              <w:rPr>
                <w:rFonts w:ascii="Tahoma" w:hAnsi="Tahoma"/>
                <w:b/>
                <w:sz w:val="20"/>
                <w:szCs w:val="20"/>
              </w:rPr>
            </w:pPr>
            <w:r w:rsidRPr="00F342F3">
              <w:rPr>
                <w:rFonts w:ascii="Tahoma" w:hAnsi="Tahoma"/>
                <w:b/>
                <w:sz w:val="20"/>
                <w:szCs w:val="20"/>
              </w:rPr>
              <w:t>Frequency of response</w:t>
            </w:r>
          </w:p>
        </w:tc>
      </w:tr>
      <w:tr w:rsidR="00336FDB" w:rsidTr="0041393C">
        <w:tc>
          <w:tcPr>
            <w:tcW w:w="5495" w:type="dxa"/>
          </w:tcPr>
          <w:p w:rsidR="00336FDB" w:rsidRPr="00F342F3" w:rsidRDefault="00336FDB" w:rsidP="0041393C">
            <w:pPr>
              <w:pStyle w:val="NormalWeb"/>
              <w:rPr>
                <w:rFonts w:ascii="Tahoma" w:hAnsi="Tahoma"/>
                <w:sz w:val="20"/>
                <w:szCs w:val="20"/>
              </w:rPr>
            </w:pPr>
            <w:r w:rsidRPr="00F342F3">
              <w:rPr>
                <w:rFonts w:ascii="Tahoma" w:hAnsi="Tahoma"/>
                <w:sz w:val="20"/>
                <w:szCs w:val="20"/>
              </w:rPr>
              <w:t>Audit programs conducted</w:t>
            </w:r>
          </w:p>
        </w:tc>
        <w:tc>
          <w:tcPr>
            <w:tcW w:w="2835" w:type="dxa"/>
          </w:tcPr>
          <w:p w:rsidR="00336FDB" w:rsidRPr="00F342F3" w:rsidRDefault="00336FDB" w:rsidP="00D05F91">
            <w:pPr>
              <w:pStyle w:val="NormalWeb"/>
              <w:jc w:val="center"/>
              <w:rPr>
                <w:rFonts w:ascii="Tahoma" w:hAnsi="Tahoma"/>
                <w:sz w:val="20"/>
                <w:szCs w:val="20"/>
              </w:rPr>
            </w:pPr>
            <w:r w:rsidRPr="00F342F3">
              <w:rPr>
                <w:rFonts w:ascii="Tahoma" w:hAnsi="Tahoma"/>
                <w:sz w:val="20"/>
                <w:szCs w:val="20"/>
              </w:rPr>
              <w:t>5</w:t>
            </w:r>
            <w:r w:rsidR="00913DE8">
              <w:rPr>
                <w:rFonts w:ascii="Tahoma" w:hAnsi="Tahoma"/>
                <w:sz w:val="20"/>
                <w:szCs w:val="20"/>
              </w:rPr>
              <w:t>5</w:t>
            </w:r>
            <w:r w:rsidRPr="00F342F3">
              <w:rPr>
                <w:rFonts w:ascii="Tahoma" w:hAnsi="Tahoma"/>
                <w:sz w:val="20"/>
                <w:szCs w:val="20"/>
              </w:rPr>
              <w:t>%</w:t>
            </w:r>
          </w:p>
        </w:tc>
      </w:tr>
      <w:tr w:rsidR="00336FDB" w:rsidTr="0041393C">
        <w:tc>
          <w:tcPr>
            <w:tcW w:w="5495" w:type="dxa"/>
          </w:tcPr>
          <w:p w:rsidR="00336FDB" w:rsidRPr="00F342F3" w:rsidRDefault="00ED0CFD" w:rsidP="0041393C">
            <w:pPr>
              <w:pStyle w:val="NormalWeb"/>
              <w:rPr>
                <w:rFonts w:ascii="Tahoma" w:hAnsi="Tahoma"/>
                <w:sz w:val="20"/>
                <w:szCs w:val="20"/>
              </w:rPr>
            </w:pPr>
            <w:r w:rsidRPr="00F342F3">
              <w:rPr>
                <w:rFonts w:ascii="Tahoma" w:hAnsi="Tahoma"/>
                <w:sz w:val="20"/>
                <w:szCs w:val="20"/>
              </w:rPr>
              <w:t>Toolbox meetings</w:t>
            </w:r>
          </w:p>
        </w:tc>
        <w:tc>
          <w:tcPr>
            <w:tcW w:w="2835" w:type="dxa"/>
          </w:tcPr>
          <w:p w:rsidR="00336FDB" w:rsidRPr="00F342F3" w:rsidRDefault="00ED0CFD" w:rsidP="00D05F91">
            <w:pPr>
              <w:pStyle w:val="NormalWeb"/>
              <w:jc w:val="center"/>
              <w:rPr>
                <w:rFonts w:ascii="Tahoma" w:hAnsi="Tahoma"/>
                <w:sz w:val="20"/>
                <w:szCs w:val="20"/>
              </w:rPr>
            </w:pPr>
            <w:r w:rsidRPr="00F342F3">
              <w:rPr>
                <w:rFonts w:ascii="Tahoma" w:hAnsi="Tahoma"/>
                <w:sz w:val="20"/>
                <w:szCs w:val="20"/>
              </w:rPr>
              <w:t>3</w:t>
            </w:r>
            <w:r w:rsidR="00913DE8">
              <w:rPr>
                <w:rFonts w:ascii="Tahoma" w:hAnsi="Tahoma"/>
                <w:sz w:val="20"/>
                <w:szCs w:val="20"/>
              </w:rPr>
              <w:t>0</w:t>
            </w:r>
            <w:r w:rsidR="00336FDB" w:rsidRPr="00F342F3">
              <w:rPr>
                <w:rFonts w:ascii="Tahoma" w:hAnsi="Tahoma"/>
                <w:sz w:val="20"/>
                <w:szCs w:val="20"/>
              </w:rPr>
              <w:t>%</w:t>
            </w:r>
          </w:p>
        </w:tc>
      </w:tr>
      <w:tr w:rsidR="00336FDB" w:rsidTr="0041393C">
        <w:tc>
          <w:tcPr>
            <w:tcW w:w="5495" w:type="dxa"/>
          </w:tcPr>
          <w:p w:rsidR="00336FDB" w:rsidRPr="00F342F3" w:rsidRDefault="00ED0CFD" w:rsidP="0041393C">
            <w:pPr>
              <w:pStyle w:val="NormalWeb"/>
              <w:rPr>
                <w:rFonts w:ascii="Tahoma" w:hAnsi="Tahoma"/>
                <w:sz w:val="20"/>
                <w:szCs w:val="20"/>
              </w:rPr>
            </w:pPr>
            <w:r w:rsidRPr="00F342F3">
              <w:rPr>
                <w:rFonts w:ascii="Tahoma" w:hAnsi="Tahoma"/>
                <w:sz w:val="20"/>
                <w:szCs w:val="20"/>
              </w:rPr>
              <w:t>Government</w:t>
            </w:r>
            <w:r w:rsidR="0041393C" w:rsidRPr="00F342F3">
              <w:rPr>
                <w:rFonts w:ascii="Tahoma" w:hAnsi="Tahoma"/>
                <w:sz w:val="20"/>
                <w:szCs w:val="20"/>
              </w:rPr>
              <w:t xml:space="preserve"> </w:t>
            </w:r>
            <w:r w:rsidRPr="00F342F3">
              <w:rPr>
                <w:rFonts w:ascii="Tahoma" w:hAnsi="Tahoma"/>
                <w:sz w:val="20"/>
                <w:szCs w:val="20"/>
              </w:rPr>
              <w:t>/ Building Association Awards</w:t>
            </w:r>
          </w:p>
        </w:tc>
        <w:tc>
          <w:tcPr>
            <w:tcW w:w="2835" w:type="dxa"/>
          </w:tcPr>
          <w:p w:rsidR="00336FDB" w:rsidRPr="00F342F3" w:rsidRDefault="00ED0CFD" w:rsidP="00D05F91">
            <w:pPr>
              <w:pStyle w:val="NormalWeb"/>
              <w:jc w:val="center"/>
              <w:rPr>
                <w:rFonts w:ascii="Tahoma" w:hAnsi="Tahoma"/>
                <w:sz w:val="20"/>
                <w:szCs w:val="20"/>
              </w:rPr>
            </w:pPr>
            <w:r w:rsidRPr="00F342F3">
              <w:rPr>
                <w:rFonts w:ascii="Tahoma" w:hAnsi="Tahoma"/>
                <w:sz w:val="20"/>
                <w:szCs w:val="20"/>
              </w:rPr>
              <w:t>1</w:t>
            </w:r>
            <w:r w:rsidR="00913DE8">
              <w:rPr>
                <w:rFonts w:ascii="Tahoma" w:hAnsi="Tahoma"/>
                <w:sz w:val="20"/>
                <w:szCs w:val="20"/>
              </w:rPr>
              <w:t>3</w:t>
            </w:r>
            <w:r w:rsidRPr="00F342F3">
              <w:rPr>
                <w:rFonts w:ascii="Tahoma" w:hAnsi="Tahoma"/>
                <w:sz w:val="20"/>
                <w:szCs w:val="20"/>
              </w:rPr>
              <w:t>%</w:t>
            </w:r>
          </w:p>
        </w:tc>
      </w:tr>
      <w:tr w:rsidR="00D05F91" w:rsidTr="0041393C">
        <w:tc>
          <w:tcPr>
            <w:tcW w:w="5495" w:type="dxa"/>
          </w:tcPr>
          <w:p w:rsidR="00D05F91" w:rsidRPr="00F342F3" w:rsidRDefault="0041393C" w:rsidP="0041393C">
            <w:pPr>
              <w:pStyle w:val="NormalWeb"/>
              <w:rPr>
                <w:rFonts w:ascii="Tahoma" w:hAnsi="Tahoma"/>
                <w:sz w:val="20"/>
                <w:szCs w:val="20"/>
              </w:rPr>
            </w:pPr>
            <w:r w:rsidRPr="00F342F3">
              <w:rPr>
                <w:rFonts w:ascii="Tahoma" w:hAnsi="Tahoma"/>
                <w:sz w:val="20"/>
                <w:szCs w:val="20"/>
              </w:rPr>
              <w:t>OHS t</w:t>
            </w:r>
            <w:r w:rsidR="00ED0CFD" w:rsidRPr="00F342F3">
              <w:rPr>
                <w:rFonts w:ascii="Tahoma" w:hAnsi="Tahoma"/>
                <w:sz w:val="20"/>
                <w:szCs w:val="20"/>
              </w:rPr>
              <w:t>raining to a Certificate III or better by employees</w:t>
            </w:r>
          </w:p>
        </w:tc>
        <w:tc>
          <w:tcPr>
            <w:tcW w:w="2835" w:type="dxa"/>
          </w:tcPr>
          <w:p w:rsidR="00D05F91" w:rsidRPr="00F342F3" w:rsidRDefault="00913DE8" w:rsidP="00D05F91">
            <w:pPr>
              <w:pStyle w:val="NormalWeb"/>
              <w:jc w:val="center"/>
              <w:rPr>
                <w:rFonts w:ascii="Tahoma" w:hAnsi="Tahoma"/>
                <w:sz w:val="20"/>
                <w:szCs w:val="20"/>
              </w:rPr>
            </w:pPr>
            <w:r>
              <w:rPr>
                <w:rFonts w:ascii="Tahoma" w:hAnsi="Tahoma"/>
                <w:sz w:val="20"/>
                <w:szCs w:val="20"/>
              </w:rPr>
              <w:t>4</w:t>
            </w:r>
            <w:r w:rsidR="00ED0CFD" w:rsidRPr="00F342F3">
              <w:rPr>
                <w:rFonts w:ascii="Tahoma" w:hAnsi="Tahoma"/>
                <w:sz w:val="20"/>
                <w:szCs w:val="20"/>
              </w:rPr>
              <w:t>%</w:t>
            </w:r>
          </w:p>
        </w:tc>
      </w:tr>
      <w:tr w:rsidR="00D05F91" w:rsidTr="0041393C">
        <w:tc>
          <w:tcPr>
            <w:tcW w:w="5495" w:type="dxa"/>
          </w:tcPr>
          <w:p w:rsidR="00ED0CFD" w:rsidRPr="00F342F3" w:rsidRDefault="00ED0CFD" w:rsidP="0041393C">
            <w:pPr>
              <w:pStyle w:val="NormalWeb"/>
              <w:rPr>
                <w:rFonts w:ascii="Tahoma" w:hAnsi="Tahoma"/>
                <w:sz w:val="20"/>
                <w:szCs w:val="20"/>
              </w:rPr>
            </w:pPr>
            <w:r w:rsidRPr="00F342F3">
              <w:rPr>
                <w:rFonts w:ascii="Tahoma" w:hAnsi="Tahoma"/>
                <w:sz w:val="20"/>
                <w:szCs w:val="20"/>
              </w:rPr>
              <w:t>Emergency Drills</w:t>
            </w:r>
            <w:r w:rsidR="0041393C" w:rsidRPr="00F342F3">
              <w:rPr>
                <w:rFonts w:ascii="Tahoma" w:hAnsi="Tahoma"/>
                <w:sz w:val="20"/>
                <w:szCs w:val="20"/>
              </w:rPr>
              <w:t xml:space="preserve"> </w:t>
            </w:r>
            <w:r w:rsidRPr="00F342F3">
              <w:rPr>
                <w:rFonts w:ascii="Tahoma" w:hAnsi="Tahoma"/>
                <w:sz w:val="20"/>
                <w:szCs w:val="20"/>
              </w:rPr>
              <w:t>/</w:t>
            </w:r>
            <w:r w:rsidR="0041393C" w:rsidRPr="00F342F3">
              <w:rPr>
                <w:rFonts w:ascii="Tahoma" w:hAnsi="Tahoma"/>
                <w:sz w:val="20"/>
                <w:szCs w:val="20"/>
              </w:rPr>
              <w:t xml:space="preserve"> </w:t>
            </w:r>
            <w:r w:rsidRPr="00F342F3">
              <w:rPr>
                <w:rFonts w:ascii="Tahoma" w:hAnsi="Tahoma"/>
                <w:sz w:val="20"/>
                <w:szCs w:val="20"/>
              </w:rPr>
              <w:t>Evacuation Plans</w:t>
            </w:r>
          </w:p>
        </w:tc>
        <w:tc>
          <w:tcPr>
            <w:tcW w:w="2835" w:type="dxa"/>
          </w:tcPr>
          <w:p w:rsidR="00D05F91" w:rsidRPr="00F342F3" w:rsidRDefault="00913DE8" w:rsidP="0041393C">
            <w:pPr>
              <w:pStyle w:val="NormalWeb"/>
              <w:jc w:val="center"/>
              <w:rPr>
                <w:rFonts w:ascii="Tahoma" w:hAnsi="Tahoma"/>
                <w:sz w:val="20"/>
                <w:szCs w:val="20"/>
              </w:rPr>
            </w:pPr>
            <w:r>
              <w:rPr>
                <w:rFonts w:ascii="Tahoma" w:hAnsi="Tahoma"/>
                <w:sz w:val="20"/>
                <w:szCs w:val="20"/>
              </w:rPr>
              <w:t>3</w:t>
            </w:r>
            <w:r w:rsidR="00ED0CFD" w:rsidRPr="00F342F3">
              <w:rPr>
                <w:rFonts w:ascii="Tahoma" w:hAnsi="Tahoma"/>
                <w:sz w:val="20"/>
                <w:szCs w:val="20"/>
              </w:rPr>
              <w:t>%</w:t>
            </w:r>
          </w:p>
        </w:tc>
      </w:tr>
      <w:tr w:rsidR="00D05F91" w:rsidTr="0041393C">
        <w:tc>
          <w:tcPr>
            <w:tcW w:w="5495" w:type="dxa"/>
          </w:tcPr>
          <w:p w:rsidR="00ED0CFD" w:rsidRPr="00F342F3" w:rsidRDefault="00ED0CFD" w:rsidP="0041393C">
            <w:pPr>
              <w:pStyle w:val="NormalWeb"/>
              <w:rPr>
                <w:rFonts w:ascii="Tahoma" w:hAnsi="Tahoma"/>
                <w:sz w:val="20"/>
                <w:szCs w:val="20"/>
              </w:rPr>
            </w:pPr>
            <w:r w:rsidRPr="00F342F3">
              <w:rPr>
                <w:rFonts w:ascii="Tahoma" w:hAnsi="Tahoma"/>
                <w:sz w:val="20"/>
                <w:szCs w:val="20"/>
              </w:rPr>
              <w:t>Implementation of drug and alcohol programs</w:t>
            </w:r>
          </w:p>
        </w:tc>
        <w:tc>
          <w:tcPr>
            <w:tcW w:w="2835" w:type="dxa"/>
          </w:tcPr>
          <w:p w:rsidR="00ED0CFD" w:rsidRPr="00F342F3" w:rsidRDefault="00913DE8" w:rsidP="00D05F91">
            <w:pPr>
              <w:pStyle w:val="NormalWeb"/>
              <w:jc w:val="center"/>
              <w:rPr>
                <w:rFonts w:ascii="Tahoma" w:hAnsi="Tahoma"/>
                <w:sz w:val="20"/>
                <w:szCs w:val="20"/>
              </w:rPr>
            </w:pPr>
            <w:r>
              <w:rPr>
                <w:rFonts w:ascii="Tahoma" w:hAnsi="Tahoma"/>
                <w:sz w:val="20"/>
                <w:szCs w:val="20"/>
              </w:rPr>
              <w:t>1</w:t>
            </w:r>
            <w:r w:rsidR="00ED0CFD" w:rsidRPr="00F342F3">
              <w:rPr>
                <w:rFonts w:ascii="Tahoma" w:hAnsi="Tahoma"/>
                <w:sz w:val="20"/>
                <w:szCs w:val="20"/>
              </w:rPr>
              <w:t>%</w:t>
            </w:r>
          </w:p>
        </w:tc>
      </w:tr>
    </w:tbl>
    <w:p w:rsidR="004655D9" w:rsidRDefault="004655D9" w:rsidP="008D7C8B">
      <w:pPr>
        <w:pStyle w:val="BodyText"/>
        <w:rPr>
          <w:rFonts w:ascii="Tahoma" w:hAnsi="Tahoma" w:cs="Tahoma"/>
          <w:sz w:val="22"/>
          <w:szCs w:val="22"/>
        </w:rPr>
      </w:pPr>
      <w:bookmarkStart w:id="23" w:name="_Toc226431185"/>
    </w:p>
    <w:p w:rsidR="00E724FB" w:rsidRDefault="001D3EEB" w:rsidP="00BB1FFE">
      <w:pPr>
        <w:pStyle w:val="BodyText"/>
        <w:numPr>
          <w:ilvl w:val="0"/>
          <w:numId w:val="36"/>
        </w:numPr>
        <w:tabs>
          <w:tab w:val="clear" w:pos="568"/>
          <w:tab w:val="num" w:pos="709"/>
        </w:tabs>
        <w:ind w:left="709"/>
        <w:rPr>
          <w:rFonts w:ascii="Tahoma" w:hAnsi="Tahoma" w:cs="Tahoma"/>
          <w:sz w:val="22"/>
          <w:szCs w:val="22"/>
        </w:rPr>
      </w:pPr>
      <w:r>
        <w:rPr>
          <w:rFonts w:ascii="Tahoma" w:hAnsi="Tahoma" w:cs="Tahoma"/>
          <w:sz w:val="22"/>
          <w:szCs w:val="22"/>
        </w:rPr>
        <w:t>Results for the June 2009 period were similar to the last biannual period for most PPIs except OHS training to Certificate III or better by employees and implementation of drug and alcohol programs, which both halved.</w:t>
      </w:r>
    </w:p>
    <w:p w:rsidR="008F12B8" w:rsidRPr="00C7657F" w:rsidRDefault="00717762" w:rsidP="00F917CF">
      <w:pPr>
        <w:pStyle w:val="Heading1"/>
        <w:numPr>
          <w:ilvl w:val="0"/>
          <w:numId w:val="0"/>
        </w:numPr>
        <w:spacing w:before="120" w:after="120"/>
        <w:jc w:val="center"/>
      </w:pPr>
      <w:r>
        <w:rPr>
          <w:rFonts w:ascii="Tahoma" w:hAnsi="Tahoma" w:cs="Tahoma"/>
          <w:sz w:val="22"/>
          <w:szCs w:val="22"/>
        </w:rPr>
        <w:br w:type="page"/>
      </w:r>
      <w:bookmarkStart w:id="24" w:name="_Toc246296858"/>
      <w:r w:rsidR="008F12B8" w:rsidRPr="00C7657F">
        <w:lastRenderedPageBreak/>
        <w:t>GLOSSARY</w:t>
      </w:r>
      <w:bookmarkEnd w:id="23"/>
      <w:bookmarkEnd w:id="24"/>
    </w:p>
    <w:p w:rsidR="008F12B8" w:rsidRPr="001F2836" w:rsidRDefault="008F12B8" w:rsidP="001C4369">
      <w:pPr>
        <w:spacing w:before="100" w:beforeAutospacing="1" w:after="120"/>
        <w:rPr>
          <w:rFonts w:ascii="Tahoma" w:hAnsi="Tahoma" w:cs="Tahoma"/>
          <w:sz w:val="22"/>
          <w:szCs w:val="22"/>
        </w:rPr>
      </w:pPr>
      <w:r w:rsidRPr="00AB64D6">
        <w:rPr>
          <w:rStyle w:val="Heading2Char"/>
          <w:rFonts w:ascii="Tahoma" w:hAnsi="Tahoma" w:cs="Tahoma"/>
          <w:sz w:val="22"/>
          <w:szCs w:val="22"/>
        </w:rPr>
        <w:t>Median -</w:t>
      </w:r>
      <w:r w:rsidRPr="001F2836">
        <w:rPr>
          <w:rFonts w:ascii="Tahoma" w:hAnsi="Tahoma" w:cs="Tahoma"/>
          <w:sz w:val="22"/>
          <w:szCs w:val="22"/>
        </w:rPr>
        <w:t xml:space="preserve"> The median is the middle of a distribution; half the scores are above the median and half are below the median. </w:t>
      </w:r>
      <w:r w:rsidR="001F2836" w:rsidRPr="001F2836">
        <w:rPr>
          <w:rFonts w:ascii="Tahoma" w:hAnsi="Tahoma" w:cs="Tahoma"/>
          <w:sz w:val="22"/>
          <w:szCs w:val="22"/>
        </w:rPr>
        <w:t xml:space="preserve">If the number of values in the data set is even, then the median is the average of the two middle values. </w:t>
      </w:r>
      <w:r w:rsidRPr="001F2836">
        <w:rPr>
          <w:rFonts w:ascii="Tahoma" w:hAnsi="Tahoma" w:cs="Tahoma"/>
          <w:sz w:val="22"/>
          <w:szCs w:val="22"/>
        </w:rPr>
        <w:t>The median is less sensitive to extreme scores than the average</w:t>
      </w:r>
      <w:r w:rsidR="004A1EA2">
        <w:rPr>
          <w:rFonts w:ascii="Tahoma" w:hAnsi="Tahoma" w:cs="Tahoma"/>
          <w:sz w:val="22"/>
          <w:szCs w:val="22"/>
        </w:rPr>
        <w:t>.</w:t>
      </w:r>
    </w:p>
    <w:p w:rsidR="008F12B8" w:rsidRDefault="001F2836" w:rsidP="001C4369">
      <w:pPr>
        <w:spacing w:before="100" w:beforeAutospacing="1" w:after="120"/>
        <w:rPr>
          <w:rFonts w:ascii="Tahoma" w:hAnsi="Tahoma" w:cs="Tahoma"/>
          <w:sz w:val="22"/>
          <w:szCs w:val="22"/>
        </w:rPr>
      </w:pPr>
      <w:r w:rsidRPr="00AB64D6">
        <w:rPr>
          <w:rStyle w:val="Heading2Char"/>
          <w:rFonts w:ascii="Tahoma" w:hAnsi="Tahoma" w:cs="Tahoma"/>
          <w:sz w:val="22"/>
          <w:szCs w:val="22"/>
        </w:rPr>
        <w:t>Arithmetic m</w:t>
      </w:r>
      <w:r w:rsidR="00BC6CA9" w:rsidRPr="00AB64D6">
        <w:rPr>
          <w:rStyle w:val="Heading2Char"/>
          <w:rFonts w:ascii="Tahoma" w:hAnsi="Tahoma" w:cs="Tahoma"/>
          <w:sz w:val="22"/>
          <w:szCs w:val="22"/>
        </w:rPr>
        <w:t>ean</w:t>
      </w:r>
      <w:r w:rsidR="008F12B8" w:rsidRPr="00AB64D6">
        <w:rPr>
          <w:rStyle w:val="Heading2Char"/>
          <w:rFonts w:ascii="Tahoma" w:hAnsi="Tahoma" w:cs="Tahoma"/>
          <w:sz w:val="22"/>
          <w:szCs w:val="22"/>
        </w:rPr>
        <w:t xml:space="preserve"> -</w:t>
      </w:r>
      <w:r w:rsidR="008F12B8" w:rsidRPr="00BC6CA9">
        <w:rPr>
          <w:rFonts w:ascii="Tahoma" w:hAnsi="Tahoma" w:cs="Tahoma"/>
          <w:sz w:val="22"/>
          <w:szCs w:val="22"/>
        </w:rPr>
        <w:t xml:space="preserve"> The </w:t>
      </w:r>
      <w:r w:rsidR="00BC6CA9">
        <w:rPr>
          <w:rFonts w:ascii="Tahoma" w:hAnsi="Tahoma" w:cs="Tahoma"/>
          <w:sz w:val="22"/>
          <w:szCs w:val="22"/>
        </w:rPr>
        <w:t>mean</w:t>
      </w:r>
      <w:r w:rsidR="008F12B8" w:rsidRPr="00BC6CA9">
        <w:rPr>
          <w:rFonts w:ascii="Tahoma" w:hAnsi="Tahoma" w:cs="Tahoma"/>
          <w:sz w:val="22"/>
          <w:szCs w:val="22"/>
        </w:rPr>
        <w:t xml:space="preserve"> is the sum of all the scores divided by the number of scores.</w:t>
      </w:r>
    </w:p>
    <w:p w:rsidR="001F2836" w:rsidRPr="0063570B" w:rsidRDefault="001F2836" w:rsidP="001C4369">
      <w:pPr>
        <w:spacing w:before="100" w:beforeAutospacing="1" w:after="120"/>
        <w:rPr>
          <w:rFonts w:ascii="Tahoma" w:hAnsi="Tahoma" w:cs="Tahoma"/>
          <w:sz w:val="22"/>
          <w:szCs w:val="22"/>
        </w:rPr>
      </w:pPr>
      <w:r w:rsidRPr="00AB64D6">
        <w:rPr>
          <w:rStyle w:val="Heading2Char"/>
          <w:rFonts w:ascii="Tahoma" w:hAnsi="Tahoma" w:cs="Tahoma"/>
          <w:sz w:val="22"/>
          <w:szCs w:val="22"/>
        </w:rPr>
        <w:t>Winsorized mean -</w:t>
      </w:r>
      <w:r>
        <w:rPr>
          <w:rFonts w:ascii="Tahoma" w:hAnsi="Tahoma" w:cs="Tahoma"/>
          <w:sz w:val="22"/>
          <w:szCs w:val="22"/>
        </w:rPr>
        <w:t xml:space="preserve"> </w:t>
      </w:r>
      <w:r w:rsidR="0063570B" w:rsidRPr="0063570B">
        <w:rPr>
          <w:rFonts w:ascii="Tahoma" w:hAnsi="Tahoma" w:cs="Tahoma"/>
          <w:sz w:val="22"/>
          <w:szCs w:val="22"/>
        </w:rPr>
        <w:t>involves the calculation of the mean after replacing given parts of a distribution</w:t>
      </w:r>
      <w:r w:rsidR="0063570B">
        <w:rPr>
          <w:rFonts w:ascii="Tahoma" w:hAnsi="Tahoma" w:cs="Tahoma"/>
          <w:sz w:val="22"/>
          <w:szCs w:val="22"/>
        </w:rPr>
        <w:t xml:space="preserve"> a</w:t>
      </w:r>
      <w:r w:rsidR="0063570B" w:rsidRPr="0063570B">
        <w:rPr>
          <w:rFonts w:ascii="Tahoma" w:hAnsi="Tahoma" w:cs="Tahoma"/>
          <w:sz w:val="22"/>
          <w:szCs w:val="22"/>
        </w:rPr>
        <w:t xml:space="preserve">t the high and low end with the most extreme remaining values, typically </w:t>
      </w:r>
      <w:r w:rsidR="00433D7D">
        <w:rPr>
          <w:rFonts w:ascii="Tahoma" w:hAnsi="Tahoma" w:cs="Tahoma"/>
          <w:sz w:val="22"/>
          <w:szCs w:val="22"/>
        </w:rPr>
        <w:t>replacing</w:t>
      </w:r>
      <w:r w:rsidR="0063570B" w:rsidRPr="0063570B">
        <w:rPr>
          <w:rFonts w:ascii="Tahoma" w:hAnsi="Tahoma" w:cs="Tahoma"/>
          <w:sz w:val="22"/>
          <w:szCs w:val="22"/>
        </w:rPr>
        <w:t xml:space="preserve"> an equal amount of both</w:t>
      </w:r>
      <w:r w:rsidR="00433D7D">
        <w:rPr>
          <w:rFonts w:ascii="Tahoma" w:hAnsi="Tahoma" w:cs="Tahoma"/>
          <w:sz w:val="22"/>
          <w:szCs w:val="22"/>
        </w:rPr>
        <w:t xml:space="preserve"> ends. O</w:t>
      </w:r>
      <w:r w:rsidR="0063570B" w:rsidRPr="0063570B">
        <w:rPr>
          <w:rFonts w:ascii="Tahoma" w:hAnsi="Tahoma" w:cs="Tahoma"/>
          <w:sz w:val="22"/>
          <w:szCs w:val="22"/>
        </w:rPr>
        <w:t xml:space="preserve">ften </w:t>
      </w:r>
      <w:r w:rsidR="0063570B">
        <w:rPr>
          <w:rFonts w:ascii="Tahoma" w:hAnsi="Tahoma" w:cs="Tahoma"/>
          <w:sz w:val="22"/>
          <w:szCs w:val="22"/>
        </w:rPr>
        <w:t>5</w:t>
      </w:r>
      <w:r w:rsidR="00433D7D">
        <w:rPr>
          <w:rFonts w:ascii="Tahoma" w:hAnsi="Tahoma" w:cs="Tahoma"/>
          <w:sz w:val="22"/>
          <w:szCs w:val="22"/>
        </w:rPr>
        <w:t> </w:t>
      </w:r>
      <w:r w:rsidR="0063570B" w:rsidRPr="0063570B">
        <w:rPr>
          <w:rFonts w:ascii="Tahoma" w:hAnsi="Tahoma" w:cs="Tahoma"/>
          <w:sz w:val="22"/>
          <w:szCs w:val="22"/>
        </w:rPr>
        <w:t>per</w:t>
      </w:r>
      <w:r w:rsidR="00433D7D">
        <w:rPr>
          <w:rFonts w:ascii="Tahoma" w:hAnsi="Tahoma" w:cs="Tahoma"/>
          <w:sz w:val="22"/>
          <w:szCs w:val="22"/>
        </w:rPr>
        <w:t> </w:t>
      </w:r>
      <w:r w:rsidR="0063570B" w:rsidRPr="0063570B">
        <w:rPr>
          <w:rFonts w:ascii="Tahoma" w:hAnsi="Tahoma" w:cs="Tahoma"/>
          <w:sz w:val="22"/>
          <w:szCs w:val="22"/>
        </w:rPr>
        <w:t>cent of the ends are</w:t>
      </w:r>
      <w:r w:rsidR="0063570B">
        <w:t xml:space="preserve"> </w:t>
      </w:r>
      <w:r w:rsidR="0063570B" w:rsidRPr="0063570B">
        <w:rPr>
          <w:rFonts w:ascii="Tahoma" w:hAnsi="Tahoma" w:cs="Tahoma"/>
          <w:sz w:val="22"/>
          <w:szCs w:val="22"/>
        </w:rPr>
        <w:t>replaced</w:t>
      </w:r>
      <w:r w:rsidR="0063570B">
        <w:rPr>
          <w:rFonts w:ascii="Tahoma" w:hAnsi="Tahoma" w:cs="Tahoma"/>
          <w:sz w:val="22"/>
          <w:szCs w:val="22"/>
        </w:rPr>
        <w:t xml:space="preserve">. </w:t>
      </w:r>
      <w:r w:rsidR="0063570B" w:rsidRPr="0063570B">
        <w:rPr>
          <w:rFonts w:ascii="Tahoma" w:hAnsi="Tahoma" w:cs="Tahoma"/>
          <w:sz w:val="22"/>
          <w:szCs w:val="22"/>
        </w:rPr>
        <w:t>The Winsorized mean is a useful estimator because it is less sensitive to outliers than the mean but will still give a reasonable estimate of central tendency</w:t>
      </w:r>
      <w:r w:rsidR="0063570B">
        <w:rPr>
          <w:rFonts w:ascii="Tahoma" w:hAnsi="Tahoma" w:cs="Tahoma"/>
          <w:sz w:val="22"/>
          <w:szCs w:val="22"/>
        </w:rPr>
        <w:t>.</w:t>
      </w:r>
    </w:p>
    <w:p w:rsidR="008F12B8" w:rsidRPr="00BC6CA9" w:rsidRDefault="008F12B8" w:rsidP="00656C5B">
      <w:pPr>
        <w:spacing w:before="100" w:beforeAutospacing="1" w:after="120"/>
        <w:rPr>
          <w:rFonts w:ascii="Tahoma" w:hAnsi="Tahoma" w:cs="Tahoma"/>
          <w:sz w:val="22"/>
          <w:szCs w:val="22"/>
        </w:rPr>
      </w:pPr>
      <w:r w:rsidRPr="00AB64D6">
        <w:rPr>
          <w:rStyle w:val="Heading2Char"/>
          <w:rFonts w:ascii="Tahoma" w:hAnsi="Tahoma" w:cs="Tahoma"/>
          <w:sz w:val="22"/>
          <w:szCs w:val="22"/>
        </w:rPr>
        <w:t xml:space="preserve">Incidence </w:t>
      </w:r>
      <w:r w:rsidR="00BC6CA9" w:rsidRPr="00AB64D6">
        <w:rPr>
          <w:rStyle w:val="Heading2Char"/>
          <w:rFonts w:ascii="Tahoma" w:hAnsi="Tahoma" w:cs="Tahoma"/>
          <w:sz w:val="22"/>
          <w:szCs w:val="22"/>
        </w:rPr>
        <w:t>r</w:t>
      </w:r>
      <w:r w:rsidRPr="00AB64D6">
        <w:rPr>
          <w:rStyle w:val="Heading2Char"/>
          <w:rFonts w:ascii="Tahoma" w:hAnsi="Tahoma" w:cs="Tahoma"/>
          <w:sz w:val="22"/>
          <w:szCs w:val="22"/>
        </w:rPr>
        <w:t>ate -</w:t>
      </w:r>
      <w:r w:rsidRPr="00BC6CA9">
        <w:rPr>
          <w:rFonts w:ascii="Tahoma" w:hAnsi="Tahoma" w:cs="Tahoma"/>
          <w:sz w:val="22"/>
          <w:szCs w:val="22"/>
        </w:rPr>
        <w:t xml:space="preserve"> Incidence rates are calculated as follows:</w:t>
      </w:r>
    </w:p>
    <w:p w:rsidR="00656C5B" w:rsidRDefault="00656C5B" w:rsidP="001C4369">
      <w:pPr>
        <w:spacing w:before="100" w:beforeAutospacing="1" w:after="120"/>
        <w:rPr>
          <w:rStyle w:val="Heading2Char"/>
          <w:rFonts w:ascii="Tahoma" w:hAnsi="Tahoma" w:cs="Tahoma"/>
          <w:sz w:val="22"/>
          <w:szCs w:val="22"/>
        </w:rPr>
      </w:pPr>
      <w:r>
        <w:rPr>
          <w:rFonts w:ascii="Tahoma" w:hAnsi="Tahoma" w:cs="Tahoma"/>
          <w:b/>
          <w:bCs/>
          <w:i/>
          <w:iCs/>
          <w:noProof/>
          <w:sz w:val="22"/>
          <w:szCs w:val="22"/>
          <w:lang w:eastAsia="en-AU"/>
        </w:rPr>
        <w:drawing>
          <wp:inline distT="0" distB="0" distL="0" distR="0">
            <wp:extent cx="3833495" cy="570865"/>
            <wp:effectExtent l="19050" t="0" r="0" b="0"/>
            <wp:docPr id="1" name="Picture 1" descr="Formula for Incidence Rate showing number of incidences divided by number of employed, times one hundred thousand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3495" cy="570865"/>
                    </a:xfrm>
                    <a:prstGeom prst="rect">
                      <a:avLst/>
                    </a:prstGeom>
                    <a:noFill/>
                    <a:ln w="9525">
                      <a:noFill/>
                      <a:miter lim="800000"/>
                      <a:headEnd/>
                      <a:tailEnd/>
                    </a:ln>
                  </pic:spPr>
                </pic:pic>
              </a:graphicData>
            </a:graphic>
          </wp:inline>
        </w:drawing>
      </w:r>
    </w:p>
    <w:p w:rsidR="008F12B8" w:rsidRPr="00BC6CA9" w:rsidRDefault="008F12B8" w:rsidP="00656C5B">
      <w:pPr>
        <w:spacing w:before="100" w:beforeAutospacing="1" w:after="120"/>
        <w:rPr>
          <w:rFonts w:ascii="Tahoma" w:hAnsi="Tahoma" w:cs="Tahoma"/>
          <w:sz w:val="22"/>
          <w:szCs w:val="22"/>
        </w:rPr>
      </w:pPr>
      <w:r w:rsidRPr="00AB64D6">
        <w:rPr>
          <w:rStyle w:val="Heading2Char"/>
          <w:rFonts w:ascii="Tahoma" w:hAnsi="Tahoma" w:cs="Tahoma"/>
          <w:sz w:val="22"/>
          <w:szCs w:val="22"/>
        </w:rPr>
        <w:t xml:space="preserve">Frequency </w:t>
      </w:r>
      <w:r w:rsidR="00BC6CA9" w:rsidRPr="00AB64D6">
        <w:rPr>
          <w:rStyle w:val="Heading2Char"/>
          <w:rFonts w:ascii="Tahoma" w:hAnsi="Tahoma" w:cs="Tahoma"/>
          <w:sz w:val="22"/>
          <w:szCs w:val="22"/>
        </w:rPr>
        <w:t>r</w:t>
      </w:r>
      <w:r w:rsidRPr="00AB64D6">
        <w:rPr>
          <w:rStyle w:val="Heading2Char"/>
          <w:rFonts w:ascii="Tahoma" w:hAnsi="Tahoma" w:cs="Tahoma"/>
          <w:sz w:val="22"/>
          <w:szCs w:val="22"/>
        </w:rPr>
        <w:t>ate -</w:t>
      </w:r>
      <w:r w:rsidRPr="00BC6CA9">
        <w:rPr>
          <w:rFonts w:ascii="Tahoma" w:hAnsi="Tahoma" w:cs="Tahoma"/>
          <w:sz w:val="22"/>
          <w:szCs w:val="22"/>
        </w:rPr>
        <w:t xml:space="preserve"> Frequency rates are calculated as follows:</w:t>
      </w:r>
    </w:p>
    <w:p w:rsidR="00656C5B" w:rsidRDefault="00656C5B" w:rsidP="001C4369">
      <w:pPr>
        <w:spacing w:before="100" w:beforeAutospacing="1" w:after="120"/>
        <w:rPr>
          <w:rStyle w:val="Heading2Char"/>
          <w:rFonts w:ascii="Tahoma" w:hAnsi="Tahoma" w:cs="Tahoma"/>
          <w:sz w:val="22"/>
          <w:szCs w:val="22"/>
        </w:rPr>
      </w:pPr>
      <w:r>
        <w:rPr>
          <w:rFonts w:ascii="Tahoma" w:hAnsi="Tahoma" w:cs="Tahoma"/>
          <w:b/>
          <w:bCs/>
          <w:i/>
          <w:iCs/>
          <w:noProof/>
          <w:sz w:val="22"/>
          <w:szCs w:val="22"/>
          <w:lang w:eastAsia="en-AU"/>
        </w:rPr>
        <w:drawing>
          <wp:anchor distT="0" distB="0" distL="114300" distR="114300" simplePos="0" relativeHeight="251658240" behindDoc="0" locked="0" layoutInCell="1" allowOverlap="1">
            <wp:simplePos x="0" y="0"/>
            <wp:positionH relativeFrom="column">
              <wp:posOffset>68580</wp:posOffset>
            </wp:positionH>
            <wp:positionV relativeFrom="paragraph">
              <wp:posOffset>101600</wp:posOffset>
            </wp:positionV>
            <wp:extent cx="3419475" cy="457200"/>
            <wp:effectExtent l="19050" t="0" r="9525" b="0"/>
            <wp:wrapSquare wrapText="bothSides"/>
            <wp:docPr id="8" name="Picture 8" descr="Formula for Frequency Rate showing number of incidences divided by number of hours worked, times one million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419475" cy="457200"/>
                    </a:xfrm>
                    <a:prstGeom prst="rect">
                      <a:avLst/>
                    </a:prstGeom>
                    <a:noFill/>
                    <a:ln w="9525">
                      <a:noFill/>
                      <a:miter lim="800000"/>
                      <a:headEnd/>
                      <a:tailEnd/>
                    </a:ln>
                  </pic:spPr>
                </pic:pic>
              </a:graphicData>
            </a:graphic>
          </wp:anchor>
        </w:drawing>
      </w:r>
    </w:p>
    <w:p w:rsidR="00946542" w:rsidRDefault="00946542" w:rsidP="001C4369">
      <w:pPr>
        <w:spacing w:before="100" w:beforeAutospacing="1" w:after="120"/>
        <w:rPr>
          <w:rStyle w:val="Heading2Char"/>
          <w:rFonts w:ascii="Tahoma" w:hAnsi="Tahoma" w:cs="Tahoma"/>
          <w:sz w:val="22"/>
          <w:szCs w:val="22"/>
        </w:rPr>
      </w:pPr>
    </w:p>
    <w:p w:rsidR="008F12B8" w:rsidRPr="00BC6CA9" w:rsidRDefault="008F12B8" w:rsidP="001C4369">
      <w:pPr>
        <w:spacing w:before="100" w:beforeAutospacing="1" w:after="120"/>
        <w:rPr>
          <w:rFonts w:ascii="Tahoma" w:hAnsi="Tahoma" w:cs="Tahoma"/>
          <w:sz w:val="22"/>
          <w:szCs w:val="22"/>
        </w:rPr>
      </w:pPr>
      <w:r w:rsidRPr="00AB64D6">
        <w:rPr>
          <w:rStyle w:val="Heading2Char"/>
          <w:rFonts w:ascii="Tahoma" w:hAnsi="Tahoma" w:cs="Tahoma"/>
          <w:sz w:val="22"/>
          <w:szCs w:val="22"/>
        </w:rPr>
        <w:t xml:space="preserve">LTIFR (Lost </w:t>
      </w:r>
      <w:r w:rsidR="001C4369" w:rsidRPr="00AB64D6">
        <w:rPr>
          <w:rStyle w:val="Heading2Char"/>
          <w:rFonts w:ascii="Tahoma" w:hAnsi="Tahoma" w:cs="Tahoma"/>
          <w:sz w:val="22"/>
          <w:szCs w:val="22"/>
        </w:rPr>
        <w:t>T</w:t>
      </w:r>
      <w:r w:rsidRPr="00AB64D6">
        <w:rPr>
          <w:rStyle w:val="Heading2Char"/>
          <w:rFonts w:ascii="Tahoma" w:hAnsi="Tahoma" w:cs="Tahoma"/>
          <w:sz w:val="22"/>
          <w:szCs w:val="22"/>
        </w:rPr>
        <w:t xml:space="preserve">ime </w:t>
      </w:r>
      <w:r w:rsidR="001C4369" w:rsidRPr="00AB64D6">
        <w:rPr>
          <w:rStyle w:val="Heading2Char"/>
          <w:rFonts w:ascii="Tahoma" w:hAnsi="Tahoma" w:cs="Tahoma"/>
          <w:sz w:val="22"/>
          <w:szCs w:val="22"/>
        </w:rPr>
        <w:t>I</w:t>
      </w:r>
      <w:r w:rsidRPr="00AB64D6">
        <w:rPr>
          <w:rStyle w:val="Heading2Char"/>
          <w:rFonts w:ascii="Tahoma" w:hAnsi="Tahoma" w:cs="Tahoma"/>
          <w:sz w:val="22"/>
          <w:szCs w:val="22"/>
        </w:rPr>
        <w:t xml:space="preserve">njury </w:t>
      </w:r>
      <w:r w:rsidR="001C4369" w:rsidRPr="00AB64D6">
        <w:rPr>
          <w:rStyle w:val="Heading2Char"/>
          <w:rFonts w:ascii="Tahoma" w:hAnsi="Tahoma" w:cs="Tahoma"/>
          <w:sz w:val="22"/>
          <w:szCs w:val="22"/>
        </w:rPr>
        <w:t>F</w:t>
      </w:r>
      <w:r w:rsidRPr="00AB64D6">
        <w:rPr>
          <w:rStyle w:val="Heading2Char"/>
          <w:rFonts w:ascii="Tahoma" w:hAnsi="Tahoma" w:cs="Tahoma"/>
          <w:sz w:val="22"/>
          <w:szCs w:val="22"/>
        </w:rPr>
        <w:t xml:space="preserve">requency </w:t>
      </w:r>
      <w:r w:rsidR="001C4369" w:rsidRPr="00AB64D6">
        <w:rPr>
          <w:rStyle w:val="Heading2Char"/>
          <w:rFonts w:ascii="Tahoma" w:hAnsi="Tahoma" w:cs="Tahoma"/>
          <w:sz w:val="22"/>
          <w:szCs w:val="22"/>
        </w:rPr>
        <w:t>R</w:t>
      </w:r>
      <w:r w:rsidRPr="00AB64D6">
        <w:rPr>
          <w:rStyle w:val="Heading2Char"/>
          <w:rFonts w:ascii="Tahoma" w:hAnsi="Tahoma" w:cs="Tahoma"/>
          <w:sz w:val="22"/>
          <w:szCs w:val="22"/>
        </w:rPr>
        <w:t>ate) -</w:t>
      </w:r>
      <w:r w:rsidRPr="00AB64D6">
        <w:rPr>
          <w:rFonts w:ascii="Tahoma" w:hAnsi="Tahoma" w:cs="Tahoma"/>
          <w:sz w:val="22"/>
          <w:szCs w:val="22"/>
        </w:rPr>
        <w:t xml:space="preserve"> </w:t>
      </w:r>
      <w:r w:rsidRPr="00BC6CA9">
        <w:rPr>
          <w:rFonts w:ascii="Tahoma" w:hAnsi="Tahoma" w:cs="Tahoma"/>
          <w:sz w:val="22"/>
          <w:szCs w:val="22"/>
        </w:rPr>
        <w:t xml:space="preserve">The number of occurrences of lost time injury </w:t>
      </w:r>
      <w:r w:rsidR="0075559C">
        <w:rPr>
          <w:rFonts w:ascii="Tahoma" w:hAnsi="Tahoma" w:cs="Tahoma"/>
          <w:sz w:val="22"/>
          <w:szCs w:val="22"/>
        </w:rPr>
        <w:t>that result in a fatality, a permanent disability or time lost from work of one day shift or more in the period. The number of hours worked refers to the total number of hours worked by all workers in the period, including overtime and extra shifts.</w:t>
      </w:r>
    </w:p>
    <w:p w:rsidR="008F12B8" w:rsidRDefault="008F12B8" w:rsidP="001C4369">
      <w:pPr>
        <w:spacing w:before="100" w:beforeAutospacing="1" w:after="120"/>
        <w:rPr>
          <w:rFonts w:ascii="Tahoma" w:hAnsi="Tahoma" w:cs="Tahoma"/>
          <w:sz w:val="22"/>
          <w:szCs w:val="22"/>
        </w:rPr>
      </w:pPr>
      <w:r w:rsidRPr="00AB64D6">
        <w:rPr>
          <w:rStyle w:val="Heading2Char"/>
          <w:rFonts w:ascii="Tahoma" w:hAnsi="Tahoma" w:cs="Tahoma"/>
          <w:sz w:val="22"/>
          <w:szCs w:val="22"/>
        </w:rPr>
        <w:t xml:space="preserve">MTIFR (Medically </w:t>
      </w:r>
      <w:r w:rsidR="001C4369" w:rsidRPr="00AB64D6">
        <w:rPr>
          <w:rStyle w:val="Heading2Char"/>
          <w:rFonts w:ascii="Tahoma" w:hAnsi="Tahoma" w:cs="Tahoma"/>
          <w:sz w:val="22"/>
          <w:szCs w:val="22"/>
        </w:rPr>
        <w:t>T</w:t>
      </w:r>
      <w:r w:rsidRPr="00AB64D6">
        <w:rPr>
          <w:rStyle w:val="Heading2Char"/>
          <w:rFonts w:ascii="Tahoma" w:hAnsi="Tahoma" w:cs="Tahoma"/>
          <w:sz w:val="22"/>
          <w:szCs w:val="22"/>
        </w:rPr>
        <w:t xml:space="preserve">reated </w:t>
      </w:r>
      <w:r w:rsidR="001C4369" w:rsidRPr="00AB64D6">
        <w:rPr>
          <w:rStyle w:val="Heading2Char"/>
          <w:rFonts w:ascii="Tahoma" w:hAnsi="Tahoma" w:cs="Tahoma"/>
          <w:sz w:val="22"/>
          <w:szCs w:val="22"/>
        </w:rPr>
        <w:t>I</w:t>
      </w:r>
      <w:r w:rsidRPr="00AB64D6">
        <w:rPr>
          <w:rStyle w:val="Heading2Char"/>
          <w:rFonts w:ascii="Tahoma" w:hAnsi="Tahoma" w:cs="Tahoma"/>
          <w:sz w:val="22"/>
          <w:szCs w:val="22"/>
        </w:rPr>
        <w:t xml:space="preserve">njury </w:t>
      </w:r>
      <w:r w:rsidR="001C4369" w:rsidRPr="00AB64D6">
        <w:rPr>
          <w:rStyle w:val="Heading2Char"/>
          <w:rFonts w:ascii="Tahoma" w:hAnsi="Tahoma" w:cs="Tahoma"/>
          <w:sz w:val="22"/>
          <w:szCs w:val="22"/>
        </w:rPr>
        <w:t>F</w:t>
      </w:r>
      <w:r w:rsidRPr="00AB64D6">
        <w:rPr>
          <w:rStyle w:val="Heading2Char"/>
          <w:rFonts w:ascii="Tahoma" w:hAnsi="Tahoma" w:cs="Tahoma"/>
          <w:sz w:val="22"/>
          <w:szCs w:val="22"/>
        </w:rPr>
        <w:t xml:space="preserve">requency </w:t>
      </w:r>
      <w:r w:rsidR="001C4369" w:rsidRPr="00AB64D6">
        <w:rPr>
          <w:rStyle w:val="Heading2Char"/>
          <w:rFonts w:ascii="Tahoma" w:hAnsi="Tahoma" w:cs="Tahoma"/>
          <w:sz w:val="22"/>
          <w:szCs w:val="22"/>
        </w:rPr>
        <w:t>R</w:t>
      </w:r>
      <w:r w:rsidRPr="00AB64D6">
        <w:rPr>
          <w:rStyle w:val="Heading2Char"/>
          <w:rFonts w:ascii="Tahoma" w:hAnsi="Tahoma" w:cs="Tahoma"/>
          <w:sz w:val="22"/>
          <w:szCs w:val="22"/>
        </w:rPr>
        <w:t>ate) -</w:t>
      </w:r>
      <w:r w:rsidRPr="00CD7A78">
        <w:rPr>
          <w:rFonts w:ascii="Tahoma" w:hAnsi="Tahoma" w:cs="Tahoma"/>
          <w:sz w:val="22"/>
          <w:szCs w:val="22"/>
        </w:rPr>
        <w:t xml:space="preserve"> The number of occurrences of </w:t>
      </w:r>
      <w:r w:rsidR="00433D7D">
        <w:rPr>
          <w:rFonts w:ascii="Tahoma" w:hAnsi="Tahoma" w:cs="Tahoma"/>
          <w:sz w:val="22"/>
          <w:szCs w:val="22"/>
        </w:rPr>
        <w:t xml:space="preserve">treatment by, or under the order of, a qualified medical practitioner, or any injury that could be considered as being one that would normally be treated by a medical practitioner. The number of hours </w:t>
      </w:r>
      <w:r w:rsidR="00433D7D">
        <w:rPr>
          <w:rFonts w:ascii="Tahoma" w:hAnsi="Tahoma" w:cs="Tahoma"/>
          <w:sz w:val="22"/>
          <w:szCs w:val="22"/>
        </w:rPr>
        <w:lastRenderedPageBreak/>
        <w:t>worked refers to the total number of hours worked by all workers in the period, including overtime and extra shifts.</w:t>
      </w:r>
    </w:p>
    <w:p w:rsidR="008F12B8" w:rsidRDefault="008F12B8" w:rsidP="001C4369">
      <w:pPr>
        <w:spacing w:before="100" w:beforeAutospacing="1" w:after="120"/>
        <w:rPr>
          <w:rFonts w:ascii="Tahoma" w:hAnsi="Tahoma" w:cs="Tahoma"/>
          <w:sz w:val="22"/>
          <w:szCs w:val="22"/>
        </w:rPr>
      </w:pPr>
      <w:r w:rsidRPr="00AB64D6">
        <w:rPr>
          <w:rStyle w:val="Heading2Char"/>
          <w:rFonts w:ascii="Tahoma" w:hAnsi="Tahoma" w:cs="Tahoma"/>
          <w:sz w:val="22"/>
          <w:szCs w:val="22"/>
        </w:rPr>
        <w:t>Incident -</w:t>
      </w:r>
      <w:r w:rsidRPr="00CD7A78">
        <w:rPr>
          <w:rFonts w:ascii="Tahoma" w:hAnsi="Tahoma" w:cs="Tahoma"/>
          <w:sz w:val="22"/>
          <w:szCs w:val="22"/>
        </w:rPr>
        <w:t xml:space="preserve"> An incident resulting in an injury that is required to be notified by the OHS legislative requirement for notifiable incidents in the jurisdiction in which the project is being undertaken.</w:t>
      </w:r>
    </w:p>
    <w:p w:rsidR="00731032" w:rsidRPr="00731032" w:rsidRDefault="00731032" w:rsidP="0025651D">
      <w:r w:rsidRPr="00AB64D6">
        <w:rPr>
          <w:rStyle w:val="Heading2Char"/>
          <w:rFonts w:ascii="Tahoma" w:hAnsi="Tahoma" w:cs="Tahoma"/>
          <w:sz w:val="22"/>
          <w:szCs w:val="22"/>
        </w:rPr>
        <w:t xml:space="preserve">Scheme </w:t>
      </w:r>
      <w:r w:rsidR="00A179E8" w:rsidRPr="00AB64D6">
        <w:rPr>
          <w:rStyle w:val="Heading2Char"/>
          <w:rFonts w:ascii="Tahoma" w:hAnsi="Tahoma" w:cs="Tahoma"/>
          <w:sz w:val="22"/>
          <w:szCs w:val="22"/>
        </w:rPr>
        <w:t>p</w:t>
      </w:r>
      <w:r w:rsidRPr="00AB64D6">
        <w:rPr>
          <w:rStyle w:val="Heading2Char"/>
          <w:rFonts w:ascii="Tahoma" w:hAnsi="Tahoma" w:cs="Tahoma"/>
          <w:sz w:val="22"/>
          <w:szCs w:val="22"/>
        </w:rPr>
        <w:t>rojects -</w:t>
      </w:r>
      <w:r w:rsidRPr="00AB64D6">
        <w:t xml:space="preserve"> </w:t>
      </w:r>
      <w:r w:rsidRPr="0025651D">
        <w:rPr>
          <w:rFonts w:ascii="Tahoma" w:hAnsi="Tahoma" w:cs="Tahoma"/>
          <w:sz w:val="22"/>
          <w:szCs w:val="22"/>
        </w:rPr>
        <w:t>Projects that are directly funded by the Australian Government with a value of $3 million or more</w:t>
      </w:r>
      <w:r w:rsidR="00B82F86" w:rsidRPr="0025651D">
        <w:rPr>
          <w:rFonts w:ascii="Tahoma" w:hAnsi="Tahoma" w:cs="Tahoma"/>
          <w:sz w:val="22"/>
          <w:szCs w:val="22"/>
        </w:rPr>
        <w:t>,</w:t>
      </w:r>
      <w:r w:rsidRPr="0025651D">
        <w:rPr>
          <w:rFonts w:ascii="Tahoma" w:hAnsi="Tahoma" w:cs="Tahoma"/>
          <w:sz w:val="22"/>
          <w:szCs w:val="22"/>
        </w:rPr>
        <w:t xml:space="preserve"> </w:t>
      </w:r>
      <w:r w:rsidR="00B82F86" w:rsidRPr="0025651D">
        <w:rPr>
          <w:rFonts w:ascii="Tahoma" w:hAnsi="Tahoma" w:cs="Tahoma"/>
          <w:sz w:val="22"/>
          <w:szCs w:val="22"/>
        </w:rPr>
        <w:t>p</w:t>
      </w:r>
      <w:r w:rsidRPr="0025651D">
        <w:rPr>
          <w:rFonts w:ascii="Tahoma" w:hAnsi="Tahoma" w:cs="Tahoma"/>
          <w:sz w:val="22"/>
          <w:szCs w:val="22"/>
        </w:rPr>
        <w:t>lus, projects that are indirectly funded by the Australian Government where:</w:t>
      </w:r>
    </w:p>
    <w:p w:rsidR="00731032" w:rsidRPr="00731032" w:rsidRDefault="00731032" w:rsidP="00BB1FFE">
      <w:pPr>
        <w:numPr>
          <w:ilvl w:val="0"/>
          <w:numId w:val="15"/>
        </w:numPr>
        <w:tabs>
          <w:tab w:val="clear" w:pos="720"/>
          <w:tab w:val="num" w:pos="709"/>
        </w:tabs>
        <w:spacing w:before="100" w:beforeAutospacing="1" w:after="120"/>
        <w:ind w:left="709" w:hanging="283"/>
        <w:rPr>
          <w:rFonts w:ascii="Tahoma" w:hAnsi="Tahoma" w:cs="Tahoma"/>
          <w:sz w:val="22"/>
          <w:szCs w:val="22"/>
          <w:lang w:eastAsia="en-AU"/>
        </w:rPr>
      </w:pPr>
      <w:r w:rsidRPr="00731032">
        <w:rPr>
          <w:rFonts w:ascii="Tahoma" w:hAnsi="Tahoma" w:cs="Tahoma"/>
          <w:sz w:val="22"/>
          <w:szCs w:val="22"/>
          <w:lang w:eastAsia="en-AU"/>
        </w:rPr>
        <w:t>the value of the Australian Government contribution to the project is at least $5 million and represents at least 50</w:t>
      </w:r>
      <w:r w:rsidR="00A179E8">
        <w:rPr>
          <w:rFonts w:ascii="Tahoma" w:hAnsi="Tahoma" w:cs="Tahoma"/>
          <w:sz w:val="22"/>
          <w:szCs w:val="22"/>
          <w:lang w:eastAsia="en-AU"/>
        </w:rPr>
        <w:t> </w:t>
      </w:r>
      <w:r w:rsidRPr="00731032">
        <w:rPr>
          <w:rFonts w:ascii="Tahoma" w:hAnsi="Tahoma" w:cs="Tahoma"/>
          <w:sz w:val="22"/>
          <w:szCs w:val="22"/>
          <w:lang w:eastAsia="en-AU"/>
        </w:rPr>
        <w:t>per</w:t>
      </w:r>
      <w:r w:rsidR="00A179E8">
        <w:rPr>
          <w:rFonts w:ascii="Tahoma" w:hAnsi="Tahoma" w:cs="Tahoma"/>
          <w:sz w:val="22"/>
          <w:szCs w:val="22"/>
          <w:lang w:eastAsia="en-AU"/>
        </w:rPr>
        <w:t> </w:t>
      </w:r>
      <w:r w:rsidRPr="00731032">
        <w:rPr>
          <w:rFonts w:ascii="Tahoma" w:hAnsi="Tahoma" w:cs="Tahoma"/>
          <w:sz w:val="22"/>
          <w:szCs w:val="22"/>
          <w:lang w:eastAsia="en-AU"/>
        </w:rPr>
        <w:t xml:space="preserve">cent of the total construction project value; or </w:t>
      </w:r>
    </w:p>
    <w:p w:rsidR="00731032" w:rsidRPr="00731032" w:rsidRDefault="00731032" w:rsidP="00BB1FFE">
      <w:pPr>
        <w:numPr>
          <w:ilvl w:val="0"/>
          <w:numId w:val="15"/>
        </w:numPr>
        <w:tabs>
          <w:tab w:val="clear" w:pos="720"/>
          <w:tab w:val="num" w:pos="709"/>
        </w:tabs>
        <w:spacing w:before="100" w:beforeAutospacing="1" w:after="120"/>
        <w:ind w:left="709" w:hanging="283"/>
        <w:rPr>
          <w:szCs w:val="24"/>
          <w:lang w:eastAsia="en-AU"/>
        </w:rPr>
      </w:pPr>
      <w:r w:rsidRPr="00731032">
        <w:rPr>
          <w:rFonts w:ascii="Tahoma" w:hAnsi="Tahoma" w:cs="Tahoma"/>
          <w:sz w:val="22"/>
          <w:szCs w:val="22"/>
          <w:lang w:eastAsia="en-AU"/>
        </w:rPr>
        <w:t>the Australian Government contribution to a project is $10 million or more, irrespective of the proportion of Australian Government funding</w:t>
      </w:r>
      <w:r w:rsidR="001C4369">
        <w:rPr>
          <w:rFonts w:ascii="Tahoma" w:hAnsi="Tahoma" w:cs="Tahoma"/>
          <w:sz w:val="22"/>
          <w:szCs w:val="22"/>
          <w:lang w:eastAsia="en-AU"/>
        </w:rPr>
        <w:t>.</w:t>
      </w:r>
    </w:p>
    <w:p w:rsidR="00731032" w:rsidRDefault="00731032" w:rsidP="001C4369">
      <w:pPr>
        <w:spacing w:before="100" w:beforeAutospacing="1" w:after="120"/>
        <w:rPr>
          <w:rFonts w:ascii="Tahoma" w:hAnsi="Tahoma" w:cs="Tahoma"/>
          <w:sz w:val="22"/>
          <w:szCs w:val="22"/>
        </w:rPr>
      </w:pPr>
      <w:r w:rsidRPr="00AB64D6">
        <w:rPr>
          <w:rStyle w:val="Heading2Char"/>
          <w:rFonts w:ascii="Tahoma" w:hAnsi="Tahoma" w:cs="Tahoma"/>
          <w:sz w:val="22"/>
          <w:szCs w:val="22"/>
        </w:rPr>
        <w:t>Non</w:t>
      </w:r>
      <w:r w:rsidR="00A179E8" w:rsidRPr="00AB64D6">
        <w:rPr>
          <w:rStyle w:val="Heading2Char"/>
          <w:rFonts w:ascii="Tahoma" w:hAnsi="Tahoma" w:cs="Tahoma"/>
          <w:sz w:val="22"/>
          <w:szCs w:val="22"/>
        </w:rPr>
        <w:t>-</w:t>
      </w:r>
      <w:r w:rsidRPr="00AB64D6">
        <w:rPr>
          <w:rStyle w:val="Heading2Char"/>
          <w:rFonts w:ascii="Tahoma" w:hAnsi="Tahoma" w:cs="Tahoma"/>
          <w:sz w:val="22"/>
          <w:szCs w:val="22"/>
        </w:rPr>
        <w:t xml:space="preserve">Scheme </w:t>
      </w:r>
      <w:r w:rsidR="00A179E8" w:rsidRPr="00AB64D6">
        <w:rPr>
          <w:rStyle w:val="Heading2Char"/>
          <w:rFonts w:ascii="Tahoma" w:hAnsi="Tahoma" w:cs="Tahoma"/>
          <w:sz w:val="22"/>
          <w:szCs w:val="22"/>
        </w:rPr>
        <w:t>p</w:t>
      </w:r>
      <w:r w:rsidRPr="00AB64D6">
        <w:rPr>
          <w:rStyle w:val="Heading2Char"/>
          <w:rFonts w:ascii="Tahoma" w:hAnsi="Tahoma" w:cs="Tahoma"/>
          <w:sz w:val="22"/>
          <w:szCs w:val="22"/>
        </w:rPr>
        <w:t xml:space="preserve">rojects </w:t>
      </w:r>
      <w:r w:rsidR="00B82F86" w:rsidRPr="00AB64D6">
        <w:rPr>
          <w:rStyle w:val="Heading2Char"/>
          <w:rFonts w:ascii="Tahoma" w:hAnsi="Tahoma" w:cs="Tahoma"/>
          <w:sz w:val="22"/>
          <w:szCs w:val="22"/>
        </w:rPr>
        <w:t>–</w:t>
      </w:r>
      <w:r>
        <w:rPr>
          <w:rFonts w:ascii="Tahoma" w:hAnsi="Tahoma" w:cs="Tahoma"/>
          <w:sz w:val="22"/>
          <w:szCs w:val="22"/>
        </w:rPr>
        <w:t xml:space="preserve"> </w:t>
      </w:r>
      <w:r w:rsidR="00B82F86">
        <w:rPr>
          <w:rFonts w:ascii="Tahoma" w:hAnsi="Tahoma" w:cs="Tahoma"/>
          <w:sz w:val="22"/>
          <w:szCs w:val="22"/>
        </w:rPr>
        <w:t>Projects where the accredited co</w:t>
      </w:r>
      <w:r w:rsidR="006F1CFA">
        <w:rPr>
          <w:rFonts w:ascii="Tahoma" w:hAnsi="Tahoma" w:cs="Tahoma"/>
          <w:sz w:val="22"/>
          <w:szCs w:val="22"/>
        </w:rPr>
        <w:t>ntractor</w:t>
      </w:r>
      <w:r w:rsidR="00B82F86">
        <w:rPr>
          <w:rFonts w:ascii="Tahoma" w:hAnsi="Tahoma" w:cs="Tahoma"/>
          <w:sz w:val="22"/>
          <w:szCs w:val="22"/>
        </w:rPr>
        <w:t xml:space="preserve"> is the head contractor, the value of building work is $3 million or more, and the project is not a </w:t>
      </w:r>
      <w:r w:rsidR="00A179E8">
        <w:rPr>
          <w:rFonts w:ascii="Tahoma" w:hAnsi="Tahoma" w:cs="Tahoma"/>
          <w:sz w:val="22"/>
          <w:szCs w:val="22"/>
        </w:rPr>
        <w:t>S</w:t>
      </w:r>
      <w:r w:rsidR="00B82F86">
        <w:rPr>
          <w:rFonts w:ascii="Tahoma" w:hAnsi="Tahoma" w:cs="Tahoma"/>
          <w:sz w:val="22"/>
          <w:szCs w:val="22"/>
        </w:rPr>
        <w:t>cheme project.</w:t>
      </w:r>
    </w:p>
    <w:p w:rsidR="004F0559" w:rsidRPr="00AB64D6" w:rsidRDefault="004F0559" w:rsidP="00106E78">
      <w:pPr>
        <w:spacing w:before="100" w:beforeAutospacing="1" w:after="120"/>
        <w:rPr>
          <w:rFonts w:ascii="Tahoma" w:hAnsi="Tahoma" w:cs="Tahoma"/>
          <w:sz w:val="22"/>
          <w:szCs w:val="22"/>
        </w:rPr>
      </w:pPr>
      <w:r w:rsidRPr="00AB64D6">
        <w:rPr>
          <w:rStyle w:val="Heading2Char"/>
          <w:rFonts w:ascii="Tahoma" w:hAnsi="Tahoma" w:cs="Tahoma"/>
          <w:sz w:val="22"/>
          <w:szCs w:val="22"/>
        </w:rPr>
        <w:t>Mechanism of incident classification</w:t>
      </w:r>
      <w:r w:rsidR="001608D5" w:rsidRPr="00AB64D6">
        <w:rPr>
          <w:rStyle w:val="Heading2Char"/>
          <w:rFonts w:ascii="Tahoma" w:hAnsi="Tahoma" w:cs="Tahoma"/>
          <w:sz w:val="22"/>
          <w:szCs w:val="22"/>
        </w:rPr>
        <w:t xml:space="preserve"> –</w:t>
      </w:r>
    </w:p>
    <w:p w:rsidR="004F0559" w:rsidRPr="004F0559" w:rsidRDefault="004F0559" w:rsidP="001C4369">
      <w:pPr>
        <w:spacing w:before="100" w:beforeAutospacing="1" w:after="120"/>
        <w:rPr>
          <w:rFonts w:ascii="Tahoma" w:hAnsi="Tahoma" w:cs="Tahoma"/>
          <w:sz w:val="22"/>
          <w:szCs w:val="22"/>
        </w:rPr>
      </w:pPr>
      <w:r w:rsidRPr="004F0559">
        <w:rPr>
          <w:rFonts w:ascii="Tahoma" w:hAnsi="Tahoma" w:cs="Tahoma"/>
          <w:sz w:val="22"/>
          <w:szCs w:val="22"/>
        </w:rPr>
        <w:t>Major Groups</w:t>
      </w:r>
    </w:p>
    <w:p w:rsidR="004F0559" w:rsidRDefault="004F0559" w:rsidP="00BB1FFE">
      <w:pPr>
        <w:numPr>
          <w:ilvl w:val="0"/>
          <w:numId w:val="40"/>
        </w:numPr>
        <w:tabs>
          <w:tab w:val="clear" w:pos="720"/>
          <w:tab w:val="num" w:pos="709"/>
        </w:tabs>
        <w:ind w:hanging="294"/>
        <w:rPr>
          <w:rFonts w:ascii="Tahoma" w:hAnsi="Tahoma" w:cs="Tahoma"/>
          <w:sz w:val="22"/>
          <w:szCs w:val="22"/>
        </w:rPr>
      </w:pPr>
      <w:r>
        <w:rPr>
          <w:rFonts w:ascii="Tahoma" w:hAnsi="Tahoma" w:cs="Tahoma"/>
          <w:sz w:val="22"/>
          <w:szCs w:val="22"/>
        </w:rPr>
        <w:t>Falls, trips and slips of a person</w:t>
      </w:r>
    </w:p>
    <w:p w:rsidR="004F0559" w:rsidRPr="006223E0" w:rsidRDefault="004F0559" w:rsidP="00BB1FFE">
      <w:pPr>
        <w:numPr>
          <w:ilvl w:val="0"/>
          <w:numId w:val="40"/>
        </w:numPr>
        <w:tabs>
          <w:tab w:val="clear" w:pos="720"/>
          <w:tab w:val="num" w:pos="709"/>
        </w:tabs>
        <w:ind w:left="709" w:hanging="283"/>
        <w:rPr>
          <w:rFonts w:ascii="Tahoma" w:hAnsi="Tahoma" w:cs="Tahoma"/>
          <w:sz w:val="22"/>
          <w:szCs w:val="22"/>
        </w:rPr>
      </w:pPr>
      <w:r w:rsidRPr="006223E0">
        <w:rPr>
          <w:rFonts w:ascii="Tahoma" w:hAnsi="Tahoma" w:cs="Tahoma"/>
          <w:sz w:val="22"/>
          <w:szCs w:val="22"/>
        </w:rPr>
        <w:t xml:space="preserve">Hitting objects with </w:t>
      </w:r>
      <w:r w:rsidR="002E3288">
        <w:rPr>
          <w:rFonts w:ascii="Tahoma" w:hAnsi="Tahoma" w:cs="Tahoma"/>
          <w:sz w:val="22"/>
          <w:szCs w:val="22"/>
        </w:rPr>
        <w:t xml:space="preserve">a </w:t>
      </w:r>
      <w:r w:rsidRPr="006223E0">
        <w:rPr>
          <w:rFonts w:ascii="Tahoma" w:hAnsi="Tahoma" w:cs="Tahoma"/>
          <w:sz w:val="22"/>
          <w:szCs w:val="22"/>
        </w:rPr>
        <w:t>part of the body</w:t>
      </w:r>
    </w:p>
    <w:p w:rsidR="004F0559" w:rsidRPr="006223E0" w:rsidRDefault="004F0559" w:rsidP="00BB1FFE">
      <w:pPr>
        <w:numPr>
          <w:ilvl w:val="0"/>
          <w:numId w:val="40"/>
        </w:numPr>
        <w:tabs>
          <w:tab w:val="clear" w:pos="720"/>
          <w:tab w:val="left" w:pos="709"/>
        </w:tabs>
        <w:ind w:left="709" w:hanging="283"/>
        <w:rPr>
          <w:rFonts w:ascii="Tahoma" w:hAnsi="Tahoma" w:cs="Tahoma"/>
          <w:sz w:val="22"/>
          <w:szCs w:val="22"/>
        </w:rPr>
      </w:pPr>
      <w:r w:rsidRPr="006223E0">
        <w:rPr>
          <w:rFonts w:ascii="Tahoma" w:hAnsi="Tahoma" w:cs="Tahoma"/>
          <w:sz w:val="22"/>
          <w:szCs w:val="22"/>
        </w:rPr>
        <w:t>Being hit by moving objects</w:t>
      </w:r>
    </w:p>
    <w:p w:rsidR="004F0559" w:rsidRPr="006223E0" w:rsidRDefault="004F0559" w:rsidP="00BB1FFE">
      <w:pPr>
        <w:numPr>
          <w:ilvl w:val="0"/>
          <w:numId w:val="40"/>
        </w:numPr>
        <w:tabs>
          <w:tab w:val="clear" w:pos="720"/>
          <w:tab w:val="num" w:pos="709"/>
        </w:tabs>
        <w:ind w:left="709" w:hanging="283"/>
        <w:rPr>
          <w:rFonts w:ascii="Tahoma" w:hAnsi="Tahoma" w:cs="Tahoma"/>
          <w:sz w:val="22"/>
          <w:szCs w:val="22"/>
        </w:rPr>
      </w:pPr>
      <w:r w:rsidRPr="006223E0">
        <w:rPr>
          <w:rFonts w:ascii="Tahoma" w:hAnsi="Tahoma" w:cs="Tahoma"/>
          <w:sz w:val="22"/>
          <w:szCs w:val="22"/>
        </w:rPr>
        <w:t>Sound and pressure</w:t>
      </w:r>
    </w:p>
    <w:p w:rsidR="004F0559" w:rsidRPr="006223E0" w:rsidRDefault="004F0559" w:rsidP="00BB1FFE">
      <w:pPr>
        <w:numPr>
          <w:ilvl w:val="0"/>
          <w:numId w:val="40"/>
        </w:numPr>
        <w:tabs>
          <w:tab w:val="clear" w:pos="720"/>
          <w:tab w:val="num" w:pos="709"/>
        </w:tabs>
        <w:ind w:left="709" w:hanging="283"/>
        <w:rPr>
          <w:rFonts w:ascii="Tahoma" w:hAnsi="Tahoma" w:cs="Tahoma"/>
          <w:sz w:val="22"/>
          <w:szCs w:val="22"/>
        </w:rPr>
      </w:pPr>
      <w:r w:rsidRPr="006223E0">
        <w:rPr>
          <w:rFonts w:ascii="Tahoma" w:hAnsi="Tahoma" w:cs="Tahoma"/>
          <w:sz w:val="22"/>
          <w:szCs w:val="22"/>
        </w:rPr>
        <w:t>Body stressing</w:t>
      </w:r>
    </w:p>
    <w:p w:rsidR="004F0559" w:rsidRPr="006223E0" w:rsidRDefault="004F0559" w:rsidP="00BB1FFE">
      <w:pPr>
        <w:numPr>
          <w:ilvl w:val="0"/>
          <w:numId w:val="40"/>
        </w:numPr>
        <w:tabs>
          <w:tab w:val="clear" w:pos="720"/>
          <w:tab w:val="num" w:pos="709"/>
        </w:tabs>
        <w:ind w:left="709" w:hanging="283"/>
        <w:rPr>
          <w:rFonts w:ascii="Tahoma" w:hAnsi="Tahoma" w:cs="Tahoma"/>
          <w:sz w:val="22"/>
          <w:szCs w:val="22"/>
        </w:rPr>
      </w:pPr>
      <w:r w:rsidRPr="006223E0">
        <w:rPr>
          <w:rFonts w:ascii="Tahoma" w:hAnsi="Tahoma" w:cs="Tahoma"/>
          <w:sz w:val="22"/>
          <w:szCs w:val="22"/>
        </w:rPr>
        <w:t>Heat, electricity and other environmental factors</w:t>
      </w:r>
    </w:p>
    <w:p w:rsidR="004F0559" w:rsidRPr="006223E0" w:rsidRDefault="004F0559" w:rsidP="00BB1FFE">
      <w:pPr>
        <w:numPr>
          <w:ilvl w:val="0"/>
          <w:numId w:val="40"/>
        </w:numPr>
        <w:tabs>
          <w:tab w:val="clear" w:pos="720"/>
          <w:tab w:val="num" w:pos="709"/>
        </w:tabs>
        <w:ind w:left="709" w:hanging="283"/>
        <w:rPr>
          <w:rFonts w:ascii="Tahoma" w:hAnsi="Tahoma" w:cs="Tahoma"/>
          <w:sz w:val="22"/>
          <w:szCs w:val="22"/>
        </w:rPr>
      </w:pPr>
      <w:r w:rsidRPr="006223E0">
        <w:rPr>
          <w:rFonts w:ascii="Tahoma" w:hAnsi="Tahoma" w:cs="Tahoma"/>
          <w:sz w:val="22"/>
          <w:szCs w:val="22"/>
        </w:rPr>
        <w:t>Chemicals and other substances</w:t>
      </w:r>
    </w:p>
    <w:p w:rsidR="004F0559" w:rsidRPr="006223E0" w:rsidRDefault="004F0559" w:rsidP="00BB1FFE">
      <w:pPr>
        <w:numPr>
          <w:ilvl w:val="0"/>
          <w:numId w:val="40"/>
        </w:numPr>
        <w:tabs>
          <w:tab w:val="clear" w:pos="720"/>
          <w:tab w:val="num" w:pos="709"/>
        </w:tabs>
        <w:ind w:left="709" w:hanging="283"/>
        <w:rPr>
          <w:rFonts w:ascii="Tahoma" w:hAnsi="Tahoma" w:cs="Tahoma"/>
          <w:sz w:val="22"/>
          <w:szCs w:val="22"/>
        </w:rPr>
      </w:pPr>
      <w:r w:rsidRPr="006223E0">
        <w:rPr>
          <w:rFonts w:ascii="Tahoma" w:hAnsi="Tahoma" w:cs="Tahoma"/>
          <w:sz w:val="22"/>
          <w:szCs w:val="22"/>
        </w:rPr>
        <w:t>Biological factors</w:t>
      </w:r>
    </w:p>
    <w:p w:rsidR="004F0559" w:rsidRPr="006223E0" w:rsidRDefault="004F0559" w:rsidP="00BB1FFE">
      <w:pPr>
        <w:numPr>
          <w:ilvl w:val="0"/>
          <w:numId w:val="40"/>
        </w:numPr>
        <w:tabs>
          <w:tab w:val="clear" w:pos="720"/>
          <w:tab w:val="num" w:pos="709"/>
        </w:tabs>
        <w:ind w:left="709" w:hanging="283"/>
        <w:rPr>
          <w:rFonts w:ascii="Tahoma" w:hAnsi="Tahoma" w:cs="Tahoma"/>
          <w:sz w:val="22"/>
          <w:szCs w:val="22"/>
        </w:rPr>
      </w:pPr>
      <w:r w:rsidRPr="006223E0">
        <w:rPr>
          <w:rFonts w:ascii="Tahoma" w:hAnsi="Tahoma" w:cs="Tahoma"/>
          <w:sz w:val="22"/>
          <w:szCs w:val="22"/>
        </w:rPr>
        <w:t>Mental stress</w:t>
      </w:r>
    </w:p>
    <w:p w:rsidR="004F0559" w:rsidRPr="006223E0" w:rsidRDefault="004F0559" w:rsidP="00BB1FFE">
      <w:pPr>
        <w:numPr>
          <w:ilvl w:val="0"/>
          <w:numId w:val="40"/>
        </w:numPr>
        <w:tabs>
          <w:tab w:val="clear" w:pos="720"/>
          <w:tab w:val="num" w:pos="709"/>
        </w:tabs>
        <w:spacing w:after="120"/>
        <w:ind w:left="709" w:hanging="283"/>
        <w:rPr>
          <w:rFonts w:ascii="Tahoma" w:hAnsi="Tahoma" w:cs="Tahoma"/>
          <w:sz w:val="22"/>
          <w:szCs w:val="22"/>
        </w:rPr>
      </w:pPr>
      <w:r w:rsidRPr="006223E0">
        <w:rPr>
          <w:rFonts w:ascii="Tahoma" w:hAnsi="Tahoma" w:cs="Tahoma"/>
          <w:sz w:val="22"/>
          <w:szCs w:val="22"/>
        </w:rPr>
        <w:t>Vehicle incidents and other</w:t>
      </w:r>
    </w:p>
    <w:p w:rsidR="00AD143C" w:rsidRPr="00AB64D6" w:rsidRDefault="00AD143C" w:rsidP="00AD143C">
      <w:pPr>
        <w:spacing w:before="100" w:beforeAutospacing="1" w:after="120"/>
        <w:rPr>
          <w:rFonts w:ascii="Tahoma" w:hAnsi="Tahoma" w:cs="Tahoma"/>
          <w:sz w:val="22"/>
          <w:szCs w:val="22"/>
        </w:rPr>
      </w:pPr>
      <w:r w:rsidRPr="00AB64D6">
        <w:rPr>
          <w:rStyle w:val="Heading2Char"/>
          <w:rFonts w:ascii="Tahoma" w:hAnsi="Tahoma" w:cs="Tahoma"/>
          <w:sz w:val="22"/>
          <w:szCs w:val="22"/>
        </w:rPr>
        <w:t xml:space="preserve">High </w:t>
      </w:r>
      <w:r w:rsidR="002E3288" w:rsidRPr="00AB64D6">
        <w:rPr>
          <w:rStyle w:val="Heading2Char"/>
          <w:rFonts w:ascii="Tahoma" w:hAnsi="Tahoma" w:cs="Tahoma"/>
          <w:sz w:val="22"/>
          <w:szCs w:val="22"/>
        </w:rPr>
        <w:t>r</w:t>
      </w:r>
      <w:r w:rsidRPr="00AB64D6">
        <w:rPr>
          <w:rStyle w:val="Heading2Char"/>
          <w:rFonts w:ascii="Tahoma" w:hAnsi="Tahoma" w:cs="Tahoma"/>
          <w:sz w:val="22"/>
          <w:szCs w:val="22"/>
        </w:rPr>
        <w:t xml:space="preserve">isk </w:t>
      </w:r>
      <w:r w:rsidR="002E3288" w:rsidRPr="00AB64D6">
        <w:rPr>
          <w:rStyle w:val="Heading2Char"/>
          <w:rFonts w:ascii="Tahoma" w:hAnsi="Tahoma" w:cs="Tahoma"/>
          <w:sz w:val="22"/>
          <w:szCs w:val="22"/>
        </w:rPr>
        <w:t>c</w:t>
      </w:r>
      <w:r w:rsidRPr="00AB64D6">
        <w:rPr>
          <w:rStyle w:val="Heading2Char"/>
          <w:rFonts w:ascii="Tahoma" w:hAnsi="Tahoma" w:cs="Tahoma"/>
          <w:sz w:val="22"/>
          <w:szCs w:val="22"/>
        </w:rPr>
        <w:t>onstruction work hazards</w:t>
      </w:r>
      <w:r w:rsidR="001608D5" w:rsidRPr="00AB64D6">
        <w:rPr>
          <w:rStyle w:val="Heading2Char"/>
          <w:rFonts w:ascii="Tahoma" w:hAnsi="Tahoma" w:cs="Tahoma"/>
          <w:sz w:val="22"/>
          <w:szCs w:val="22"/>
        </w:rPr>
        <w:t xml:space="preserve"> –</w:t>
      </w:r>
    </w:p>
    <w:p w:rsidR="00AD143C" w:rsidRDefault="00AD143C" w:rsidP="00E07DA2">
      <w:pPr>
        <w:numPr>
          <w:ilvl w:val="0"/>
          <w:numId w:val="38"/>
        </w:numPr>
        <w:tabs>
          <w:tab w:val="clear" w:pos="720"/>
          <w:tab w:val="num" w:pos="709"/>
        </w:tabs>
        <w:ind w:left="709" w:hanging="283"/>
        <w:rPr>
          <w:rFonts w:ascii="Tahoma" w:hAnsi="Tahoma" w:cs="Tahoma"/>
          <w:sz w:val="22"/>
          <w:szCs w:val="22"/>
        </w:rPr>
      </w:pPr>
      <w:r>
        <w:rPr>
          <w:rFonts w:ascii="Tahoma" w:hAnsi="Tahoma" w:cs="Tahoma"/>
          <w:sz w:val="22"/>
          <w:szCs w:val="22"/>
        </w:rPr>
        <w:t>Construction work where there is a risk of a person falling two metres or more</w:t>
      </w:r>
    </w:p>
    <w:p w:rsidR="00AD143C" w:rsidRDefault="00AD143C" w:rsidP="00BB1FFE">
      <w:pPr>
        <w:numPr>
          <w:ilvl w:val="0"/>
          <w:numId w:val="38"/>
        </w:numPr>
        <w:tabs>
          <w:tab w:val="clear" w:pos="720"/>
          <w:tab w:val="num" w:pos="709"/>
        </w:tabs>
        <w:ind w:left="709" w:hanging="283"/>
        <w:rPr>
          <w:rFonts w:ascii="Tahoma" w:hAnsi="Tahoma" w:cs="Tahoma"/>
          <w:sz w:val="22"/>
          <w:szCs w:val="22"/>
        </w:rPr>
      </w:pPr>
      <w:r>
        <w:rPr>
          <w:rFonts w:ascii="Tahoma" w:hAnsi="Tahoma" w:cs="Tahoma"/>
          <w:sz w:val="22"/>
          <w:szCs w:val="22"/>
        </w:rPr>
        <w:t>Construction work on telecommunications towers</w:t>
      </w:r>
    </w:p>
    <w:p w:rsidR="00AD143C" w:rsidRDefault="00AD143C" w:rsidP="00BB1FFE">
      <w:pPr>
        <w:numPr>
          <w:ilvl w:val="0"/>
          <w:numId w:val="38"/>
        </w:numPr>
        <w:tabs>
          <w:tab w:val="clear" w:pos="720"/>
          <w:tab w:val="num" w:pos="709"/>
        </w:tabs>
        <w:ind w:left="709" w:hanging="283"/>
        <w:rPr>
          <w:rFonts w:ascii="Tahoma" w:hAnsi="Tahoma" w:cs="Tahoma"/>
          <w:sz w:val="22"/>
          <w:szCs w:val="22"/>
        </w:rPr>
      </w:pPr>
      <w:r>
        <w:rPr>
          <w:rFonts w:ascii="Tahoma" w:hAnsi="Tahoma" w:cs="Tahoma"/>
          <w:sz w:val="22"/>
          <w:szCs w:val="22"/>
        </w:rPr>
        <w:t>Construction work involving demolition</w:t>
      </w:r>
    </w:p>
    <w:p w:rsidR="00AD143C" w:rsidRDefault="00AD143C" w:rsidP="00BB1FFE">
      <w:pPr>
        <w:numPr>
          <w:ilvl w:val="0"/>
          <w:numId w:val="38"/>
        </w:numPr>
        <w:tabs>
          <w:tab w:val="clear" w:pos="720"/>
          <w:tab w:val="num" w:pos="709"/>
        </w:tabs>
        <w:ind w:left="709" w:hanging="283"/>
        <w:rPr>
          <w:rFonts w:ascii="Tahoma" w:hAnsi="Tahoma" w:cs="Tahoma"/>
          <w:sz w:val="22"/>
          <w:szCs w:val="22"/>
        </w:rPr>
      </w:pPr>
      <w:r>
        <w:rPr>
          <w:rFonts w:ascii="Tahoma" w:hAnsi="Tahoma" w:cs="Tahoma"/>
          <w:sz w:val="22"/>
          <w:szCs w:val="22"/>
        </w:rPr>
        <w:t>Construction work involving the disturbance or removal of asbestos</w:t>
      </w:r>
    </w:p>
    <w:p w:rsidR="00AD143C" w:rsidRDefault="00AD143C" w:rsidP="00BB1FFE">
      <w:pPr>
        <w:numPr>
          <w:ilvl w:val="0"/>
          <w:numId w:val="38"/>
        </w:numPr>
        <w:tabs>
          <w:tab w:val="clear" w:pos="720"/>
          <w:tab w:val="num" w:pos="709"/>
        </w:tabs>
        <w:ind w:left="709" w:hanging="283"/>
        <w:rPr>
          <w:rFonts w:ascii="Tahoma" w:hAnsi="Tahoma" w:cs="Tahoma"/>
          <w:sz w:val="22"/>
          <w:szCs w:val="22"/>
        </w:rPr>
      </w:pPr>
      <w:r>
        <w:rPr>
          <w:rFonts w:ascii="Tahoma" w:hAnsi="Tahoma" w:cs="Tahoma"/>
          <w:sz w:val="22"/>
          <w:szCs w:val="22"/>
        </w:rPr>
        <w:lastRenderedPageBreak/>
        <w:t>Construction work involving structural alterations that require temporary support to prevent collapse</w:t>
      </w:r>
    </w:p>
    <w:p w:rsidR="00AD143C" w:rsidRDefault="00AD143C" w:rsidP="00BB1FFE">
      <w:pPr>
        <w:numPr>
          <w:ilvl w:val="0"/>
          <w:numId w:val="38"/>
        </w:numPr>
        <w:tabs>
          <w:tab w:val="clear" w:pos="720"/>
        </w:tabs>
        <w:ind w:left="709" w:hanging="283"/>
        <w:rPr>
          <w:rFonts w:ascii="Tahoma" w:hAnsi="Tahoma" w:cs="Tahoma"/>
          <w:sz w:val="22"/>
          <w:szCs w:val="22"/>
        </w:rPr>
      </w:pPr>
      <w:r>
        <w:rPr>
          <w:rFonts w:ascii="Tahoma" w:hAnsi="Tahoma" w:cs="Tahoma"/>
          <w:sz w:val="22"/>
          <w:szCs w:val="22"/>
        </w:rPr>
        <w:t xml:space="preserve">Construction work involving </w:t>
      </w:r>
      <w:r w:rsidR="002E3288">
        <w:rPr>
          <w:rFonts w:ascii="Tahoma" w:hAnsi="Tahoma" w:cs="Tahoma"/>
          <w:sz w:val="22"/>
          <w:szCs w:val="22"/>
        </w:rPr>
        <w:t xml:space="preserve">a </w:t>
      </w:r>
      <w:r>
        <w:rPr>
          <w:rFonts w:ascii="Tahoma" w:hAnsi="Tahoma" w:cs="Tahoma"/>
          <w:sz w:val="22"/>
          <w:szCs w:val="22"/>
        </w:rPr>
        <w:t>confined space</w:t>
      </w:r>
    </w:p>
    <w:p w:rsidR="008B3D9C" w:rsidRDefault="00AD143C" w:rsidP="00BB1FFE">
      <w:pPr>
        <w:numPr>
          <w:ilvl w:val="0"/>
          <w:numId w:val="38"/>
        </w:numPr>
        <w:tabs>
          <w:tab w:val="clear" w:pos="720"/>
          <w:tab w:val="num" w:pos="709"/>
        </w:tabs>
        <w:ind w:left="709" w:hanging="283"/>
        <w:rPr>
          <w:rFonts w:ascii="Tahoma" w:hAnsi="Tahoma" w:cs="Tahoma"/>
          <w:sz w:val="22"/>
          <w:szCs w:val="22"/>
        </w:rPr>
      </w:pPr>
      <w:r>
        <w:rPr>
          <w:rFonts w:ascii="Tahoma" w:hAnsi="Tahoma" w:cs="Tahoma"/>
          <w:sz w:val="22"/>
          <w:szCs w:val="22"/>
        </w:rPr>
        <w:t>Construction work in</w:t>
      </w:r>
      <w:r w:rsidR="002E3288">
        <w:rPr>
          <w:rFonts w:ascii="Tahoma" w:hAnsi="Tahoma" w:cs="Tahoma"/>
          <w:sz w:val="22"/>
          <w:szCs w:val="22"/>
        </w:rPr>
        <w:t>volving</w:t>
      </w:r>
      <w:r w:rsidR="001A6A38">
        <w:rPr>
          <w:rFonts w:ascii="Tahoma" w:hAnsi="Tahoma" w:cs="Tahoma"/>
          <w:sz w:val="22"/>
          <w:szCs w:val="22"/>
        </w:rPr>
        <w:t xml:space="preserve"> excavation to a depth greater than 1.5 metres</w:t>
      </w:r>
    </w:p>
    <w:p w:rsidR="008B3D9C" w:rsidRDefault="008B3D9C" w:rsidP="00BB1FFE">
      <w:pPr>
        <w:numPr>
          <w:ilvl w:val="0"/>
          <w:numId w:val="38"/>
        </w:numPr>
        <w:tabs>
          <w:tab w:val="clear" w:pos="720"/>
          <w:tab w:val="num" w:pos="709"/>
        </w:tabs>
        <w:ind w:left="709" w:hanging="283"/>
        <w:rPr>
          <w:rFonts w:ascii="Tahoma" w:hAnsi="Tahoma" w:cs="Tahoma"/>
          <w:sz w:val="22"/>
          <w:szCs w:val="22"/>
        </w:rPr>
      </w:pPr>
      <w:r>
        <w:rPr>
          <w:rFonts w:ascii="Tahoma" w:hAnsi="Tahoma" w:cs="Tahoma"/>
          <w:sz w:val="22"/>
          <w:szCs w:val="22"/>
        </w:rPr>
        <w:t>The construction of tunnels</w:t>
      </w:r>
    </w:p>
    <w:p w:rsidR="008B3D9C" w:rsidRDefault="008B3D9C" w:rsidP="00BB1FFE">
      <w:pPr>
        <w:numPr>
          <w:ilvl w:val="0"/>
          <w:numId w:val="38"/>
        </w:numPr>
        <w:tabs>
          <w:tab w:val="clear" w:pos="720"/>
          <w:tab w:val="num" w:pos="709"/>
        </w:tabs>
        <w:ind w:left="709" w:hanging="283"/>
        <w:rPr>
          <w:rFonts w:ascii="Tahoma" w:hAnsi="Tahoma" w:cs="Tahoma"/>
          <w:sz w:val="22"/>
          <w:szCs w:val="22"/>
        </w:rPr>
      </w:pPr>
      <w:r>
        <w:rPr>
          <w:rFonts w:ascii="Tahoma" w:hAnsi="Tahoma" w:cs="Tahoma"/>
          <w:sz w:val="22"/>
          <w:szCs w:val="22"/>
        </w:rPr>
        <w:t>Construction work involving the use of explosives</w:t>
      </w:r>
    </w:p>
    <w:p w:rsidR="00AD143C" w:rsidRDefault="008B3D9C" w:rsidP="00BB1FFE">
      <w:pPr>
        <w:numPr>
          <w:ilvl w:val="0"/>
          <w:numId w:val="38"/>
        </w:numPr>
        <w:tabs>
          <w:tab w:val="clear" w:pos="720"/>
          <w:tab w:val="num" w:pos="709"/>
        </w:tabs>
        <w:ind w:left="709" w:hanging="425"/>
        <w:rPr>
          <w:rFonts w:ascii="Tahoma" w:hAnsi="Tahoma" w:cs="Tahoma"/>
          <w:sz w:val="22"/>
          <w:szCs w:val="22"/>
        </w:rPr>
      </w:pPr>
      <w:r>
        <w:rPr>
          <w:rFonts w:ascii="Tahoma" w:hAnsi="Tahoma" w:cs="Tahoma"/>
          <w:sz w:val="22"/>
          <w:szCs w:val="22"/>
        </w:rPr>
        <w:t>Construction work on or near pressurised gas distribution mains and consumer piping</w:t>
      </w:r>
    </w:p>
    <w:p w:rsidR="008B3D9C" w:rsidRDefault="008B3D9C" w:rsidP="00BB1FFE">
      <w:pPr>
        <w:numPr>
          <w:ilvl w:val="0"/>
          <w:numId w:val="38"/>
        </w:numPr>
        <w:tabs>
          <w:tab w:val="clear" w:pos="720"/>
          <w:tab w:val="num" w:pos="709"/>
        </w:tabs>
        <w:ind w:left="709" w:hanging="425"/>
        <w:rPr>
          <w:rFonts w:ascii="Tahoma" w:hAnsi="Tahoma" w:cs="Tahoma"/>
          <w:sz w:val="22"/>
          <w:szCs w:val="22"/>
        </w:rPr>
      </w:pPr>
      <w:r>
        <w:rPr>
          <w:rFonts w:ascii="Tahoma" w:hAnsi="Tahoma" w:cs="Tahoma"/>
          <w:sz w:val="22"/>
          <w:szCs w:val="22"/>
        </w:rPr>
        <w:t>Construction work on or near chemical, fuel or refrigerant lines</w:t>
      </w:r>
    </w:p>
    <w:p w:rsidR="008B3D9C" w:rsidRDefault="008B3D9C" w:rsidP="00BB1FFE">
      <w:pPr>
        <w:numPr>
          <w:ilvl w:val="0"/>
          <w:numId w:val="38"/>
        </w:numPr>
        <w:tabs>
          <w:tab w:val="clear" w:pos="720"/>
          <w:tab w:val="num" w:pos="709"/>
        </w:tabs>
        <w:ind w:left="709" w:hanging="425"/>
        <w:rPr>
          <w:rFonts w:ascii="Tahoma" w:hAnsi="Tahoma" w:cs="Tahoma"/>
          <w:sz w:val="22"/>
          <w:szCs w:val="22"/>
        </w:rPr>
      </w:pPr>
      <w:r>
        <w:rPr>
          <w:rFonts w:ascii="Tahoma" w:hAnsi="Tahoma" w:cs="Tahoma"/>
          <w:sz w:val="22"/>
          <w:szCs w:val="22"/>
        </w:rPr>
        <w:t>Construction work on or near energised electrical installations and services</w:t>
      </w:r>
    </w:p>
    <w:p w:rsidR="008B3D9C" w:rsidRDefault="008B3D9C" w:rsidP="00BB1FFE">
      <w:pPr>
        <w:numPr>
          <w:ilvl w:val="0"/>
          <w:numId w:val="38"/>
        </w:numPr>
        <w:tabs>
          <w:tab w:val="clear" w:pos="720"/>
          <w:tab w:val="num" w:pos="709"/>
        </w:tabs>
        <w:ind w:left="709" w:hanging="425"/>
        <w:rPr>
          <w:rFonts w:ascii="Tahoma" w:hAnsi="Tahoma" w:cs="Tahoma"/>
          <w:sz w:val="22"/>
          <w:szCs w:val="22"/>
        </w:rPr>
      </w:pPr>
      <w:r>
        <w:rPr>
          <w:rFonts w:ascii="Tahoma" w:hAnsi="Tahoma" w:cs="Tahoma"/>
          <w:sz w:val="22"/>
          <w:szCs w:val="22"/>
        </w:rPr>
        <w:t>Construction work in an area that may have a contaminated or flammable atmosphere</w:t>
      </w:r>
    </w:p>
    <w:p w:rsidR="008B3D9C" w:rsidRDefault="008B3D9C" w:rsidP="00BB1FFE">
      <w:pPr>
        <w:numPr>
          <w:ilvl w:val="0"/>
          <w:numId w:val="38"/>
        </w:numPr>
        <w:tabs>
          <w:tab w:val="clear" w:pos="720"/>
          <w:tab w:val="num" w:pos="709"/>
        </w:tabs>
        <w:ind w:left="709" w:hanging="425"/>
        <w:rPr>
          <w:rFonts w:ascii="Tahoma" w:hAnsi="Tahoma" w:cs="Tahoma"/>
          <w:sz w:val="22"/>
          <w:szCs w:val="22"/>
        </w:rPr>
      </w:pPr>
      <w:r>
        <w:rPr>
          <w:rFonts w:ascii="Tahoma" w:hAnsi="Tahoma" w:cs="Tahoma"/>
          <w:sz w:val="22"/>
          <w:szCs w:val="22"/>
        </w:rPr>
        <w:t>Tilt-up and precast concrete construction work</w:t>
      </w:r>
    </w:p>
    <w:p w:rsidR="008B3D9C" w:rsidRDefault="008B3D9C" w:rsidP="00BB1FFE">
      <w:pPr>
        <w:numPr>
          <w:ilvl w:val="0"/>
          <w:numId w:val="38"/>
        </w:numPr>
        <w:tabs>
          <w:tab w:val="clear" w:pos="720"/>
          <w:tab w:val="num" w:pos="709"/>
        </w:tabs>
        <w:ind w:left="709" w:hanging="425"/>
        <w:rPr>
          <w:rFonts w:ascii="Tahoma" w:hAnsi="Tahoma" w:cs="Tahoma"/>
          <w:sz w:val="22"/>
          <w:szCs w:val="22"/>
        </w:rPr>
      </w:pPr>
      <w:r>
        <w:rPr>
          <w:rFonts w:ascii="Tahoma" w:hAnsi="Tahoma" w:cs="Tahoma"/>
          <w:sz w:val="22"/>
          <w:szCs w:val="22"/>
        </w:rPr>
        <w:t>Construction work on or adjacent to roadways or railways used by road or rail traffic</w:t>
      </w:r>
    </w:p>
    <w:p w:rsidR="008B3D9C" w:rsidRDefault="008B3D9C" w:rsidP="00BB1FFE">
      <w:pPr>
        <w:numPr>
          <w:ilvl w:val="0"/>
          <w:numId w:val="38"/>
        </w:numPr>
        <w:tabs>
          <w:tab w:val="clear" w:pos="720"/>
          <w:tab w:val="num" w:pos="709"/>
        </w:tabs>
        <w:ind w:left="709" w:hanging="425"/>
        <w:rPr>
          <w:rFonts w:ascii="Tahoma" w:hAnsi="Tahoma" w:cs="Tahoma"/>
          <w:sz w:val="22"/>
          <w:szCs w:val="22"/>
        </w:rPr>
      </w:pPr>
      <w:r>
        <w:rPr>
          <w:rFonts w:ascii="Tahoma" w:hAnsi="Tahoma" w:cs="Tahoma"/>
          <w:sz w:val="22"/>
          <w:szCs w:val="22"/>
        </w:rPr>
        <w:t>Work on construction</w:t>
      </w:r>
      <w:r w:rsidR="002E3288">
        <w:rPr>
          <w:rFonts w:ascii="Tahoma" w:hAnsi="Tahoma" w:cs="Tahoma"/>
          <w:sz w:val="22"/>
          <w:szCs w:val="22"/>
        </w:rPr>
        <w:t xml:space="preserve"> </w:t>
      </w:r>
      <w:r>
        <w:rPr>
          <w:rFonts w:ascii="Tahoma" w:hAnsi="Tahoma" w:cs="Tahoma"/>
          <w:sz w:val="22"/>
          <w:szCs w:val="22"/>
        </w:rPr>
        <w:t>sites where there is any movement of powered mobile plant</w:t>
      </w:r>
    </w:p>
    <w:p w:rsidR="008B3D9C" w:rsidRDefault="008B3D9C" w:rsidP="00BB1FFE">
      <w:pPr>
        <w:numPr>
          <w:ilvl w:val="0"/>
          <w:numId w:val="38"/>
        </w:numPr>
        <w:tabs>
          <w:tab w:val="clear" w:pos="720"/>
          <w:tab w:val="num" w:pos="709"/>
        </w:tabs>
        <w:ind w:left="709" w:hanging="425"/>
        <w:rPr>
          <w:rFonts w:ascii="Tahoma" w:hAnsi="Tahoma" w:cs="Tahoma"/>
          <w:sz w:val="22"/>
          <w:szCs w:val="22"/>
        </w:rPr>
      </w:pPr>
      <w:r>
        <w:rPr>
          <w:rFonts w:ascii="Tahoma" w:hAnsi="Tahoma" w:cs="Tahoma"/>
          <w:sz w:val="22"/>
          <w:szCs w:val="22"/>
        </w:rPr>
        <w:t>Construction work in an area where there are artificial extremes of temperature</w:t>
      </w:r>
    </w:p>
    <w:p w:rsidR="008B3D9C" w:rsidRDefault="008B3D9C" w:rsidP="00BB1FFE">
      <w:pPr>
        <w:numPr>
          <w:ilvl w:val="0"/>
          <w:numId w:val="38"/>
        </w:numPr>
        <w:tabs>
          <w:tab w:val="clear" w:pos="720"/>
          <w:tab w:val="num" w:pos="709"/>
        </w:tabs>
        <w:ind w:left="709" w:hanging="425"/>
        <w:rPr>
          <w:rFonts w:ascii="Tahoma" w:hAnsi="Tahoma" w:cs="Tahoma"/>
          <w:sz w:val="22"/>
          <w:szCs w:val="22"/>
        </w:rPr>
      </w:pPr>
      <w:r>
        <w:rPr>
          <w:rFonts w:ascii="Tahoma" w:hAnsi="Tahoma" w:cs="Tahoma"/>
          <w:sz w:val="22"/>
          <w:szCs w:val="22"/>
        </w:rPr>
        <w:t>Construction work in, over or adjacent to water or other liquids where there is a risk of drowning</w:t>
      </w:r>
    </w:p>
    <w:p w:rsidR="008B3D9C" w:rsidRPr="00AD143C" w:rsidRDefault="008B3D9C" w:rsidP="00BB1FFE">
      <w:pPr>
        <w:numPr>
          <w:ilvl w:val="0"/>
          <w:numId w:val="38"/>
        </w:numPr>
        <w:tabs>
          <w:tab w:val="clear" w:pos="720"/>
          <w:tab w:val="num" w:pos="709"/>
        </w:tabs>
        <w:ind w:left="709" w:hanging="425"/>
        <w:rPr>
          <w:rFonts w:ascii="Tahoma" w:hAnsi="Tahoma" w:cs="Tahoma"/>
          <w:sz w:val="22"/>
          <w:szCs w:val="22"/>
        </w:rPr>
      </w:pPr>
      <w:r>
        <w:rPr>
          <w:rFonts w:ascii="Tahoma" w:hAnsi="Tahoma" w:cs="Tahoma"/>
          <w:sz w:val="22"/>
          <w:szCs w:val="22"/>
        </w:rPr>
        <w:t>Construction work involving diving</w:t>
      </w:r>
    </w:p>
    <w:sectPr w:rsidR="008B3D9C" w:rsidRPr="00AD143C" w:rsidSect="006E2568">
      <w:footerReference w:type="default" r:id="rId13"/>
      <w:footerReference w:type="first" r:id="rId14"/>
      <w:pgSz w:w="11907" w:h="16840" w:code="9"/>
      <w:pgMar w:top="1361" w:right="1797" w:bottom="1361" w:left="1797"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C20" w:rsidRDefault="001D5C20">
      <w:r>
        <w:separator/>
      </w:r>
    </w:p>
  </w:endnote>
  <w:endnote w:type="continuationSeparator" w:id="0">
    <w:p w:rsidR="001D5C20" w:rsidRDefault="001D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FFCKC+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20" w:rsidRPr="006E2568" w:rsidRDefault="001D5C20">
    <w:pPr>
      <w:pStyle w:val="Footer"/>
      <w:rPr>
        <w:sz w:val="20"/>
      </w:rPr>
    </w:pPr>
    <w:r w:rsidRPr="006E2568">
      <w:rPr>
        <w:sz w:val="20"/>
      </w:rPr>
      <w:t>Office of the Federal Safety Commissioner</w:t>
    </w:r>
    <w:r w:rsidRPr="006E2568">
      <w:rPr>
        <w:sz w:val="20"/>
      </w:rPr>
      <w:tab/>
    </w:r>
    <w:r w:rsidRPr="006E2568">
      <w:rPr>
        <w:sz w:val="20"/>
      </w:rPr>
      <w:tab/>
      <w:t xml:space="preserve">Page </w:t>
    </w:r>
    <w:r w:rsidR="00643CD6" w:rsidRPr="006E2568">
      <w:rPr>
        <w:rStyle w:val="PageNumber"/>
        <w:sz w:val="20"/>
      </w:rPr>
      <w:fldChar w:fldCharType="begin"/>
    </w:r>
    <w:r w:rsidRPr="006E2568">
      <w:rPr>
        <w:rStyle w:val="PageNumber"/>
        <w:sz w:val="20"/>
      </w:rPr>
      <w:instrText xml:space="preserve"> PAGE </w:instrText>
    </w:r>
    <w:r w:rsidR="00643CD6" w:rsidRPr="006E2568">
      <w:rPr>
        <w:rStyle w:val="PageNumber"/>
        <w:sz w:val="20"/>
      </w:rPr>
      <w:fldChar w:fldCharType="separate"/>
    </w:r>
    <w:r w:rsidR="00120D44">
      <w:rPr>
        <w:rStyle w:val="PageNumber"/>
        <w:noProof/>
        <w:sz w:val="20"/>
      </w:rPr>
      <w:t>2</w:t>
    </w:r>
    <w:r w:rsidR="00643CD6" w:rsidRPr="006E2568">
      <w:rPr>
        <w:rStyle w:val="PageNumber"/>
        <w:sz w:val="20"/>
      </w:rPr>
      <w:fldChar w:fldCharType="end"/>
    </w:r>
    <w:r w:rsidRPr="006E2568">
      <w:rPr>
        <w:rStyle w:val="PageNumber"/>
        <w:sz w:val="20"/>
      </w:rPr>
      <w:t xml:space="preserve"> of </w:t>
    </w:r>
    <w:r w:rsidR="00643CD6" w:rsidRPr="006E2568">
      <w:rPr>
        <w:rStyle w:val="PageNumber"/>
        <w:sz w:val="20"/>
      </w:rPr>
      <w:fldChar w:fldCharType="begin"/>
    </w:r>
    <w:r w:rsidRPr="006E2568">
      <w:rPr>
        <w:rStyle w:val="PageNumber"/>
        <w:sz w:val="20"/>
      </w:rPr>
      <w:instrText xml:space="preserve"> NUMPAGES </w:instrText>
    </w:r>
    <w:r w:rsidR="00643CD6" w:rsidRPr="006E2568">
      <w:rPr>
        <w:rStyle w:val="PageNumber"/>
        <w:sz w:val="20"/>
      </w:rPr>
      <w:fldChar w:fldCharType="separate"/>
    </w:r>
    <w:r w:rsidR="00120D44">
      <w:rPr>
        <w:rStyle w:val="PageNumber"/>
        <w:noProof/>
        <w:sz w:val="20"/>
      </w:rPr>
      <w:t>12</w:t>
    </w:r>
    <w:r w:rsidR="00643CD6" w:rsidRPr="006E2568">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C20" w:rsidRPr="006E2568" w:rsidRDefault="001D5C20">
    <w:pPr>
      <w:pStyle w:val="Footer"/>
      <w:rPr>
        <w:sz w:val="20"/>
      </w:rPr>
    </w:pPr>
    <w:r w:rsidRPr="006E2568">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C20" w:rsidRDefault="001D5C20">
      <w:r>
        <w:separator/>
      </w:r>
    </w:p>
  </w:footnote>
  <w:footnote w:type="continuationSeparator" w:id="0">
    <w:p w:rsidR="001D5C20" w:rsidRDefault="001D5C20">
      <w:r>
        <w:continuationSeparator/>
      </w:r>
    </w:p>
  </w:footnote>
  <w:footnote w:id="1">
    <w:p w:rsidR="001D5C20" w:rsidRPr="009E7050" w:rsidRDefault="001D5C20" w:rsidP="009E7050">
      <w:pPr>
        <w:rPr>
          <w:sz w:val="20"/>
        </w:rPr>
      </w:pPr>
      <w:r w:rsidRPr="009E7050">
        <w:rPr>
          <w:rStyle w:val="FootnoteReference"/>
          <w:sz w:val="20"/>
        </w:rPr>
        <w:footnoteRef/>
      </w:r>
      <w:r w:rsidRPr="009E7050">
        <w:rPr>
          <w:sz w:val="20"/>
        </w:rPr>
        <w:t xml:space="preserve"> Compendium of Worker’s Compensation Statistics Australia 2006-07 release by Safe Work Australia March 2009.</w:t>
      </w:r>
    </w:p>
  </w:footnote>
  <w:footnote w:id="2">
    <w:p w:rsidR="001D5C20" w:rsidRDefault="001D5C20" w:rsidP="009E7050">
      <w:r w:rsidRPr="009E7050">
        <w:rPr>
          <w:rStyle w:val="FootnoteReference"/>
          <w:sz w:val="20"/>
        </w:rPr>
        <w:footnoteRef/>
      </w:r>
      <w:r w:rsidRPr="009E7050">
        <w:rPr>
          <w:sz w:val="20"/>
        </w:rPr>
        <w:t xml:space="preserve"> For the January to June 2009 biannual reporting period there were 146 accredited contractors of which 145 submitted biannual activity reports. In previous biannual periods, all accredited contractors submitted their biannual activity reports.</w:t>
      </w:r>
    </w:p>
  </w:footnote>
  <w:footnote w:id="3">
    <w:p w:rsidR="001D5C20" w:rsidRPr="009E7050" w:rsidRDefault="001D5C20" w:rsidP="009E7050">
      <w:pPr>
        <w:rPr>
          <w:sz w:val="20"/>
        </w:rPr>
      </w:pPr>
      <w:r w:rsidRPr="009E7050">
        <w:rPr>
          <w:rStyle w:val="FootnoteReference"/>
          <w:sz w:val="20"/>
        </w:rPr>
        <w:footnoteRef/>
      </w:r>
      <w:r w:rsidRPr="009E7050">
        <w:rPr>
          <w:sz w:val="20"/>
        </w:rPr>
        <w:t xml:space="preserve"> The rationale behind this change was to provide more consistently accurate Lost Time Injury Frequency Rate and Medically Treated Injury Frequency Rate estimates. Also, feedback from accredited contractors indicated that provision of hours worked data rather than employee numbers data was less problematic.</w:t>
      </w:r>
    </w:p>
  </w:footnote>
  <w:footnote w:id="4">
    <w:p w:rsidR="001D5C20" w:rsidRPr="009E7050" w:rsidRDefault="001D5C20" w:rsidP="009E7050">
      <w:pPr>
        <w:rPr>
          <w:sz w:val="20"/>
        </w:rPr>
      </w:pPr>
      <w:r w:rsidRPr="009E7050">
        <w:rPr>
          <w:rStyle w:val="FootnoteReference"/>
          <w:sz w:val="20"/>
        </w:rPr>
        <w:footnoteRef/>
      </w:r>
      <w:r w:rsidRPr="009E7050">
        <w:rPr>
          <w:sz w:val="20"/>
        </w:rPr>
        <w:t xml:space="preserve"> Head contractor employees reported were prorated across Scheme and non-Scheme projects based on a predicted value for Scheme project employees using existing data. Sub-contractor estimates are adjusted forecast values based on an overall employment forecast using existing data, less head contractor employees.</w:t>
      </w:r>
    </w:p>
  </w:footnote>
  <w:footnote w:id="5">
    <w:p w:rsidR="001D5C20" w:rsidRPr="009E7050" w:rsidRDefault="001D5C20" w:rsidP="009E7050">
      <w:pPr>
        <w:rPr>
          <w:sz w:val="20"/>
        </w:rPr>
      </w:pPr>
      <w:r w:rsidRPr="009E7050">
        <w:rPr>
          <w:rStyle w:val="FootnoteReference"/>
          <w:sz w:val="20"/>
        </w:rPr>
        <w:footnoteRef/>
      </w:r>
      <w:r w:rsidRPr="009E7050">
        <w:rPr>
          <w:sz w:val="20"/>
        </w:rPr>
        <w:t xml:space="preserve"> </w:t>
      </w:r>
      <w:r w:rsidRPr="009E7050">
        <w:rPr>
          <w:i/>
          <w:sz w:val="20"/>
        </w:rPr>
        <w:t>Source:</w:t>
      </w:r>
      <w:r w:rsidRPr="009E7050">
        <w:rPr>
          <w:sz w:val="20"/>
        </w:rPr>
        <w:t xml:space="preserve"> ABS publication no. 6291.0.55.003 – Labour Force, Australia, Detailed, Quarterly, Table 04: Employed persons by Industry. Construction industry stock, original. Calculated as 71 per cent of the average population for that biannual period. The estimated populations for the construction Industry overall were: July to December 2007 – 670,118 employees; January to June 2008 - 699,888 employees; July to December 2008 - 701,663 employees and January to June 2009 – 701,223 employees.</w:t>
      </w:r>
    </w:p>
  </w:footnote>
  <w:footnote w:id="6">
    <w:p w:rsidR="001D5C20" w:rsidRPr="009E7050" w:rsidRDefault="001D5C20" w:rsidP="004015B8">
      <w:pPr>
        <w:rPr>
          <w:sz w:val="20"/>
        </w:rPr>
      </w:pPr>
      <w:r w:rsidRPr="009E7050">
        <w:rPr>
          <w:rStyle w:val="FootnoteReference"/>
          <w:sz w:val="20"/>
        </w:rPr>
        <w:footnoteRef/>
      </w:r>
      <w:r w:rsidRPr="009E7050">
        <w:rPr>
          <w:sz w:val="20"/>
        </w:rPr>
        <w:t xml:space="preserve"> Excludes fatalities due to heart attack. </w:t>
      </w:r>
      <w:r w:rsidRPr="009E7050">
        <w:rPr>
          <w:i/>
          <w:sz w:val="20"/>
        </w:rPr>
        <w:t>Source</w:t>
      </w:r>
      <w:r w:rsidRPr="009E7050">
        <w:rPr>
          <w:sz w:val="20"/>
        </w:rPr>
        <w:t>: Safe Work Australia industry of workplace fatalities data extracted from their published Notified Fatalities Reports. See Footnote 5 for details on the denominator for the calculation of the fatalities incidence rate.</w:t>
      </w:r>
    </w:p>
  </w:footnote>
  <w:footnote w:id="7">
    <w:p w:rsidR="001D5C20" w:rsidRPr="009E7050" w:rsidRDefault="001D5C20" w:rsidP="009E7050">
      <w:pPr>
        <w:rPr>
          <w:sz w:val="20"/>
        </w:rPr>
      </w:pPr>
      <w:r w:rsidRPr="009E7050">
        <w:rPr>
          <w:rStyle w:val="FootnoteReference"/>
          <w:sz w:val="20"/>
        </w:rPr>
        <w:footnoteRef/>
      </w:r>
      <w:r w:rsidRPr="009E7050">
        <w:rPr>
          <w:sz w:val="20"/>
        </w:rPr>
        <w:t xml:space="preserve"> Fatalities due to heart attack.</w:t>
      </w:r>
    </w:p>
  </w:footnote>
  <w:footnote w:id="8">
    <w:p w:rsidR="001D5C20" w:rsidRDefault="001D5C20" w:rsidP="009E7050">
      <w:r w:rsidRPr="009E7050">
        <w:rPr>
          <w:rStyle w:val="FootnoteReference"/>
          <w:sz w:val="20"/>
        </w:rPr>
        <w:footnoteRef/>
      </w:r>
      <w:r w:rsidRPr="009E7050">
        <w:rPr>
          <w:sz w:val="20"/>
        </w:rPr>
        <w:t xml:space="preserve"> Fatalities incidence rates for the January to June 2009 biannual period were calculated using estimated populations for both total Scheme project workers and total non-Scheme project workers as the denominators. Consequently, these data are at best indicative and should be treated with some caution. Refer to section 4.3 – Number employed.</w:t>
      </w:r>
    </w:p>
  </w:footnote>
  <w:footnote w:id="9">
    <w:p w:rsidR="001D5C20" w:rsidRPr="009E7050" w:rsidRDefault="001D5C20" w:rsidP="009E7050">
      <w:pPr>
        <w:rPr>
          <w:sz w:val="20"/>
        </w:rPr>
      </w:pPr>
      <w:r w:rsidRPr="009E7050">
        <w:rPr>
          <w:rStyle w:val="FootnoteReference"/>
          <w:sz w:val="20"/>
        </w:rPr>
        <w:footnoteRef/>
      </w:r>
      <w:r w:rsidRPr="009E7050">
        <w:rPr>
          <w:sz w:val="20"/>
        </w:rPr>
        <w:t xml:space="preserve"> </w:t>
      </w:r>
      <w:r w:rsidRPr="009E7050">
        <w:rPr>
          <w:i/>
          <w:sz w:val="20"/>
        </w:rPr>
        <w:t>Source:</w:t>
      </w:r>
      <w:r w:rsidRPr="009E7050">
        <w:rPr>
          <w:sz w:val="20"/>
        </w:rPr>
        <w:t xml:space="preserve"> Safe Work Australia publication Comparison of Workers’ Compensation Arrangements in Australia and New Zealand April 2009, Table 4.4 Selected Industry Premium Rates as at 30 June 2008, pages 75-79.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5ED0C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FC24AD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FE497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FAEC11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482CA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FE78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68A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E8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D2A4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6C5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F5D36"/>
    <w:multiLevelType w:val="hybridMultilevel"/>
    <w:tmpl w:val="45E4C15A"/>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0404CF"/>
    <w:multiLevelType w:val="multilevel"/>
    <w:tmpl w:val="9968A4CA"/>
    <w:lvl w:ilvl="0">
      <w:start w:val="1"/>
      <w:numFmt w:val="bullet"/>
      <w:lvlText w:val=""/>
      <w:lvlJc w:val="left"/>
      <w:pPr>
        <w:tabs>
          <w:tab w:val="num" w:pos="568"/>
        </w:tabs>
        <w:ind w:left="568"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A37A58"/>
    <w:multiLevelType w:val="multilevel"/>
    <w:tmpl w:val="B8F05E9A"/>
    <w:lvl w:ilvl="0">
      <w:start w:val="1"/>
      <w:numFmt w:val="decimal"/>
      <w:pStyle w:val="Heading1"/>
      <w:lvlText w:val="%1"/>
      <w:lvlJc w:val="left"/>
      <w:pPr>
        <w:tabs>
          <w:tab w:val="num" w:pos="432"/>
        </w:tabs>
        <w:ind w:left="432" w:hanging="432"/>
      </w:pPr>
      <w:rPr>
        <w:rFonts w:ascii="Arial" w:hAnsi="Arial" w:cs="Arial" w:hint="default"/>
      </w:rPr>
    </w:lvl>
    <w:lvl w:ilvl="1">
      <w:start w:val="2"/>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3" w15:restartNumberingAfterBreak="0">
    <w:nsid w:val="11B20052"/>
    <w:multiLevelType w:val="multilevel"/>
    <w:tmpl w:val="4C1AD430"/>
    <w:lvl w:ilvl="0">
      <w:start w:val="1"/>
      <w:numFmt w:val="decimal"/>
      <w:lvlText w:val="%1."/>
      <w:lvlJc w:val="left"/>
      <w:pPr>
        <w:tabs>
          <w:tab w:val="num" w:pos="720"/>
        </w:tabs>
        <w:ind w:left="720" w:hanging="360"/>
      </w:pPr>
      <w:rPr>
        <w:rFonts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2."/>
      <w:lvlJc w:val="left"/>
      <w:pPr>
        <w:tabs>
          <w:tab w:val="num" w:pos="1440"/>
        </w:tabs>
        <w:ind w:left="1440" w:hanging="360"/>
      </w:pPr>
      <w:rPr>
        <w:rFonts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150E5E28"/>
    <w:multiLevelType w:val="multilevel"/>
    <w:tmpl w:val="9968A4CA"/>
    <w:lvl w:ilvl="0">
      <w:start w:val="1"/>
      <w:numFmt w:val="bullet"/>
      <w:lvlText w:val=""/>
      <w:lvlJc w:val="left"/>
      <w:pPr>
        <w:tabs>
          <w:tab w:val="num" w:pos="568"/>
        </w:tabs>
        <w:ind w:left="568"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B87BE3"/>
    <w:multiLevelType w:val="hybridMultilevel"/>
    <w:tmpl w:val="254AE9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FF0E22"/>
    <w:multiLevelType w:val="multilevel"/>
    <w:tmpl w:val="9968A4CA"/>
    <w:lvl w:ilvl="0">
      <w:start w:val="1"/>
      <w:numFmt w:val="bullet"/>
      <w:lvlText w:val=""/>
      <w:lvlJc w:val="left"/>
      <w:pPr>
        <w:tabs>
          <w:tab w:val="num" w:pos="568"/>
        </w:tabs>
        <w:ind w:left="568"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EF764A"/>
    <w:multiLevelType w:val="multilevel"/>
    <w:tmpl w:val="BB040EBE"/>
    <w:lvl w:ilvl="0">
      <w:start w:val="1"/>
      <w:numFmt w:val="decimal"/>
      <w:pStyle w:val="OutlineNumbering"/>
      <w:lvlText w:val="%1."/>
      <w:lvlJc w:val="left"/>
      <w:pPr>
        <w:tabs>
          <w:tab w:val="num" w:pos="360"/>
        </w:tabs>
      </w:pPr>
      <w:rPr>
        <w:rFonts w:cs="Times New Roman"/>
      </w:rPr>
    </w:lvl>
    <w:lvl w:ilvl="1">
      <w:start w:val="1"/>
      <w:numFmt w:val="bullet"/>
      <w:lvlText w:val=""/>
      <w:lvlJc w:val="left"/>
      <w:pPr>
        <w:tabs>
          <w:tab w:val="num" w:pos="1440"/>
        </w:tabs>
        <w:ind w:left="1440" w:hanging="720"/>
      </w:pPr>
      <w:rPr>
        <w:rFonts w:ascii="Symbol" w:hAnsi="Symbol" w:hint="default"/>
      </w:rPr>
    </w:lvl>
    <w:lvl w:ilvl="2">
      <w:start w:val="1"/>
      <w:numFmt w:val="none"/>
      <w:lvlText w:val="-"/>
      <w:lvlJc w:val="left"/>
      <w:pPr>
        <w:tabs>
          <w:tab w:val="num" w:pos="2160"/>
        </w:tabs>
        <w:ind w:left="2160" w:hanging="720"/>
      </w:pPr>
      <w:rPr>
        <w:rFonts w:cs="Times New Roman"/>
      </w:rPr>
    </w:lvl>
    <w:lvl w:ilvl="3">
      <w:start w:val="1"/>
      <w:numFmt w:val="none"/>
      <w:lvlText w:val=":"/>
      <w:lvlJc w:val="left"/>
      <w:pPr>
        <w:tabs>
          <w:tab w:val="num" w:pos="2880"/>
        </w:tabs>
        <w:ind w:left="288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F897CB5"/>
    <w:multiLevelType w:val="hybridMultilevel"/>
    <w:tmpl w:val="9800CBBA"/>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23D42A9F"/>
    <w:multiLevelType w:val="hybridMultilevel"/>
    <w:tmpl w:val="9968A4CA"/>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D5467F"/>
    <w:multiLevelType w:val="hybridMultilevel"/>
    <w:tmpl w:val="76284736"/>
    <w:lvl w:ilvl="0" w:tplc="FF2E1C66">
      <w:start w:val="1"/>
      <w:numFmt w:val="bullet"/>
      <w:lvlText w:val=""/>
      <w:lvlJc w:val="left"/>
      <w:pPr>
        <w:tabs>
          <w:tab w:val="num" w:pos="714"/>
        </w:tabs>
        <w:ind w:left="714"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3D7EA7"/>
    <w:multiLevelType w:val="hybridMultilevel"/>
    <w:tmpl w:val="2DF22712"/>
    <w:lvl w:ilvl="0" w:tplc="079C6FF4">
      <w:start w:val="1"/>
      <w:numFmt w:val="bullet"/>
      <w:pStyle w:val="Performanceinformation-summary"/>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0D6703"/>
    <w:multiLevelType w:val="hybridMultilevel"/>
    <w:tmpl w:val="55DEB858"/>
    <w:lvl w:ilvl="0" w:tplc="0C090001">
      <w:start w:val="1"/>
      <w:numFmt w:val="bullet"/>
      <w:lvlText w:val=""/>
      <w:lvlJc w:val="left"/>
      <w:pPr>
        <w:tabs>
          <w:tab w:val="num" w:pos="720"/>
        </w:tabs>
        <w:ind w:left="720" w:hanging="360"/>
      </w:pPr>
      <w:rPr>
        <w:rFonts w:ascii="Symbol" w:hAnsi="Symbol" w:hint="default"/>
      </w:rPr>
    </w:lvl>
    <w:lvl w:ilvl="1" w:tplc="C474128E">
      <w:start w:val="1"/>
      <w:numFmt w:val="bullet"/>
      <w:lvlText w:val=""/>
      <w:lvlJc w:val="left"/>
      <w:pPr>
        <w:tabs>
          <w:tab w:val="num" w:pos="1364"/>
        </w:tabs>
        <w:ind w:left="1364" w:hanging="284"/>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8721F0"/>
    <w:multiLevelType w:val="hybridMultilevel"/>
    <w:tmpl w:val="017A2642"/>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54F4BE0"/>
    <w:multiLevelType w:val="multilevel"/>
    <w:tmpl w:val="ECCCE92A"/>
    <w:lvl w:ilvl="0">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2."/>
      <w:lvlJc w:val="left"/>
      <w:pPr>
        <w:tabs>
          <w:tab w:val="num" w:pos="1440"/>
        </w:tabs>
        <w:ind w:left="1440" w:hanging="360"/>
      </w:pPr>
      <w:rPr>
        <w:rFonts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99D0E5E"/>
    <w:multiLevelType w:val="hybridMultilevel"/>
    <w:tmpl w:val="D454572C"/>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4E0611"/>
    <w:multiLevelType w:val="singleLevel"/>
    <w:tmpl w:val="DA00E0E6"/>
    <w:lvl w:ilvl="0">
      <w:start w:val="2"/>
      <w:numFmt w:val="decimal"/>
      <w:pStyle w:val="numberlist"/>
      <w:lvlText w:val="%1."/>
      <w:lvlJc w:val="left"/>
      <w:pPr>
        <w:tabs>
          <w:tab w:val="num" w:pos="360"/>
        </w:tabs>
        <w:ind w:left="360" w:hanging="360"/>
      </w:pPr>
      <w:rPr>
        <w:rFonts w:cs="Times New Roman"/>
      </w:rPr>
    </w:lvl>
  </w:abstractNum>
  <w:abstractNum w:abstractNumId="27" w15:restartNumberingAfterBreak="0">
    <w:nsid w:val="431C4FF8"/>
    <w:multiLevelType w:val="singleLevel"/>
    <w:tmpl w:val="E6A84660"/>
    <w:lvl w:ilvl="0">
      <w:start w:val="1"/>
      <w:numFmt w:val="bullet"/>
      <w:pStyle w:val="dotpoint"/>
      <w:lvlText w:val=""/>
      <w:lvlJc w:val="left"/>
      <w:pPr>
        <w:tabs>
          <w:tab w:val="num" w:pos="360"/>
        </w:tabs>
        <w:ind w:left="360" w:hanging="360"/>
      </w:pPr>
      <w:rPr>
        <w:rFonts w:ascii="Symbol" w:hAnsi="Symbol" w:hint="default"/>
        <w:sz w:val="16"/>
      </w:rPr>
    </w:lvl>
  </w:abstractNum>
  <w:abstractNum w:abstractNumId="28" w15:restartNumberingAfterBreak="0">
    <w:nsid w:val="45371B77"/>
    <w:multiLevelType w:val="multilevel"/>
    <w:tmpl w:val="D9B22B9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9C13B99"/>
    <w:multiLevelType w:val="hybridMultilevel"/>
    <w:tmpl w:val="26A4D448"/>
    <w:lvl w:ilvl="0" w:tplc="DBBA0B2E">
      <w:start w:val="1"/>
      <w:numFmt w:val="decimal"/>
      <w:lvlText w:val="%1"/>
      <w:lvlJc w:val="left"/>
      <w:pPr>
        <w:tabs>
          <w:tab w:val="num" w:pos="795"/>
        </w:tabs>
        <w:ind w:left="795" w:hanging="435"/>
      </w:pPr>
      <w:rPr>
        <w:rFonts w:ascii="Arial" w:hAnsi="Arial" w:cs="Aria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9E22473"/>
    <w:multiLevelType w:val="multilevel"/>
    <w:tmpl w:val="1978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175BEA"/>
    <w:multiLevelType w:val="hybridMultilevel"/>
    <w:tmpl w:val="E466AA6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D2C4B76"/>
    <w:multiLevelType w:val="multilevel"/>
    <w:tmpl w:val="37B2285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364"/>
        </w:tabs>
        <w:ind w:left="1364"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4060CA"/>
    <w:multiLevelType w:val="hybridMultilevel"/>
    <w:tmpl w:val="CB925CA8"/>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6E7790"/>
    <w:multiLevelType w:val="multilevel"/>
    <w:tmpl w:val="9968A4CA"/>
    <w:lvl w:ilvl="0">
      <w:start w:val="1"/>
      <w:numFmt w:val="bullet"/>
      <w:lvlText w:val=""/>
      <w:lvlJc w:val="left"/>
      <w:pPr>
        <w:tabs>
          <w:tab w:val="num" w:pos="568"/>
        </w:tabs>
        <w:ind w:left="568"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B45D88"/>
    <w:multiLevelType w:val="hybridMultilevel"/>
    <w:tmpl w:val="EFCABE4A"/>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5698557A"/>
    <w:multiLevelType w:val="hybridMultilevel"/>
    <w:tmpl w:val="9CA63C68"/>
    <w:lvl w:ilvl="0" w:tplc="A3988450">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A35709A"/>
    <w:multiLevelType w:val="multilevel"/>
    <w:tmpl w:val="F272C560"/>
    <w:lvl w:ilvl="0">
      <w:start w:val="1"/>
      <w:numFmt w:val="decimal"/>
      <w:lvlText w:val="%1"/>
      <w:lvlJc w:val="left"/>
      <w:pPr>
        <w:tabs>
          <w:tab w:val="num" w:pos="432"/>
        </w:tabs>
        <w:ind w:left="432" w:hanging="432"/>
      </w:pPr>
      <w:rPr>
        <w:rFonts w:ascii="Arial" w:hAnsi="Arial" w:cs="Arial" w:hint="default"/>
      </w:rPr>
    </w:lvl>
    <w:lvl w:ilvl="1">
      <w:start w:val="2"/>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5CEB6562"/>
    <w:multiLevelType w:val="hybridMultilevel"/>
    <w:tmpl w:val="ECCCE92A"/>
    <w:lvl w:ilvl="0" w:tplc="0C090001">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4496BCBA">
      <w:start w:val="3"/>
      <w:numFmt w:val="decimal"/>
      <w:lvlText w:val="%2."/>
      <w:lvlJc w:val="left"/>
      <w:pPr>
        <w:tabs>
          <w:tab w:val="num" w:pos="1440"/>
        </w:tabs>
        <w:ind w:left="1440" w:hanging="360"/>
      </w:pPr>
      <w:rPr>
        <w:rFonts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74186058">
      <w:start w:val="1"/>
      <w:numFmt w:val="decimal"/>
      <w:lvlText w:val="%3-"/>
      <w:lvlJc w:val="left"/>
      <w:pPr>
        <w:tabs>
          <w:tab w:val="num" w:pos="2340"/>
        </w:tabs>
        <w:ind w:left="2340" w:hanging="36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DA677C1"/>
    <w:multiLevelType w:val="hybridMultilevel"/>
    <w:tmpl w:val="E7344B4A"/>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0D3E12"/>
    <w:multiLevelType w:val="hybridMultilevel"/>
    <w:tmpl w:val="1108CC44"/>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6B916844"/>
    <w:multiLevelType w:val="singleLevel"/>
    <w:tmpl w:val="00447134"/>
    <w:lvl w:ilvl="0">
      <w:start w:val="1"/>
      <w:numFmt w:val="bullet"/>
      <w:pStyle w:val="colonpoint"/>
      <w:lvlText w:val=""/>
      <w:lvlJc w:val="left"/>
      <w:pPr>
        <w:tabs>
          <w:tab w:val="num" w:pos="360"/>
        </w:tabs>
        <w:ind w:left="360" w:hanging="360"/>
      </w:pPr>
      <w:rPr>
        <w:rFonts w:ascii="Symbol" w:hAnsi="Symbol" w:hint="default"/>
      </w:rPr>
    </w:lvl>
  </w:abstractNum>
  <w:abstractNum w:abstractNumId="42" w15:restartNumberingAfterBreak="0">
    <w:nsid w:val="7647593D"/>
    <w:multiLevelType w:val="hybridMultilevel"/>
    <w:tmpl w:val="50EAB6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8C4F4D"/>
    <w:multiLevelType w:val="singleLevel"/>
    <w:tmpl w:val="65E81598"/>
    <w:lvl w:ilvl="0">
      <w:start w:val="1"/>
      <w:numFmt w:val="bullet"/>
      <w:pStyle w:val="dashpoint"/>
      <w:lvlText w:val=""/>
      <w:lvlJc w:val="left"/>
      <w:pPr>
        <w:tabs>
          <w:tab w:val="num" w:pos="360"/>
        </w:tabs>
        <w:ind w:left="360" w:hanging="360"/>
      </w:pPr>
      <w:rPr>
        <w:rFonts w:ascii="Symbol" w:hAnsi="Symbol" w:hint="default"/>
      </w:rPr>
    </w:lvl>
  </w:abstractNum>
  <w:num w:numId="1">
    <w:abstractNumId w:val="41"/>
  </w:num>
  <w:num w:numId="2">
    <w:abstractNumId w:val="43"/>
  </w:num>
  <w:num w:numId="3">
    <w:abstractNumId w:val="27"/>
  </w:num>
  <w:num w:numId="4">
    <w:abstractNumId w:val="26"/>
  </w:num>
  <w:num w:numId="5">
    <w:abstractNumId w:val="17"/>
  </w:num>
  <w:num w:numId="6">
    <w:abstractNumId w:val="21"/>
  </w:num>
  <w:num w:numId="7">
    <w:abstractNumId w:val="38"/>
  </w:num>
  <w:num w:numId="8">
    <w:abstractNumId w:val="15"/>
  </w:num>
  <w:num w:numId="9">
    <w:abstractNumId w:val="22"/>
  </w:num>
  <w:num w:numId="10">
    <w:abstractNumId w:val="42"/>
  </w:num>
  <w:num w:numId="11">
    <w:abstractNumId w:val="12"/>
  </w:num>
  <w:num w:numId="1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8"/>
  </w:num>
  <w:num w:numId="15">
    <w:abstractNumId w:val="30"/>
  </w:num>
  <w:num w:numId="16">
    <w:abstractNumId w:val="20"/>
  </w:num>
  <w:num w:numId="17">
    <w:abstractNumId w:val="10"/>
  </w:num>
  <w:num w:numId="18">
    <w:abstractNumId w:val="35"/>
  </w:num>
  <w:num w:numId="19">
    <w:abstractNumId w:val="25"/>
  </w:num>
  <w:num w:numId="20">
    <w:abstractNumId w:val="39"/>
  </w:num>
  <w:num w:numId="21">
    <w:abstractNumId w:val="19"/>
  </w:num>
  <w:num w:numId="22">
    <w:abstractNumId w:val="3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1"/>
  </w:num>
  <w:num w:numId="34">
    <w:abstractNumId w:val="37"/>
  </w:num>
  <w:num w:numId="35">
    <w:abstractNumId w:val="29"/>
  </w:num>
  <w:num w:numId="36">
    <w:abstractNumId w:val="33"/>
  </w:num>
  <w:num w:numId="37">
    <w:abstractNumId w:val="40"/>
  </w:num>
  <w:num w:numId="38">
    <w:abstractNumId w:val="13"/>
  </w:num>
  <w:num w:numId="39">
    <w:abstractNumId w:val="24"/>
  </w:num>
  <w:num w:numId="40">
    <w:abstractNumId w:val="36"/>
  </w:num>
  <w:num w:numId="41">
    <w:abstractNumId w:val="16"/>
  </w:num>
  <w:num w:numId="42">
    <w:abstractNumId w:val="11"/>
  </w:num>
  <w:num w:numId="43">
    <w:abstractNumId w:val="14"/>
  </w:num>
  <w:num w:numId="44">
    <w:abstractNumId w:val="34"/>
  </w:num>
  <w:num w:numId="45">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CF"/>
    <w:rsid w:val="00000C47"/>
    <w:rsid w:val="00002B3E"/>
    <w:rsid w:val="00004878"/>
    <w:rsid w:val="000104AA"/>
    <w:rsid w:val="000116E3"/>
    <w:rsid w:val="0001173E"/>
    <w:rsid w:val="0001305B"/>
    <w:rsid w:val="00013114"/>
    <w:rsid w:val="0001417D"/>
    <w:rsid w:val="00015250"/>
    <w:rsid w:val="00015C86"/>
    <w:rsid w:val="00016989"/>
    <w:rsid w:val="00017125"/>
    <w:rsid w:val="00025493"/>
    <w:rsid w:val="00027484"/>
    <w:rsid w:val="000337FD"/>
    <w:rsid w:val="00035D4B"/>
    <w:rsid w:val="000360D2"/>
    <w:rsid w:val="00036A7C"/>
    <w:rsid w:val="000373A6"/>
    <w:rsid w:val="00040647"/>
    <w:rsid w:val="000409E6"/>
    <w:rsid w:val="00041B1B"/>
    <w:rsid w:val="0004533E"/>
    <w:rsid w:val="000461BB"/>
    <w:rsid w:val="00060A76"/>
    <w:rsid w:val="000633D7"/>
    <w:rsid w:val="00063A83"/>
    <w:rsid w:val="00070236"/>
    <w:rsid w:val="00073105"/>
    <w:rsid w:val="00080D33"/>
    <w:rsid w:val="00082E67"/>
    <w:rsid w:val="00083917"/>
    <w:rsid w:val="00084E9C"/>
    <w:rsid w:val="00087D51"/>
    <w:rsid w:val="00092D3F"/>
    <w:rsid w:val="00097F5C"/>
    <w:rsid w:val="000A1F36"/>
    <w:rsid w:val="000A37EA"/>
    <w:rsid w:val="000A413B"/>
    <w:rsid w:val="000A4E51"/>
    <w:rsid w:val="000B14F3"/>
    <w:rsid w:val="000B3FF6"/>
    <w:rsid w:val="000B406E"/>
    <w:rsid w:val="000B465D"/>
    <w:rsid w:val="000B5398"/>
    <w:rsid w:val="000B602C"/>
    <w:rsid w:val="000B656B"/>
    <w:rsid w:val="000B691B"/>
    <w:rsid w:val="000B714D"/>
    <w:rsid w:val="000C457B"/>
    <w:rsid w:val="000C6D39"/>
    <w:rsid w:val="000C7611"/>
    <w:rsid w:val="000D1B54"/>
    <w:rsid w:val="000D2CCC"/>
    <w:rsid w:val="000D3B29"/>
    <w:rsid w:val="000D413F"/>
    <w:rsid w:val="000D600D"/>
    <w:rsid w:val="000E5671"/>
    <w:rsid w:val="000E7DDF"/>
    <w:rsid w:val="000F2FD2"/>
    <w:rsid w:val="00103B78"/>
    <w:rsid w:val="00106E78"/>
    <w:rsid w:val="001111FD"/>
    <w:rsid w:val="001124C4"/>
    <w:rsid w:val="00120909"/>
    <w:rsid w:val="00120D44"/>
    <w:rsid w:val="001212B6"/>
    <w:rsid w:val="00121F33"/>
    <w:rsid w:val="0012215D"/>
    <w:rsid w:val="00123060"/>
    <w:rsid w:val="00124346"/>
    <w:rsid w:val="00125C8C"/>
    <w:rsid w:val="00130CEF"/>
    <w:rsid w:val="00131037"/>
    <w:rsid w:val="00133939"/>
    <w:rsid w:val="00134832"/>
    <w:rsid w:val="0014022C"/>
    <w:rsid w:val="0014038B"/>
    <w:rsid w:val="00141128"/>
    <w:rsid w:val="0014297E"/>
    <w:rsid w:val="00143E45"/>
    <w:rsid w:val="0014419A"/>
    <w:rsid w:val="001447E0"/>
    <w:rsid w:val="00145EBC"/>
    <w:rsid w:val="00150071"/>
    <w:rsid w:val="00154AA7"/>
    <w:rsid w:val="001608D5"/>
    <w:rsid w:val="001614C9"/>
    <w:rsid w:val="001715C5"/>
    <w:rsid w:val="001721DC"/>
    <w:rsid w:val="00175B57"/>
    <w:rsid w:val="001773B7"/>
    <w:rsid w:val="00183DBD"/>
    <w:rsid w:val="00187060"/>
    <w:rsid w:val="001907B3"/>
    <w:rsid w:val="00190C29"/>
    <w:rsid w:val="001910E7"/>
    <w:rsid w:val="00191700"/>
    <w:rsid w:val="00194427"/>
    <w:rsid w:val="00197142"/>
    <w:rsid w:val="00197375"/>
    <w:rsid w:val="001A1738"/>
    <w:rsid w:val="001A1DF0"/>
    <w:rsid w:val="001A4376"/>
    <w:rsid w:val="001A5C1A"/>
    <w:rsid w:val="001A6A38"/>
    <w:rsid w:val="001B0168"/>
    <w:rsid w:val="001B3B5E"/>
    <w:rsid w:val="001B6E80"/>
    <w:rsid w:val="001C3586"/>
    <w:rsid w:val="001C37FF"/>
    <w:rsid w:val="001C41C2"/>
    <w:rsid w:val="001C4369"/>
    <w:rsid w:val="001C4D91"/>
    <w:rsid w:val="001D1619"/>
    <w:rsid w:val="001D2B95"/>
    <w:rsid w:val="001D3EEB"/>
    <w:rsid w:val="001D4058"/>
    <w:rsid w:val="001D581F"/>
    <w:rsid w:val="001D5C20"/>
    <w:rsid w:val="001D7DC8"/>
    <w:rsid w:val="001E13E5"/>
    <w:rsid w:val="001E5401"/>
    <w:rsid w:val="001F2836"/>
    <w:rsid w:val="001F5CE5"/>
    <w:rsid w:val="001F7789"/>
    <w:rsid w:val="00200665"/>
    <w:rsid w:val="00201878"/>
    <w:rsid w:val="00204150"/>
    <w:rsid w:val="00206F75"/>
    <w:rsid w:val="00212D28"/>
    <w:rsid w:val="00217218"/>
    <w:rsid w:val="00222519"/>
    <w:rsid w:val="0023009B"/>
    <w:rsid w:val="0023123F"/>
    <w:rsid w:val="002313FB"/>
    <w:rsid w:val="002343BC"/>
    <w:rsid w:val="0023710B"/>
    <w:rsid w:val="0023764A"/>
    <w:rsid w:val="00244AF8"/>
    <w:rsid w:val="00244BF1"/>
    <w:rsid w:val="002450D3"/>
    <w:rsid w:val="00246978"/>
    <w:rsid w:val="002522A5"/>
    <w:rsid w:val="00253F59"/>
    <w:rsid w:val="0025624F"/>
    <w:rsid w:val="0025651D"/>
    <w:rsid w:val="00257732"/>
    <w:rsid w:val="002611A2"/>
    <w:rsid w:val="0026169C"/>
    <w:rsid w:val="00262C3D"/>
    <w:rsid w:val="00263092"/>
    <w:rsid w:val="002642AF"/>
    <w:rsid w:val="0026519F"/>
    <w:rsid w:val="002662BD"/>
    <w:rsid w:val="002662CD"/>
    <w:rsid w:val="00267B36"/>
    <w:rsid w:val="00270C32"/>
    <w:rsid w:val="00270DD5"/>
    <w:rsid w:val="00272A3C"/>
    <w:rsid w:val="0027540D"/>
    <w:rsid w:val="0027619F"/>
    <w:rsid w:val="002779A4"/>
    <w:rsid w:val="0028196C"/>
    <w:rsid w:val="00282609"/>
    <w:rsid w:val="00282AF9"/>
    <w:rsid w:val="00286D57"/>
    <w:rsid w:val="002870B3"/>
    <w:rsid w:val="00293FA2"/>
    <w:rsid w:val="002975C2"/>
    <w:rsid w:val="002A4923"/>
    <w:rsid w:val="002A6C4A"/>
    <w:rsid w:val="002B1A1C"/>
    <w:rsid w:val="002B1C2E"/>
    <w:rsid w:val="002B3292"/>
    <w:rsid w:val="002B4B26"/>
    <w:rsid w:val="002B4EC5"/>
    <w:rsid w:val="002B7759"/>
    <w:rsid w:val="002C6598"/>
    <w:rsid w:val="002C7FD3"/>
    <w:rsid w:val="002D0562"/>
    <w:rsid w:val="002D3033"/>
    <w:rsid w:val="002D3D84"/>
    <w:rsid w:val="002D6A23"/>
    <w:rsid w:val="002E01B1"/>
    <w:rsid w:val="002E1D71"/>
    <w:rsid w:val="002E2067"/>
    <w:rsid w:val="002E3288"/>
    <w:rsid w:val="002E73E1"/>
    <w:rsid w:val="002F3B17"/>
    <w:rsid w:val="002F4D77"/>
    <w:rsid w:val="002F60B4"/>
    <w:rsid w:val="002F7305"/>
    <w:rsid w:val="00302166"/>
    <w:rsid w:val="0030381C"/>
    <w:rsid w:val="00304748"/>
    <w:rsid w:val="00305D08"/>
    <w:rsid w:val="003071ED"/>
    <w:rsid w:val="00311AB6"/>
    <w:rsid w:val="003126A2"/>
    <w:rsid w:val="0031617E"/>
    <w:rsid w:val="0031629C"/>
    <w:rsid w:val="00317960"/>
    <w:rsid w:val="00320B51"/>
    <w:rsid w:val="0032276F"/>
    <w:rsid w:val="00323305"/>
    <w:rsid w:val="00323D6F"/>
    <w:rsid w:val="00336FDB"/>
    <w:rsid w:val="0033742E"/>
    <w:rsid w:val="003416EB"/>
    <w:rsid w:val="00341CD4"/>
    <w:rsid w:val="00343CB7"/>
    <w:rsid w:val="00346173"/>
    <w:rsid w:val="00346B35"/>
    <w:rsid w:val="003571AE"/>
    <w:rsid w:val="00357654"/>
    <w:rsid w:val="003579EF"/>
    <w:rsid w:val="0036016E"/>
    <w:rsid w:val="00362DE4"/>
    <w:rsid w:val="00364BA5"/>
    <w:rsid w:val="00364FAA"/>
    <w:rsid w:val="003716D5"/>
    <w:rsid w:val="0037240B"/>
    <w:rsid w:val="00372F63"/>
    <w:rsid w:val="003773C4"/>
    <w:rsid w:val="0038499F"/>
    <w:rsid w:val="003863BD"/>
    <w:rsid w:val="003863C6"/>
    <w:rsid w:val="003909C7"/>
    <w:rsid w:val="003939DC"/>
    <w:rsid w:val="0039508A"/>
    <w:rsid w:val="003966D6"/>
    <w:rsid w:val="003A0F6A"/>
    <w:rsid w:val="003A1A35"/>
    <w:rsid w:val="003A5917"/>
    <w:rsid w:val="003A6B3D"/>
    <w:rsid w:val="003B0FFD"/>
    <w:rsid w:val="003B26B2"/>
    <w:rsid w:val="003B5C6D"/>
    <w:rsid w:val="003B7ED3"/>
    <w:rsid w:val="003C1AF6"/>
    <w:rsid w:val="003C20DF"/>
    <w:rsid w:val="003C4755"/>
    <w:rsid w:val="003C5ABA"/>
    <w:rsid w:val="003C7D7C"/>
    <w:rsid w:val="003D215F"/>
    <w:rsid w:val="003D30C1"/>
    <w:rsid w:val="003D582B"/>
    <w:rsid w:val="003D5CE8"/>
    <w:rsid w:val="003E5B9C"/>
    <w:rsid w:val="003E707E"/>
    <w:rsid w:val="003F2393"/>
    <w:rsid w:val="003F2F98"/>
    <w:rsid w:val="003F3288"/>
    <w:rsid w:val="003F4328"/>
    <w:rsid w:val="003F50FA"/>
    <w:rsid w:val="003F6277"/>
    <w:rsid w:val="00400FE8"/>
    <w:rsid w:val="004015B8"/>
    <w:rsid w:val="0040316C"/>
    <w:rsid w:val="00403790"/>
    <w:rsid w:val="00406F25"/>
    <w:rsid w:val="00413796"/>
    <w:rsid w:val="0041390B"/>
    <w:rsid w:val="0041393C"/>
    <w:rsid w:val="00416B12"/>
    <w:rsid w:val="00417081"/>
    <w:rsid w:val="00417274"/>
    <w:rsid w:val="0042069B"/>
    <w:rsid w:val="00424273"/>
    <w:rsid w:val="004256C5"/>
    <w:rsid w:val="00426FC8"/>
    <w:rsid w:val="00430AC9"/>
    <w:rsid w:val="00431316"/>
    <w:rsid w:val="00431EC4"/>
    <w:rsid w:val="00433D7D"/>
    <w:rsid w:val="004352E0"/>
    <w:rsid w:val="00437606"/>
    <w:rsid w:val="0044053D"/>
    <w:rsid w:val="00441AE5"/>
    <w:rsid w:val="00442748"/>
    <w:rsid w:val="004443B8"/>
    <w:rsid w:val="00445099"/>
    <w:rsid w:val="00452B11"/>
    <w:rsid w:val="0045363E"/>
    <w:rsid w:val="00454012"/>
    <w:rsid w:val="004543D1"/>
    <w:rsid w:val="00455610"/>
    <w:rsid w:val="00455BA1"/>
    <w:rsid w:val="00456BB0"/>
    <w:rsid w:val="00460A88"/>
    <w:rsid w:val="004655D9"/>
    <w:rsid w:val="00471C0A"/>
    <w:rsid w:val="0047218D"/>
    <w:rsid w:val="004721E4"/>
    <w:rsid w:val="00473191"/>
    <w:rsid w:val="00474D50"/>
    <w:rsid w:val="004752FF"/>
    <w:rsid w:val="004812D7"/>
    <w:rsid w:val="004812FD"/>
    <w:rsid w:val="0048164B"/>
    <w:rsid w:val="00482ED0"/>
    <w:rsid w:val="00484148"/>
    <w:rsid w:val="00487D1B"/>
    <w:rsid w:val="00492AD5"/>
    <w:rsid w:val="00494167"/>
    <w:rsid w:val="004976A2"/>
    <w:rsid w:val="00497A51"/>
    <w:rsid w:val="004A15F9"/>
    <w:rsid w:val="004A1EA2"/>
    <w:rsid w:val="004A28D5"/>
    <w:rsid w:val="004A5578"/>
    <w:rsid w:val="004A61D8"/>
    <w:rsid w:val="004A7375"/>
    <w:rsid w:val="004B1794"/>
    <w:rsid w:val="004B3C6F"/>
    <w:rsid w:val="004B69A8"/>
    <w:rsid w:val="004B729D"/>
    <w:rsid w:val="004C37FA"/>
    <w:rsid w:val="004C54E3"/>
    <w:rsid w:val="004D0301"/>
    <w:rsid w:val="004D11CD"/>
    <w:rsid w:val="004D40A3"/>
    <w:rsid w:val="004E0A98"/>
    <w:rsid w:val="004E444B"/>
    <w:rsid w:val="004E45A7"/>
    <w:rsid w:val="004E65E0"/>
    <w:rsid w:val="004F0559"/>
    <w:rsid w:val="004F1FA9"/>
    <w:rsid w:val="004F21DB"/>
    <w:rsid w:val="004F51B8"/>
    <w:rsid w:val="00502828"/>
    <w:rsid w:val="005035D7"/>
    <w:rsid w:val="00503705"/>
    <w:rsid w:val="005045F1"/>
    <w:rsid w:val="005104C4"/>
    <w:rsid w:val="00510B7D"/>
    <w:rsid w:val="00513DFD"/>
    <w:rsid w:val="005162E8"/>
    <w:rsid w:val="00516FF1"/>
    <w:rsid w:val="0052020E"/>
    <w:rsid w:val="0052025C"/>
    <w:rsid w:val="00520B2A"/>
    <w:rsid w:val="005251B6"/>
    <w:rsid w:val="00534DAB"/>
    <w:rsid w:val="00536D9B"/>
    <w:rsid w:val="00537772"/>
    <w:rsid w:val="00537774"/>
    <w:rsid w:val="00537F70"/>
    <w:rsid w:val="005405FD"/>
    <w:rsid w:val="00540BD8"/>
    <w:rsid w:val="00540F92"/>
    <w:rsid w:val="0054340B"/>
    <w:rsid w:val="00550891"/>
    <w:rsid w:val="00555AE2"/>
    <w:rsid w:val="00555EF0"/>
    <w:rsid w:val="00560E65"/>
    <w:rsid w:val="00564ADE"/>
    <w:rsid w:val="0056621E"/>
    <w:rsid w:val="0057066D"/>
    <w:rsid w:val="00571187"/>
    <w:rsid w:val="00573B12"/>
    <w:rsid w:val="005770F2"/>
    <w:rsid w:val="005774D8"/>
    <w:rsid w:val="00580F1A"/>
    <w:rsid w:val="0058141A"/>
    <w:rsid w:val="00582C17"/>
    <w:rsid w:val="00583B25"/>
    <w:rsid w:val="00583C7E"/>
    <w:rsid w:val="005847DE"/>
    <w:rsid w:val="00584D64"/>
    <w:rsid w:val="0059052E"/>
    <w:rsid w:val="00592C7E"/>
    <w:rsid w:val="00595DEF"/>
    <w:rsid w:val="0059650E"/>
    <w:rsid w:val="00596EE3"/>
    <w:rsid w:val="005A01A2"/>
    <w:rsid w:val="005A224F"/>
    <w:rsid w:val="005A241D"/>
    <w:rsid w:val="005A4FFA"/>
    <w:rsid w:val="005B276A"/>
    <w:rsid w:val="005B5D54"/>
    <w:rsid w:val="005B5DD9"/>
    <w:rsid w:val="005B5DFC"/>
    <w:rsid w:val="005B622E"/>
    <w:rsid w:val="005C400A"/>
    <w:rsid w:val="005C4DCC"/>
    <w:rsid w:val="005C550D"/>
    <w:rsid w:val="005C5ADC"/>
    <w:rsid w:val="005D3A57"/>
    <w:rsid w:val="005D4442"/>
    <w:rsid w:val="005E105F"/>
    <w:rsid w:val="005E16ED"/>
    <w:rsid w:val="005E2035"/>
    <w:rsid w:val="005E3B9E"/>
    <w:rsid w:val="005E5F33"/>
    <w:rsid w:val="005E6944"/>
    <w:rsid w:val="005F206F"/>
    <w:rsid w:val="005F2E26"/>
    <w:rsid w:val="005F68E7"/>
    <w:rsid w:val="00600960"/>
    <w:rsid w:val="00600C2E"/>
    <w:rsid w:val="006015CE"/>
    <w:rsid w:val="00601D91"/>
    <w:rsid w:val="0060220B"/>
    <w:rsid w:val="00602A3A"/>
    <w:rsid w:val="006032B8"/>
    <w:rsid w:val="00603982"/>
    <w:rsid w:val="00603AAF"/>
    <w:rsid w:val="00604275"/>
    <w:rsid w:val="0061189A"/>
    <w:rsid w:val="00614783"/>
    <w:rsid w:val="00614A04"/>
    <w:rsid w:val="006223E0"/>
    <w:rsid w:val="006276C1"/>
    <w:rsid w:val="00631A8C"/>
    <w:rsid w:val="00631C4B"/>
    <w:rsid w:val="00633683"/>
    <w:rsid w:val="0063570B"/>
    <w:rsid w:val="00636618"/>
    <w:rsid w:val="0063719A"/>
    <w:rsid w:val="00640100"/>
    <w:rsid w:val="00641E0E"/>
    <w:rsid w:val="00643817"/>
    <w:rsid w:val="00643CD6"/>
    <w:rsid w:val="00643DA3"/>
    <w:rsid w:val="006443BD"/>
    <w:rsid w:val="006460E4"/>
    <w:rsid w:val="006469F1"/>
    <w:rsid w:val="00646B2D"/>
    <w:rsid w:val="00646CFD"/>
    <w:rsid w:val="00647029"/>
    <w:rsid w:val="00647664"/>
    <w:rsid w:val="00651BDF"/>
    <w:rsid w:val="00655205"/>
    <w:rsid w:val="00655952"/>
    <w:rsid w:val="00656C5B"/>
    <w:rsid w:val="0065709E"/>
    <w:rsid w:val="00657376"/>
    <w:rsid w:val="006574DF"/>
    <w:rsid w:val="00657B1D"/>
    <w:rsid w:val="00663755"/>
    <w:rsid w:val="00665215"/>
    <w:rsid w:val="006653D3"/>
    <w:rsid w:val="00667D84"/>
    <w:rsid w:val="006721F7"/>
    <w:rsid w:val="0067458F"/>
    <w:rsid w:val="006756A1"/>
    <w:rsid w:val="00682BB9"/>
    <w:rsid w:val="0068307D"/>
    <w:rsid w:val="0068484C"/>
    <w:rsid w:val="00687FCC"/>
    <w:rsid w:val="00691507"/>
    <w:rsid w:val="00691844"/>
    <w:rsid w:val="00692578"/>
    <w:rsid w:val="00693423"/>
    <w:rsid w:val="00694D58"/>
    <w:rsid w:val="006950B6"/>
    <w:rsid w:val="00695195"/>
    <w:rsid w:val="006979B1"/>
    <w:rsid w:val="00697C1D"/>
    <w:rsid w:val="006A07BB"/>
    <w:rsid w:val="006A0854"/>
    <w:rsid w:val="006A133E"/>
    <w:rsid w:val="006A21DC"/>
    <w:rsid w:val="006A4EAF"/>
    <w:rsid w:val="006A5192"/>
    <w:rsid w:val="006B4A68"/>
    <w:rsid w:val="006B63D7"/>
    <w:rsid w:val="006C1AF2"/>
    <w:rsid w:val="006C2469"/>
    <w:rsid w:val="006C6353"/>
    <w:rsid w:val="006D2FE0"/>
    <w:rsid w:val="006D6918"/>
    <w:rsid w:val="006D7431"/>
    <w:rsid w:val="006E0F72"/>
    <w:rsid w:val="006E2568"/>
    <w:rsid w:val="006E5BD4"/>
    <w:rsid w:val="006F02A6"/>
    <w:rsid w:val="006F105D"/>
    <w:rsid w:val="006F1B5D"/>
    <w:rsid w:val="006F1CFA"/>
    <w:rsid w:val="006F24F7"/>
    <w:rsid w:val="00700756"/>
    <w:rsid w:val="00700F03"/>
    <w:rsid w:val="0070133B"/>
    <w:rsid w:val="007024AE"/>
    <w:rsid w:val="00705118"/>
    <w:rsid w:val="0070733D"/>
    <w:rsid w:val="00715027"/>
    <w:rsid w:val="00715047"/>
    <w:rsid w:val="00717762"/>
    <w:rsid w:val="00717CC2"/>
    <w:rsid w:val="0072003B"/>
    <w:rsid w:val="00730D5D"/>
    <w:rsid w:val="00731032"/>
    <w:rsid w:val="00735BE0"/>
    <w:rsid w:val="007366D5"/>
    <w:rsid w:val="00741E82"/>
    <w:rsid w:val="00744026"/>
    <w:rsid w:val="00746B98"/>
    <w:rsid w:val="0075559C"/>
    <w:rsid w:val="007558CF"/>
    <w:rsid w:val="00762D04"/>
    <w:rsid w:val="00762D7C"/>
    <w:rsid w:val="00763CF7"/>
    <w:rsid w:val="00765A6C"/>
    <w:rsid w:val="00767219"/>
    <w:rsid w:val="0077340E"/>
    <w:rsid w:val="0077568E"/>
    <w:rsid w:val="00780840"/>
    <w:rsid w:val="0078094E"/>
    <w:rsid w:val="00780A1F"/>
    <w:rsid w:val="00781518"/>
    <w:rsid w:val="00787DF9"/>
    <w:rsid w:val="0079211F"/>
    <w:rsid w:val="00797D7C"/>
    <w:rsid w:val="007A0C1B"/>
    <w:rsid w:val="007A2274"/>
    <w:rsid w:val="007A2CA7"/>
    <w:rsid w:val="007A5319"/>
    <w:rsid w:val="007A5720"/>
    <w:rsid w:val="007A6557"/>
    <w:rsid w:val="007A7094"/>
    <w:rsid w:val="007B1780"/>
    <w:rsid w:val="007B1FBB"/>
    <w:rsid w:val="007B2B64"/>
    <w:rsid w:val="007B62E0"/>
    <w:rsid w:val="007B6940"/>
    <w:rsid w:val="007C1361"/>
    <w:rsid w:val="007C1F45"/>
    <w:rsid w:val="007C2DA4"/>
    <w:rsid w:val="007C3B0B"/>
    <w:rsid w:val="007C53D5"/>
    <w:rsid w:val="007C696D"/>
    <w:rsid w:val="007D3A02"/>
    <w:rsid w:val="007D5322"/>
    <w:rsid w:val="007E05AB"/>
    <w:rsid w:val="007E15D8"/>
    <w:rsid w:val="007E2387"/>
    <w:rsid w:val="007E618A"/>
    <w:rsid w:val="007E7793"/>
    <w:rsid w:val="007F0381"/>
    <w:rsid w:val="007F0DE3"/>
    <w:rsid w:val="007F2E6F"/>
    <w:rsid w:val="00801928"/>
    <w:rsid w:val="00801DBD"/>
    <w:rsid w:val="00810C71"/>
    <w:rsid w:val="00810FA9"/>
    <w:rsid w:val="00812406"/>
    <w:rsid w:val="008135B0"/>
    <w:rsid w:val="00816BE9"/>
    <w:rsid w:val="00817E83"/>
    <w:rsid w:val="00820B25"/>
    <w:rsid w:val="00824C68"/>
    <w:rsid w:val="00824F09"/>
    <w:rsid w:val="008305E6"/>
    <w:rsid w:val="008370E4"/>
    <w:rsid w:val="00837870"/>
    <w:rsid w:val="00837FC6"/>
    <w:rsid w:val="00844615"/>
    <w:rsid w:val="00845F22"/>
    <w:rsid w:val="008503F3"/>
    <w:rsid w:val="0085251E"/>
    <w:rsid w:val="00852F6E"/>
    <w:rsid w:val="0085399C"/>
    <w:rsid w:val="00853F03"/>
    <w:rsid w:val="00860216"/>
    <w:rsid w:val="0086188B"/>
    <w:rsid w:val="00867E64"/>
    <w:rsid w:val="00870619"/>
    <w:rsid w:val="0087089A"/>
    <w:rsid w:val="00871453"/>
    <w:rsid w:val="008720B0"/>
    <w:rsid w:val="0087212C"/>
    <w:rsid w:val="008744FA"/>
    <w:rsid w:val="00874628"/>
    <w:rsid w:val="00875094"/>
    <w:rsid w:val="00876E4C"/>
    <w:rsid w:val="00876FCA"/>
    <w:rsid w:val="00877B5C"/>
    <w:rsid w:val="00877FE2"/>
    <w:rsid w:val="00882951"/>
    <w:rsid w:val="008839D0"/>
    <w:rsid w:val="00883E45"/>
    <w:rsid w:val="00884743"/>
    <w:rsid w:val="0088540C"/>
    <w:rsid w:val="00885BF8"/>
    <w:rsid w:val="00887C1C"/>
    <w:rsid w:val="00891618"/>
    <w:rsid w:val="00891C1D"/>
    <w:rsid w:val="00891D8D"/>
    <w:rsid w:val="008932DD"/>
    <w:rsid w:val="008964E8"/>
    <w:rsid w:val="008A0F4D"/>
    <w:rsid w:val="008A3812"/>
    <w:rsid w:val="008A5567"/>
    <w:rsid w:val="008B219F"/>
    <w:rsid w:val="008B3D9C"/>
    <w:rsid w:val="008B641C"/>
    <w:rsid w:val="008C10FB"/>
    <w:rsid w:val="008C4875"/>
    <w:rsid w:val="008C6181"/>
    <w:rsid w:val="008D1765"/>
    <w:rsid w:val="008D2A89"/>
    <w:rsid w:val="008D7202"/>
    <w:rsid w:val="008D7C8B"/>
    <w:rsid w:val="008E2172"/>
    <w:rsid w:val="008E3E96"/>
    <w:rsid w:val="008E4065"/>
    <w:rsid w:val="008E4D95"/>
    <w:rsid w:val="008E5248"/>
    <w:rsid w:val="008E774E"/>
    <w:rsid w:val="008F12B8"/>
    <w:rsid w:val="00900FEE"/>
    <w:rsid w:val="0090130E"/>
    <w:rsid w:val="009018C8"/>
    <w:rsid w:val="00904C40"/>
    <w:rsid w:val="0090614C"/>
    <w:rsid w:val="009122F3"/>
    <w:rsid w:val="0091311A"/>
    <w:rsid w:val="00913DE8"/>
    <w:rsid w:val="00915647"/>
    <w:rsid w:val="00922BDD"/>
    <w:rsid w:val="00924C5C"/>
    <w:rsid w:val="00926674"/>
    <w:rsid w:val="009312C0"/>
    <w:rsid w:val="00931834"/>
    <w:rsid w:val="009327BA"/>
    <w:rsid w:val="009362ED"/>
    <w:rsid w:val="00940C4F"/>
    <w:rsid w:val="00941B75"/>
    <w:rsid w:val="00944B70"/>
    <w:rsid w:val="00946542"/>
    <w:rsid w:val="0095039D"/>
    <w:rsid w:val="00951098"/>
    <w:rsid w:val="00951858"/>
    <w:rsid w:val="009544DF"/>
    <w:rsid w:val="00960664"/>
    <w:rsid w:val="009615ED"/>
    <w:rsid w:val="009618D7"/>
    <w:rsid w:val="0096256D"/>
    <w:rsid w:val="00962CB4"/>
    <w:rsid w:val="00963A77"/>
    <w:rsid w:val="00964A37"/>
    <w:rsid w:val="009718CB"/>
    <w:rsid w:val="00972C9A"/>
    <w:rsid w:val="00974E8E"/>
    <w:rsid w:val="00976750"/>
    <w:rsid w:val="00976B88"/>
    <w:rsid w:val="0097712A"/>
    <w:rsid w:val="0097763B"/>
    <w:rsid w:val="00986FFF"/>
    <w:rsid w:val="00990122"/>
    <w:rsid w:val="009914BF"/>
    <w:rsid w:val="00991C4C"/>
    <w:rsid w:val="009928AB"/>
    <w:rsid w:val="00992B0B"/>
    <w:rsid w:val="009948CA"/>
    <w:rsid w:val="0099610B"/>
    <w:rsid w:val="00997300"/>
    <w:rsid w:val="009A11F4"/>
    <w:rsid w:val="009A1E5C"/>
    <w:rsid w:val="009A606D"/>
    <w:rsid w:val="009A6446"/>
    <w:rsid w:val="009B4EEF"/>
    <w:rsid w:val="009B7C30"/>
    <w:rsid w:val="009C009A"/>
    <w:rsid w:val="009C05C8"/>
    <w:rsid w:val="009C395B"/>
    <w:rsid w:val="009C3AB9"/>
    <w:rsid w:val="009C7B34"/>
    <w:rsid w:val="009E1200"/>
    <w:rsid w:val="009E5FD2"/>
    <w:rsid w:val="009E7050"/>
    <w:rsid w:val="009F0110"/>
    <w:rsid w:val="009F0A59"/>
    <w:rsid w:val="009F1576"/>
    <w:rsid w:val="009F3097"/>
    <w:rsid w:val="009F3672"/>
    <w:rsid w:val="009F5ABE"/>
    <w:rsid w:val="009F6CDB"/>
    <w:rsid w:val="00A00163"/>
    <w:rsid w:val="00A0411B"/>
    <w:rsid w:val="00A05620"/>
    <w:rsid w:val="00A05DA5"/>
    <w:rsid w:val="00A061CD"/>
    <w:rsid w:val="00A072A9"/>
    <w:rsid w:val="00A1150E"/>
    <w:rsid w:val="00A14B96"/>
    <w:rsid w:val="00A159BB"/>
    <w:rsid w:val="00A16A50"/>
    <w:rsid w:val="00A16F2A"/>
    <w:rsid w:val="00A179E8"/>
    <w:rsid w:val="00A31714"/>
    <w:rsid w:val="00A33A38"/>
    <w:rsid w:val="00A41EE0"/>
    <w:rsid w:val="00A438D6"/>
    <w:rsid w:val="00A4474B"/>
    <w:rsid w:val="00A473CC"/>
    <w:rsid w:val="00A507EA"/>
    <w:rsid w:val="00A509EC"/>
    <w:rsid w:val="00A50E21"/>
    <w:rsid w:val="00A54130"/>
    <w:rsid w:val="00A55B1A"/>
    <w:rsid w:val="00A60626"/>
    <w:rsid w:val="00A61EB3"/>
    <w:rsid w:val="00A63D75"/>
    <w:rsid w:val="00A64E27"/>
    <w:rsid w:val="00A64F6A"/>
    <w:rsid w:val="00A66544"/>
    <w:rsid w:val="00A67E07"/>
    <w:rsid w:val="00A73CE1"/>
    <w:rsid w:val="00A74F99"/>
    <w:rsid w:val="00A81D35"/>
    <w:rsid w:val="00A83EEB"/>
    <w:rsid w:val="00A842A6"/>
    <w:rsid w:val="00A849EF"/>
    <w:rsid w:val="00A85745"/>
    <w:rsid w:val="00A87D97"/>
    <w:rsid w:val="00A93138"/>
    <w:rsid w:val="00AA1C26"/>
    <w:rsid w:val="00AA66A8"/>
    <w:rsid w:val="00AA6A81"/>
    <w:rsid w:val="00AA7FCB"/>
    <w:rsid w:val="00AB64D6"/>
    <w:rsid w:val="00AB65F4"/>
    <w:rsid w:val="00AC0B65"/>
    <w:rsid w:val="00AC13F5"/>
    <w:rsid w:val="00AC34EE"/>
    <w:rsid w:val="00AC4B5D"/>
    <w:rsid w:val="00AD143C"/>
    <w:rsid w:val="00AD280F"/>
    <w:rsid w:val="00AD7E6C"/>
    <w:rsid w:val="00AE104A"/>
    <w:rsid w:val="00AE2DA5"/>
    <w:rsid w:val="00AE6F2B"/>
    <w:rsid w:val="00AF07D3"/>
    <w:rsid w:val="00AF247A"/>
    <w:rsid w:val="00AF29D7"/>
    <w:rsid w:val="00AF3778"/>
    <w:rsid w:val="00AF696F"/>
    <w:rsid w:val="00B0106C"/>
    <w:rsid w:val="00B022DC"/>
    <w:rsid w:val="00B02A92"/>
    <w:rsid w:val="00B0332F"/>
    <w:rsid w:val="00B052A9"/>
    <w:rsid w:val="00B06754"/>
    <w:rsid w:val="00B13188"/>
    <w:rsid w:val="00B1329F"/>
    <w:rsid w:val="00B13F45"/>
    <w:rsid w:val="00B17258"/>
    <w:rsid w:val="00B20EE8"/>
    <w:rsid w:val="00B23012"/>
    <w:rsid w:val="00B25FB7"/>
    <w:rsid w:val="00B275B1"/>
    <w:rsid w:val="00B313AF"/>
    <w:rsid w:val="00B328B5"/>
    <w:rsid w:val="00B329A3"/>
    <w:rsid w:val="00B339F6"/>
    <w:rsid w:val="00B344D3"/>
    <w:rsid w:val="00B34585"/>
    <w:rsid w:val="00B345D5"/>
    <w:rsid w:val="00B34CB7"/>
    <w:rsid w:val="00B351B8"/>
    <w:rsid w:val="00B351BD"/>
    <w:rsid w:val="00B37798"/>
    <w:rsid w:val="00B4063A"/>
    <w:rsid w:val="00B40D61"/>
    <w:rsid w:val="00B41D76"/>
    <w:rsid w:val="00B43059"/>
    <w:rsid w:val="00B4467C"/>
    <w:rsid w:val="00B4521E"/>
    <w:rsid w:val="00B45825"/>
    <w:rsid w:val="00B45880"/>
    <w:rsid w:val="00B47ACF"/>
    <w:rsid w:val="00B517C5"/>
    <w:rsid w:val="00B52926"/>
    <w:rsid w:val="00B56AF6"/>
    <w:rsid w:val="00B6134E"/>
    <w:rsid w:val="00B6138D"/>
    <w:rsid w:val="00B613B8"/>
    <w:rsid w:val="00B62EE8"/>
    <w:rsid w:val="00B632E0"/>
    <w:rsid w:val="00B70466"/>
    <w:rsid w:val="00B74BB6"/>
    <w:rsid w:val="00B75947"/>
    <w:rsid w:val="00B7617F"/>
    <w:rsid w:val="00B8237B"/>
    <w:rsid w:val="00B82F86"/>
    <w:rsid w:val="00B853A5"/>
    <w:rsid w:val="00B911BA"/>
    <w:rsid w:val="00B926E9"/>
    <w:rsid w:val="00B92EC4"/>
    <w:rsid w:val="00BA1AF9"/>
    <w:rsid w:val="00BA3057"/>
    <w:rsid w:val="00BA30FB"/>
    <w:rsid w:val="00BB1FFE"/>
    <w:rsid w:val="00BB572C"/>
    <w:rsid w:val="00BB7FE8"/>
    <w:rsid w:val="00BC1205"/>
    <w:rsid w:val="00BC172B"/>
    <w:rsid w:val="00BC21F8"/>
    <w:rsid w:val="00BC3CDC"/>
    <w:rsid w:val="00BC3D15"/>
    <w:rsid w:val="00BC4075"/>
    <w:rsid w:val="00BC4F19"/>
    <w:rsid w:val="00BC643A"/>
    <w:rsid w:val="00BC6CA9"/>
    <w:rsid w:val="00BD2F4B"/>
    <w:rsid w:val="00BD4186"/>
    <w:rsid w:val="00BD5651"/>
    <w:rsid w:val="00BD60BB"/>
    <w:rsid w:val="00BD62B3"/>
    <w:rsid w:val="00BD7057"/>
    <w:rsid w:val="00BE11D7"/>
    <w:rsid w:val="00BE26A7"/>
    <w:rsid w:val="00BE400F"/>
    <w:rsid w:val="00BE5BF5"/>
    <w:rsid w:val="00BE690A"/>
    <w:rsid w:val="00BF1F50"/>
    <w:rsid w:val="00BF7A53"/>
    <w:rsid w:val="00C0035A"/>
    <w:rsid w:val="00C009E9"/>
    <w:rsid w:val="00C02545"/>
    <w:rsid w:val="00C06332"/>
    <w:rsid w:val="00C10A4C"/>
    <w:rsid w:val="00C119E1"/>
    <w:rsid w:val="00C131BB"/>
    <w:rsid w:val="00C15CE6"/>
    <w:rsid w:val="00C16316"/>
    <w:rsid w:val="00C16B69"/>
    <w:rsid w:val="00C22043"/>
    <w:rsid w:val="00C267EC"/>
    <w:rsid w:val="00C27442"/>
    <w:rsid w:val="00C3356F"/>
    <w:rsid w:val="00C42B74"/>
    <w:rsid w:val="00C45CA5"/>
    <w:rsid w:val="00C46618"/>
    <w:rsid w:val="00C5192C"/>
    <w:rsid w:val="00C51FAE"/>
    <w:rsid w:val="00C523AA"/>
    <w:rsid w:val="00C5377E"/>
    <w:rsid w:val="00C5423E"/>
    <w:rsid w:val="00C544BA"/>
    <w:rsid w:val="00C57C12"/>
    <w:rsid w:val="00C605C3"/>
    <w:rsid w:val="00C65C84"/>
    <w:rsid w:val="00C66D50"/>
    <w:rsid w:val="00C67896"/>
    <w:rsid w:val="00C728B6"/>
    <w:rsid w:val="00C729EA"/>
    <w:rsid w:val="00C72C8F"/>
    <w:rsid w:val="00C73B80"/>
    <w:rsid w:val="00C7486E"/>
    <w:rsid w:val="00C7657F"/>
    <w:rsid w:val="00C8177B"/>
    <w:rsid w:val="00C81EF4"/>
    <w:rsid w:val="00C82F7B"/>
    <w:rsid w:val="00C860ED"/>
    <w:rsid w:val="00C861A0"/>
    <w:rsid w:val="00C86ACE"/>
    <w:rsid w:val="00C86D3E"/>
    <w:rsid w:val="00C904EC"/>
    <w:rsid w:val="00C94C06"/>
    <w:rsid w:val="00C9600F"/>
    <w:rsid w:val="00CA3DAF"/>
    <w:rsid w:val="00CA3E9C"/>
    <w:rsid w:val="00CA513A"/>
    <w:rsid w:val="00CB215A"/>
    <w:rsid w:val="00CB2871"/>
    <w:rsid w:val="00CB3EFA"/>
    <w:rsid w:val="00CC0245"/>
    <w:rsid w:val="00CC2D17"/>
    <w:rsid w:val="00CC367E"/>
    <w:rsid w:val="00CC37DA"/>
    <w:rsid w:val="00CC62D6"/>
    <w:rsid w:val="00CC6C67"/>
    <w:rsid w:val="00CC6C77"/>
    <w:rsid w:val="00CD0A76"/>
    <w:rsid w:val="00CD31D6"/>
    <w:rsid w:val="00CD3D95"/>
    <w:rsid w:val="00CD55EC"/>
    <w:rsid w:val="00CD7A78"/>
    <w:rsid w:val="00CE08D9"/>
    <w:rsid w:val="00CE4FD4"/>
    <w:rsid w:val="00CE606A"/>
    <w:rsid w:val="00CE7244"/>
    <w:rsid w:val="00CE733B"/>
    <w:rsid w:val="00CF0B63"/>
    <w:rsid w:val="00CF212D"/>
    <w:rsid w:val="00D0275A"/>
    <w:rsid w:val="00D02956"/>
    <w:rsid w:val="00D03641"/>
    <w:rsid w:val="00D03898"/>
    <w:rsid w:val="00D03B1A"/>
    <w:rsid w:val="00D05F91"/>
    <w:rsid w:val="00D1077B"/>
    <w:rsid w:val="00D13D39"/>
    <w:rsid w:val="00D17E9E"/>
    <w:rsid w:val="00D21104"/>
    <w:rsid w:val="00D21500"/>
    <w:rsid w:val="00D22FCC"/>
    <w:rsid w:val="00D250E7"/>
    <w:rsid w:val="00D330A0"/>
    <w:rsid w:val="00D331FB"/>
    <w:rsid w:val="00D36E0D"/>
    <w:rsid w:val="00D41454"/>
    <w:rsid w:val="00D454FC"/>
    <w:rsid w:val="00D46F02"/>
    <w:rsid w:val="00D523AA"/>
    <w:rsid w:val="00D52851"/>
    <w:rsid w:val="00D57EAB"/>
    <w:rsid w:val="00D606DF"/>
    <w:rsid w:val="00D62212"/>
    <w:rsid w:val="00D65352"/>
    <w:rsid w:val="00D720CB"/>
    <w:rsid w:val="00D73A8F"/>
    <w:rsid w:val="00D742BE"/>
    <w:rsid w:val="00D74FFB"/>
    <w:rsid w:val="00D7511B"/>
    <w:rsid w:val="00D80E8D"/>
    <w:rsid w:val="00D82151"/>
    <w:rsid w:val="00D82D24"/>
    <w:rsid w:val="00D82E88"/>
    <w:rsid w:val="00D8357F"/>
    <w:rsid w:val="00D84F3D"/>
    <w:rsid w:val="00D86544"/>
    <w:rsid w:val="00D8713E"/>
    <w:rsid w:val="00D87F72"/>
    <w:rsid w:val="00D956BE"/>
    <w:rsid w:val="00D963CC"/>
    <w:rsid w:val="00D96D6B"/>
    <w:rsid w:val="00D973EF"/>
    <w:rsid w:val="00D97C93"/>
    <w:rsid w:val="00DA18CE"/>
    <w:rsid w:val="00DA2A2F"/>
    <w:rsid w:val="00DA3F58"/>
    <w:rsid w:val="00DA6936"/>
    <w:rsid w:val="00DA75A1"/>
    <w:rsid w:val="00DB0465"/>
    <w:rsid w:val="00DB1F04"/>
    <w:rsid w:val="00DB2249"/>
    <w:rsid w:val="00DB49BD"/>
    <w:rsid w:val="00DC1ADD"/>
    <w:rsid w:val="00DC430B"/>
    <w:rsid w:val="00DC44F9"/>
    <w:rsid w:val="00DC47E0"/>
    <w:rsid w:val="00DC4E68"/>
    <w:rsid w:val="00DC57B4"/>
    <w:rsid w:val="00DC5E83"/>
    <w:rsid w:val="00DD01F6"/>
    <w:rsid w:val="00DD13B6"/>
    <w:rsid w:val="00DD1D21"/>
    <w:rsid w:val="00DD2ECA"/>
    <w:rsid w:val="00DD4D8B"/>
    <w:rsid w:val="00DD75D8"/>
    <w:rsid w:val="00DE126F"/>
    <w:rsid w:val="00DE6EDF"/>
    <w:rsid w:val="00DF12BD"/>
    <w:rsid w:val="00DF45BC"/>
    <w:rsid w:val="00DF4B22"/>
    <w:rsid w:val="00DF5532"/>
    <w:rsid w:val="00DF55FC"/>
    <w:rsid w:val="00DF70C4"/>
    <w:rsid w:val="00E02903"/>
    <w:rsid w:val="00E03348"/>
    <w:rsid w:val="00E065A4"/>
    <w:rsid w:val="00E07DA2"/>
    <w:rsid w:val="00E10834"/>
    <w:rsid w:val="00E10E14"/>
    <w:rsid w:val="00E137D2"/>
    <w:rsid w:val="00E14C9A"/>
    <w:rsid w:val="00E157B4"/>
    <w:rsid w:val="00E15B65"/>
    <w:rsid w:val="00E164EF"/>
    <w:rsid w:val="00E208D2"/>
    <w:rsid w:val="00E21E00"/>
    <w:rsid w:val="00E24C9F"/>
    <w:rsid w:val="00E27663"/>
    <w:rsid w:val="00E3307C"/>
    <w:rsid w:val="00E34DD3"/>
    <w:rsid w:val="00E34ED5"/>
    <w:rsid w:val="00E3560C"/>
    <w:rsid w:val="00E40F6A"/>
    <w:rsid w:val="00E42153"/>
    <w:rsid w:val="00E44E9A"/>
    <w:rsid w:val="00E46D9D"/>
    <w:rsid w:val="00E501AA"/>
    <w:rsid w:val="00E55C6F"/>
    <w:rsid w:val="00E61169"/>
    <w:rsid w:val="00E628E5"/>
    <w:rsid w:val="00E62A3A"/>
    <w:rsid w:val="00E62A8D"/>
    <w:rsid w:val="00E657B4"/>
    <w:rsid w:val="00E65CFD"/>
    <w:rsid w:val="00E67EFD"/>
    <w:rsid w:val="00E70C27"/>
    <w:rsid w:val="00E724FB"/>
    <w:rsid w:val="00E75914"/>
    <w:rsid w:val="00E7626C"/>
    <w:rsid w:val="00E76484"/>
    <w:rsid w:val="00E764DB"/>
    <w:rsid w:val="00E768DF"/>
    <w:rsid w:val="00E770D0"/>
    <w:rsid w:val="00E817BD"/>
    <w:rsid w:val="00E821EE"/>
    <w:rsid w:val="00E82826"/>
    <w:rsid w:val="00E8402B"/>
    <w:rsid w:val="00E84179"/>
    <w:rsid w:val="00E912FD"/>
    <w:rsid w:val="00E92DB8"/>
    <w:rsid w:val="00E93838"/>
    <w:rsid w:val="00E93920"/>
    <w:rsid w:val="00E95F5C"/>
    <w:rsid w:val="00E974EF"/>
    <w:rsid w:val="00EA385C"/>
    <w:rsid w:val="00EA518C"/>
    <w:rsid w:val="00EA7290"/>
    <w:rsid w:val="00EA75E6"/>
    <w:rsid w:val="00EB0654"/>
    <w:rsid w:val="00EB147D"/>
    <w:rsid w:val="00EB23D5"/>
    <w:rsid w:val="00EB537B"/>
    <w:rsid w:val="00EB62D4"/>
    <w:rsid w:val="00EC1F5E"/>
    <w:rsid w:val="00ED0CFD"/>
    <w:rsid w:val="00ED336C"/>
    <w:rsid w:val="00ED5CB1"/>
    <w:rsid w:val="00ED7D11"/>
    <w:rsid w:val="00EE2F9A"/>
    <w:rsid w:val="00EE3272"/>
    <w:rsid w:val="00EF07A2"/>
    <w:rsid w:val="00EF177B"/>
    <w:rsid w:val="00EF2A81"/>
    <w:rsid w:val="00EF36C8"/>
    <w:rsid w:val="00EF4065"/>
    <w:rsid w:val="00EF5191"/>
    <w:rsid w:val="00EF53E6"/>
    <w:rsid w:val="00F009C8"/>
    <w:rsid w:val="00F01566"/>
    <w:rsid w:val="00F01EAD"/>
    <w:rsid w:val="00F04146"/>
    <w:rsid w:val="00F112F3"/>
    <w:rsid w:val="00F125A1"/>
    <w:rsid w:val="00F13431"/>
    <w:rsid w:val="00F1414E"/>
    <w:rsid w:val="00F147BA"/>
    <w:rsid w:val="00F15A1D"/>
    <w:rsid w:val="00F16A63"/>
    <w:rsid w:val="00F20D1D"/>
    <w:rsid w:val="00F21346"/>
    <w:rsid w:val="00F234A2"/>
    <w:rsid w:val="00F24699"/>
    <w:rsid w:val="00F25CE9"/>
    <w:rsid w:val="00F2704A"/>
    <w:rsid w:val="00F3098F"/>
    <w:rsid w:val="00F31205"/>
    <w:rsid w:val="00F323E5"/>
    <w:rsid w:val="00F342F3"/>
    <w:rsid w:val="00F355E7"/>
    <w:rsid w:val="00F41719"/>
    <w:rsid w:val="00F4280C"/>
    <w:rsid w:val="00F435E4"/>
    <w:rsid w:val="00F44906"/>
    <w:rsid w:val="00F46C55"/>
    <w:rsid w:val="00F529CE"/>
    <w:rsid w:val="00F567AF"/>
    <w:rsid w:val="00F627A5"/>
    <w:rsid w:val="00F62DE1"/>
    <w:rsid w:val="00F636D2"/>
    <w:rsid w:val="00F657BA"/>
    <w:rsid w:val="00F65BE3"/>
    <w:rsid w:val="00F72427"/>
    <w:rsid w:val="00F76020"/>
    <w:rsid w:val="00F76BEC"/>
    <w:rsid w:val="00F80DC5"/>
    <w:rsid w:val="00F82CB1"/>
    <w:rsid w:val="00F837A7"/>
    <w:rsid w:val="00F84F6B"/>
    <w:rsid w:val="00F861ED"/>
    <w:rsid w:val="00F87607"/>
    <w:rsid w:val="00F917CF"/>
    <w:rsid w:val="00F937B9"/>
    <w:rsid w:val="00F94AA0"/>
    <w:rsid w:val="00FA0A1E"/>
    <w:rsid w:val="00FA5259"/>
    <w:rsid w:val="00FB5345"/>
    <w:rsid w:val="00FC0E0F"/>
    <w:rsid w:val="00FC2F1E"/>
    <w:rsid w:val="00FC3EB3"/>
    <w:rsid w:val="00FC4100"/>
    <w:rsid w:val="00FC6236"/>
    <w:rsid w:val="00FD72E9"/>
    <w:rsid w:val="00FD7DE8"/>
    <w:rsid w:val="00FE25E4"/>
    <w:rsid w:val="00FE7D34"/>
    <w:rsid w:val="00FF0040"/>
    <w:rsid w:val="00FF44F3"/>
    <w:rsid w:val="00FF46EE"/>
    <w:rsid w:val="00FF7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35823C19-CAAD-4CA6-8E6A-F457E05A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5E4"/>
    <w:pPr>
      <w:spacing w:after="0" w:line="240" w:lineRule="auto"/>
    </w:pPr>
    <w:rPr>
      <w:sz w:val="24"/>
      <w:szCs w:val="20"/>
      <w:lang w:eastAsia="en-US"/>
    </w:rPr>
  </w:style>
  <w:style w:type="paragraph" w:styleId="Heading1">
    <w:name w:val="heading 1"/>
    <w:basedOn w:val="Normal"/>
    <w:next w:val="Normal"/>
    <w:link w:val="Heading1Char"/>
    <w:uiPriority w:val="99"/>
    <w:qFormat/>
    <w:rsid w:val="00C46618"/>
    <w:pPr>
      <w:keepNext/>
      <w:numPr>
        <w:numId w:val="1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46618"/>
    <w:pPr>
      <w:keepNext/>
      <w:numPr>
        <w:ilvl w:val="1"/>
        <w:numId w:val="1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46618"/>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71187"/>
    <w:pPr>
      <w:keepNext/>
      <w:numPr>
        <w:ilvl w:val="3"/>
        <w:numId w:val="11"/>
      </w:numPr>
      <w:spacing w:before="240" w:after="60"/>
      <w:outlineLvl w:val="3"/>
    </w:pPr>
    <w:rPr>
      <w:b/>
      <w:bCs/>
      <w:sz w:val="28"/>
      <w:szCs w:val="28"/>
    </w:rPr>
  </w:style>
  <w:style w:type="paragraph" w:styleId="Heading5">
    <w:name w:val="heading 5"/>
    <w:basedOn w:val="Normal"/>
    <w:next w:val="Normal"/>
    <w:link w:val="Heading5Char"/>
    <w:uiPriority w:val="99"/>
    <w:qFormat/>
    <w:rsid w:val="00571187"/>
    <w:pPr>
      <w:numPr>
        <w:ilvl w:val="4"/>
        <w:numId w:val="11"/>
      </w:numPr>
      <w:spacing w:before="240" w:after="60"/>
      <w:outlineLvl w:val="4"/>
    </w:pPr>
    <w:rPr>
      <w:b/>
      <w:bCs/>
      <w:i/>
      <w:iCs/>
      <w:sz w:val="26"/>
      <w:szCs w:val="26"/>
    </w:rPr>
  </w:style>
  <w:style w:type="paragraph" w:styleId="Heading6">
    <w:name w:val="heading 6"/>
    <w:basedOn w:val="Normal"/>
    <w:next w:val="Normal"/>
    <w:link w:val="Heading6Char"/>
    <w:uiPriority w:val="99"/>
    <w:qFormat/>
    <w:rsid w:val="00571187"/>
    <w:pPr>
      <w:numPr>
        <w:ilvl w:val="5"/>
        <w:numId w:val="11"/>
      </w:numPr>
      <w:spacing w:before="240" w:after="60"/>
      <w:outlineLvl w:val="5"/>
    </w:pPr>
    <w:rPr>
      <w:b/>
      <w:bCs/>
      <w:sz w:val="22"/>
      <w:szCs w:val="22"/>
    </w:rPr>
  </w:style>
  <w:style w:type="paragraph" w:styleId="Heading7">
    <w:name w:val="heading 7"/>
    <w:basedOn w:val="Normal"/>
    <w:next w:val="Normal"/>
    <w:link w:val="Heading7Char"/>
    <w:uiPriority w:val="99"/>
    <w:qFormat/>
    <w:rsid w:val="00C46618"/>
    <w:pPr>
      <w:numPr>
        <w:ilvl w:val="6"/>
        <w:numId w:val="11"/>
      </w:numPr>
      <w:spacing w:before="240" w:after="60"/>
      <w:outlineLvl w:val="6"/>
    </w:pPr>
    <w:rPr>
      <w:szCs w:val="24"/>
    </w:rPr>
  </w:style>
  <w:style w:type="paragraph" w:styleId="Heading8">
    <w:name w:val="heading 8"/>
    <w:basedOn w:val="Normal"/>
    <w:next w:val="Normal"/>
    <w:link w:val="Heading8Char"/>
    <w:uiPriority w:val="99"/>
    <w:qFormat/>
    <w:rsid w:val="00571187"/>
    <w:pPr>
      <w:numPr>
        <w:ilvl w:val="7"/>
        <w:numId w:val="11"/>
      </w:numPr>
      <w:spacing w:before="240" w:after="60"/>
      <w:outlineLvl w:val="7"/>
    </w:pPr>
    <w:rPr>
      <w:i/>
      <w:iCs/>
      <w:szCs w:val="24"/>
    </w:rPr>
  </w:style>
  <w:style w:type="paragraph" w:styleId="Heading9">
    <w:name w:val="heading 9"/>
    <w:basedOn w:val="Normal"/>
    <w:next w:val="Normal"/>
    <w:link w:val="Heading9Char"/>
    <w:uiPriority w:val="99"/>
    <w:qFormat/>
    <w:rsid w:val="00571187"/>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24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BC172B"/>
    <w:rPr>
      <w:rFonts w:ascii="Arial" w:hAnsi="Arial" w:cs="Arial"/>
      <w:b/>
      <w:bCs/>
      <w:i/>
      <w:iCs/>
      <w:sz w:val="28"/>
      <w:szCs w:val="28"/>
      <w:lang w:val="en-AU" w:eastAsia="en-US" w:bidi="ar-SA"/>
    </w:rPr>
  </w:style>
  <w:style w:type="character" w:customStyle="1" w:styleId="Heading3Char">
    <w:name w:val="Heading 3 Char"/>
    <w:basedOn w:val="DefaultParagraphFont"/>
    <w:link w:val="Heading3"/>
    <w:uiPriority w:val="99"/>
    <w:locked/>
    <w:rsid w:val="001614C9"/>
    <w:rPr>
      <w:rFonts w:ascii="Arial" w:hAnsi="Arial" w:cs="Arial"/>
      <w:b/>
      <w:bCs/>
      <w:sz w:val="26"/>
      <w:szCs w:val="26"/>
      <w:lang w:val="en-AU" w:eastAsia="en-US" w:bidi="ar-SA"/>
    </w:rPr>
  </w:style>
  <w:style w:type="character" w:customStyle="1" w:styleId="Heading4Char">
    <w:name w:val="Heading 4 Char"/>
    <w:basedOn w:val="DefaultParagraphFont"/>
    <w:link w:val="Heading4"/>
    <w:uiPriority w:val="9"/>
    <w:semiHidden/>
    <w:rsid w:val="005A224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A224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A224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5A224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5A224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5A224F"/>
    <w:rPr>
      <w:rFonts w:asciiTheme="majorHAnsi" w:eastAsiaTheme="majorEastAsia" w:hAnsiTheme="majorHAnsi" w:cstheme="majorBidi"/>
      <w:lang w:eastAsia="en-US"/>
    </w:rPr>
  </w:style>
  <w:style w:type="paragraph" w:styleId="Header">
    <w:name w:val="header"/>
    <w:basedOn w:val="Normal"/>
    <w:link w:val="HeaderChar"/>
    <w:uiPriority w:val="99"/>
    <w:rsid w:val="005A224F"/>
    <w:pPr>
      <w:tabs>
        <w:tab w:val="center" w:pos="4153"/>
        <w:tab w:val="right" w:pos="8306"/>
      </w:tabs>
    </w:pPr>
  </w:style>
  <w:style w:type="character" w:customStyle="1" w:styleId="HeaderChar">
    <w:name w:val="Header Char"/>
    <w:basedOn w:val="DefaultParagraphFont"/>
    <w:link w:val="Header"/>
    <w:uiPriority w:val="99"/>
    <w:semiHidden/>
    <w:rsid w:val="005A224F"/>
    <w:rPr>
      <w:sz w:val="24"/>
      <w:szCs w:val="20"/>
      <w:lang w:eastAsia="en-US"/>
    </w:rPr>
  </w:style>
  <w:style w:type="paragraph" w:styleId="Footer">
    <w:name w:val="footer"/>
    <w:basedOn w:val="Normal"/>
    <w:link w:val="FooterChar"/>
    <w:uiPriority w:val="99"/>
    <w:rsid w:val="005A224F"/>
    <w:pPr>
      <w:tabs>
        <w:tab w:val="center" w:pos="4153"/>
        <w:tab w:val="right" w:pos="8306"/>
      </w:tabs>
    </w:pPr>
  </w:style>
  <w:style w:type="character" w:customStyle="1" w:styleId="FooterChar">
    <w:name w:val="Footer Char"/>
    <w:basedOn w:val="DefaultParagraphFont"/>
    <w:link w:val="Footer"/>
    <w:uiPriority w:val="99"/>
    <w:semiHidden/>
    <w:rsid w:val="005A224F"/>
    <w:rPr>
      <w:sz w:val="24"/>
      <w:szCs w:val="20"/>
      <w:lang w:eastAsia="en-US"/>
    </w:rPr>
  </w:style>
  <w:style w:type="character" w:styleId="PageNumber">
    <w:name w:val="page number"/>
    <w:basedOn w:val="DefaultParagraphFont"/>
    <w:uiPriority w:val="99"/>
    <w:rsid w:val="005A224F"/>
    <w:rPr>
      <w:rFonts w:cs="Times New Roman"/>
    </w:rPr>
  </w:style>
  <w:style w:type="paragraph" w:customStyle="1" w:styleId="Heading10">
    <w:name w:val="Heading_1"/>
    <w:basedOn w:val="Normal"/>
    <w:uiPriority w:val="99"/>
    <w:rsid w:val="005A224F"/>
    <w:rPr>
      <w:b/>
    </w:rPr>
  </w:style>
  <w:style w:type="paragraph" w:customStyle="1" w:styleId="OutlineNumbering">
    <w:name w:val="Outline Numbering"/>
    <w:basedOn w:val="Normal"/>
    <w:uiPriority w:val="99"/>
    <w:rsid w:val="005A224F"/>
    <w:pPr>
      <w:numPr>
        <w:numId w:val="5"/>
      </w:numPr>
      <w:tabs>
        <w:tab w:val="clear" w:pos="360"/>
        <w:tab w:val="left" w:pos="720"/>
      </w:tabs>
      <w:spacing w:after="280"/>
    </w:pPr>
  </w:style>
  <w:style w:type="character" w:customStyle="1" w:styleId="Subjecttext">
    <w:name w:val="Subject_text"/>
    <w:uiPriority w:val="99"/>
    <w:rsid w:val="005A224F"/>
    <w:rPr>
      <w:b/>
    </w:rPr>
  </w:style>
  <w:style w:type="paragraph" w:customStyle="1" w:styleId="text">
    <w:name w:val="text"/>
    <w:basedOn w:val="Normal"/>
    <w:uiPriority w:val="99"/>
    <w:rsid w:val="005A224F"/>
  </w:style>
  <w:style w:type="paragraph" w:customStyle="1" w:styleId="nonumber">
    <w:name w:val="no_number"/>
    <w:basedOn w:val="Normal"/>
    <w:next w:val="numberlist"/>
    <w:uiPriority w:val="99"/>
    <w:rsid w:val="005A224F"/>
    <w:pPr>
      <w:spacing w:after="120"/>
    </w:pPr>
  </w:style>
  <w:style w:type="paragraph" w:customStyle="1" w:styleId="numberlist">
    <w:name w:val="number_list"/>
    <w:basedOn w:val="nonumber"/>
    <w:uiPriority w:val="99"/>
    <w:rsid w:val="005A224F"/>
    <w:pPr>
      <w:numPr>
        <w:numId w:val="4"/>
      </w:numPr>
      <w:tabs>
        <w:tab w:val="clear" w:pos="360"/>
        <w:tab w:val="num" w:pos="851"/>
      </w:tabs>
    </w:pPr>
  </w:style>
  <w:style w:type="paragraph" w:customStyle="1" w:styleId="colonpoint">
    <w:name w:val="colon point"/>
    <w:basedOn w:val="Normal"/>
    <w:uiPriority w:val="99"/>
    <w:rsid w:val="005A224F"/>
    <w:pPr>
      <w:numPr>
        <w:numId w:val="1"/>
      </w:numPr>
      <w:tabs>
        <w:tab w:val="clear" w:pos="360"/>
        <w:tab w:val="num" w:pos="2552"/>
      </w:tabs>
      <w:spacing w:after="120"/>
      <w:ind w:left="2552" w:hanging="851"/>
    </w:pPr>
  </w:style>
  <w:style w:type="paragraph" w:customStyle="1" w:styleId="dotpoint">
    <w:name w:val="dot_point"/>
    <w:basedOn w:val="Normal"/>
    <w:uiPriority w:val="99"/>
    <w:rsid w:val="005A224F"/>
    <w:pPr>
      <w:numPr>
        <w:numId w:val="3"/>
      </w:numPr>
      <w:tabs>
        <w:tab w:val="clear" w:pos="360"/>
        <w:tab w:val="num" w:pos="851"/>
      </w:tabs>
      <w:spacing w:after="120"/>
      <w:ind w:left="851" w:hanging="851"/>
    </w:pPr>
  </w:style>
  <w:style w:type="character" w:styleId="Hyperlink">
    <w:name w:val="Hyperlink"/>
    <w:basedOn w:val="DefaultParagraphFont"/>
    <w:uiPriority w:val="99"/>
    <w:rsid w:val="00972C9A"/>
    <w:rPr>
      <w:rFonts w:cs="Times New Roman"/>
      <w:color w:val="0000FF"/>
      <w:u w:val="single"/>
    </w:rPr>
  </w:style>
  <w:style w:type="paragraph" w:customStyle="1" w:styleId="dashpoint">
    <w:name w:val="dash_point"/>
    <w:basedOn w:val="Normal"/>
    <w:uiPriority w:val="99"/>
    <w:rsid w:val="005A224F"/>
    <w:pPr>
      <w:numPr>
        <w:numId w:val="2"/>
      </w:numPr>
      <w:tabs>
        <w:tab w:val="clear" w:pos="360"/>
        <w:tab w:val="num" w:pos="1701"/>
      </w:tabs>
      <w:spacing w:after="120"/>
      <w:ind w:left="1702" w:hanging="851"/>
    </w:pPr>
  </w:style>
  <w:style w:type="paragraph" w:customStyle="1" w:styleId="cc">
    <w:name w:val="cc"/>
    <w:basedOn w:val="Header"/>
    <w:uiPriority w:val="99"/>
    <w:rsid w:val="005A224F"/>
    <w:pPr>
      <w:tabs>
        <w:tab w:val="clear" w:pos="4153"/>
        <w:tab w:val="clear" w:pos="8306"/>
        <w:tab w:val="left" w:pos="1134"/>
      </w:tabs>
    </w:pPr>
    <w:rPr>
      <w:b/>
    </w:rPr>
  </w:style>
  <w:style w:type="paragraph" w:styleId="BalloonText">
    <w:name w:val="Balloon Text"/>
    <w:basedOn w:val="Normal"/>
    <w:link w:val="BalloonTextChar"/>
    <w:uiPriority w:val="99"/>
    <w:semiHidden/>
    <w:rsid w:val="0041390B"/>
    <w:rPr>
      <w:rFonts w:ascii="Tahoma" w:hAnsi="Tahoma" w:cs="Tahoma"/>
      <w:sz w:val="16"/>
      <w:szCs w:val="16"/>
    </w:rPr>
  </w:style>
  <w:style w:type="character" w:customStyle="1" w:styleId="BalloonTextChar">
    <w:name w:val="Balloon Text Char"/>
    <w:basedOn w:val="DefaultParagraphFont"/>
    <w:link w:val="BalloonText"/>
    <w:uiPriority w:val="99"/>
    <w:semiHidden/>
    <w:rsid w:val="005A224F"/>
    <w:rPr>
      <w:rFonts w:ascii="Tahoma" w:hAnsi="Tahoma" w:cs="Tahoma"/>
      <w:sz w:val="16"/>
      <w:szCs w:val="16"/>
      <w:lang w:eastAsia="en-US"/>
    </w:rPr>
  </w:style>
  <w:style w:type="paragraph" w:styleId="TOC1">
    <w:name w:val="toc 1"/>
    <w:basedOn w:val="Normal"/>
    <w:next w:val="Normal"/>
    <w:autoRedefine/>
    <w:uiPriority w:val="99"/>
    <w:semiHidden/>
    <w:rsid w:val="006B4A68"/>
    <w:pPr>
      <w:spacing w:before="360"/>
    </w:pPr>
    <w:rPr>
      <w:rFonts w:cs="Arial"/>
      <w:b/>
      <w:bCs/>
      <w:caps/>
      <w:szCs w:val="24"/>
    </w:rPr>
  </w:style>
  <w:style w:type="paragraph" w:styleId="TOC2">
    <w:name w:val="toc 2"/>
    <w:basedOn w:val="Normal"/>
    <w:next w:val="Normal"/>
    <w:autoRedefine/>
    <w:uiPriority w:val="99"/>
    <w:semiHidden/>
    <w:rsid w:val="00F01566"/>
    <w:pPr>
      <w:spacing w:before="240" w:line="360" w:lineRule="auto"/>
    </w:pPr>
    <w:rPr>
      <w:b/>
      <w:bCs/>
    </w:rPr>
  </w:style>
  <w:style w:type="table" w:styleId="TableGrid">
    <w:name w:val="Table Grid"/>
    <w:basedOn w:val="TableNormal"/>
    <w:uiPriority w:val="99"/>
    <w:rsid w:val="000104A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715047"/>
    <w:rPr>
      <w:b/>
      <w:bCs/>
      <w:sz w:val="20"/>
    </w:rPr>
  </w:style>
  <w:style w:type="paragraph" w:styleId="TableofFigures">
    <w:name w:val="table of figures"/>
    <w:basedOn w:val="Normal"/>
    <w:next w:val="Normal"/>
    <w:uiPriority w:val="99"/>
    <w:semiHidden/>
    <w:rsid w:val="00875094"/>
  </w:style>
  <w:style w:type="paragraph" w:customStyle="1" w:styleId="Default">
    <w:name w:val="Default"/>
    <w:uiPriority w:val="99"/>
    <w:rsid w:val="00595DEF"/>
    <w:pPr>
      <w:autoSpaceDE w:val="0"/>
      <w:autoSpaceDN w:val="0"/>
      <w:adjustRightInd w:val="0"/>
      <w:spacing w:after="0" w:line="240" w:lineRule="auto"/>
    </w:pPr>
    <w:rPr>
      <w:rFonts w:ascii="Tahoma" w:hAnsi="Tahoma" w:cs="Tahoma"/>
      <w:color w:val="000000"/>
      <w:sz w:val="24"/>
      <w:szCs w:val="24"/>
    </w:rPr>
  </w:style>
  <w:style w:type="paragraph" w:customStyle="1" w:styleId="xl24">
    <w:name w:val="xl24"/>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6"/>
      <w:szCs w:val="16"/>
      <w:lang w:eastAsia="en-AU"/>
    </w:rPr>
  </w:style>
  <w:style w:type="paragraph" w:customStyle="1" w:styleId="xl25">
    <w:name w:val="xl25"/>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eastAsia="en-AU"/>
    </w:rPr>
  </w:style>
  <w:style w:type="paragraph" w:customStyle="1" w:styleId="xl26">
    <w:name w:val="xl26"/>
    <w:basedOn w:val="Normal"/>
    <w:uiPriority w:val="99"/>
    <w:rsid w:val="007B1F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eastAsia="en-AU"/>
    </w:rPr>
  </w:style>
  <w:style w:type="paragraph" w:customStyle="1" w:styleId="xl27">
    <w:name w:val="xl27"/>
    <w:basedOn w:val="Normal"/>
    <w:uiPriority w:val="99"/>
    <w:rsid w:val="007B1FBB"/>
    <w:pPr>
      <w:pBdr>
        <w:top w:val="single" w:sz="4" w:space="0" w:color="auto"/>
        <w:bottom w:val="single" w:sz="4" w:space="0" w:color="auto"/>
      </w:pBdr>
      <w:spacing w:before="100" w:beforeAutospacing="1" w:after="100" w:afterAutospacing="1"/>
      <w:jc w:val="center"/>
    </w:pPr>
    <w:rPr>
      <w:rFonts w:ascii="Tahoma" w:hAnsi="Tahoma" w:cs="Tahoma"/>
      <w:sz w:val="16"/>
      <w:szCs w:val="16"/>
      <w:lang w:eastAsia="en-AU"/>
    </w:rPr>
  </w:style>
  <w:style w:type="paragraph" w:customStyle="1" w:styleId="xl28">
    <w:name w:val="xl28"/>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lang w:eastAsia="en-AU"/>
    </w:rPr>
  </w:style>
  <w:style w:type="paragraph" w:customStyle="1" w:styleId="xl29">
    <w:name w:val="xl29"/>
    <w:basedOn w:val="Normal"/>
    <w:uiPriority w:val="99"/>
    <w:rsid w:val="007B1FBB"/>
    <w:pPr>
      <w:spacing w:before="100" w:beforeAutospacing="1" w:after="100" w:afterAutospacing="1"/>
    </w:pPr>
    <w:rPr>
      <w:rFonts w:ascii="Tahoma" w:hAnsi="Tahoma" w:cs="Tahoma"/>
      <w:sz w:val="16"/>
      <w:szCs w:val="16"/>
      <w:lang w:eastAsia="en-AU"/>
    </w:rPr>
  </w:style>
  <w:style w:type="paragraph" w:customStyle="1" w:styleId="xl30">
    <w:name w:val="xl30"/>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n-AU"/>
    </w:rPr>
  </w:style>
  <w:style w:type="paragraph" w:customStyle="1" w:styleId="xl31">
    <w:name w:val="xl31"/>
    <w:basedOn w:val="Normal"/>
    <w:uiPriority w:val="99"/>
    <w:rsid w:val="007B1F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ahoma" w:hAnsi="Tahoma" w:cs="Tahoma"/>
      <w:sz w:val="16"/>
      <w:szCs w:val="16"/>
      <w:lang w:eastAsia="en-AU"/>
    </w:rPr>
  </w:style>
  <w:style w:type="paragraph" w:customStyle="1" w:styleId="xl32">
    <w:name w:val="xl32"/>
    <w:basedOn w:val="Normal"/>
    <w:uiPriority w:val="99"/>
    <w:rsid w:val="007B1FBB"/>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sz w:val="16"/>
      <w:szCs w:val="16"/>
      <w:lang w:eastAsia="en-AU"/>
    </w:rPr>
  </w:style>
  <w:style w:type="paragraph" w:customStyle="1" w:styleId="xl33">
    <w:name w:val="xl33"/>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eastAsia="en-AU"/>
    </w:rPr>
  </w:style>
  <w:style w:type="paragraph" w:customStyle="1" w:styleId="xl34">
    <w:name w:val="xl34"/>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n-AU"/>
    </w:rPr>
  </w:style>
  <w:style w:type="paragraph" w:customStyle="1" w:styleId="xl35">
    <w:name w:val="xl35"/>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n-AU"/>
    </w:rPr>
  </w:style>
  <w:style w:type="paragraph" w:customStyle="1" w:styleId="xl36">
    <w:name w:val="xl36"/>
    <w:basedOn w:val="Normal"/>
    <w:uiPriority w:val="99"/>
    <w:rsid w:val="007B1FBB"/>
    <w:pPr>
      <w:shd w:val="clear" w:color="auto" w:fill="FFFF00"/>
      <w:spacing w:before="100" w:beforeAutospacing="1" w:after="100" w:afterAutospacing="1"/>
    </w:pPr>
    <w:rPr>
      <w:rFonts w:ascii="Tahoma" w:hAnsi="Tahoma" w:cs="Tahoma"/>
      <w:sz w:val="16"/>
      <w:szCs w:val="16"/>
      <w:lang w:eastAsia="en-AU"/>
    </w:rPr>
  </w:style>
  <w:style w:type="paragraph" w:customStyle="1" w:styleId="xl37">
    <w:name w:val="xl37"/>
    <w:basedOn w:val="Normal"/>
    <w:uiPriority w:val="99"/>
    <w:rsid w:val="007B1F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Tahoma"/>
      <w:sz w:val="16"/>
      <w:szCs w:val="16"/>
      <w:lang w:eastAsia="en-AU"/>
    </w:rPr>
  </w:style>
  <w:style w:type="paragraph" w:customStyle="1" w:styleId="xl38">
    <w:name w:val="xl38"/>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6"/>
      <w:szCs w:val="16"/>
      <w:lang w:eastAsia="en-AU"/>
    </w:rPr>
  </w:style>
  <w:style w:type="paragraph" w:customStyle="1" w:styleId="xl39">
    <w:name w:val="xl39"/>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eastAsia="en-AU"/>
    </w:rPr>
  </w:style>
  <w:style w:type="paragraph" w:customStyle="1" w:styleId="deep">
    <w:name w:val="deep"/>
    <w:basedOn w:val="Normal"/>
    <w:uiPriority w:val="99"/>
    <w:rsid w:val="00C904EC"/>
    <w:pPr>
      <w:spacing w:before="100" w:beforeAutospacing="1" w:after="100" w:afterAutospacing="1"/>
    </w:pPr>
    <w:rPr>
      <w:b/>
      <w:bCs/>
      <w:sz w:val="32"/>
      <w:szCs w:val="32"/>
      <w:lang w:eastAsia="en-AU"/>
    </w:rPr>
  </w:style>
  <w:style w:type="character" w:styleId="Strong">
    <w:name w:val="Strong"/>
    <w:basedOn w:val="DefaultParagraphFont"/>
    <w:uiPriority w:val="99"/>
    <w:qFormat/>
    <w:rsid w:val="00C904EC"/>
    <w:rPr>
      <w:rFonts w:cs="Times New Roman"/>
      <w:b/>
      <w:bCs/>
    </w:rPr>
  </w:style>
  <w:style w:type="paragraph" w:customStyle="1" w:styleId="Performanceinformation-summary">
    <w:name w:val="Performance information - summary"/>
    <w:basedOn w:val="Normal"/>
    <w:uiPriority w:val="99"/>
    <w:rsid w:val="00CE733B"/>
    <w:pPr>
      <w:numPr>
        <w:numId w:val="6"/>
      </w:numPr>
    </w:pPr>
    <w:rPr>
      <w:szCs w:val="24"/>
      <w:lang w:eastAsia="en-AU"/>
    </w:rPr>
  </w:style>
  <w:style w:type="paragraph" w:styleId="FootnoteText">
    <w:name w:val="footnote text"/>
    <w:basedOn w:val="Normal"/>
    <w:link w:val="FootnoteTextChar"/>
    <w:uiPriority w:val="99"/>
    <w:rsid w:val="00CE733B"/>
    <w:rPr>
      <w:sz w:val="20"/>
      <w:lang w:eastAsia="en-AU"/>
    </w:rPr>
  </w:style>
  <w:style w:type="character" w:customStyle="1" w:styleId="FootnoteTextChar">
    <w:name w:val="Footnote Text Char"/>
    <w:basedOn w:val="DefaultParagraphFont"/>
    <w:link w:val="FootnoteText"/>
    <w:uiPriority w:val="99"/>
    <w:locked/>
    <w:rsid w:val="009F0A59"/>
    <w:rPr>
      <w:rFonts w:cs="Times New Roman"/>
      <w:lang w:val="en-AU" w:eastAsia="en-AU" w:bidi="ar-SA"/>
    </w:rPr>
  </w:style>
  <w:style w:type="character" w:styleId="FootnoteReference">
    <w:name w:val="footnote reference"/>
    <w:basedOn w:val="DefaultParagraphFont"/>
    <w:uiPriority w:val="99"/>
    <w:semiHidden/>
    <w:rsid w:val="00CE733B"/>
    <w:rPr>
      <w:rFonts w:cs="Times New Roman"/>
      <w:vertAlign w:val="superscript"/>
    </w:rPr>
  </w:style>
  <w:style w:type="character" w:styleId="Emphasis">
    <w:name w:val="Emphasis"/>
    <w:uiPriority w:val="99"/>
    <w:qFormat/>
    <w:rsid w:val="00CC62D6"/>
    <w:rPr>
      <w:rFonts w:ascii="Tahoma" w:hAnsi="Tahoma" w:cs="Tahoma"/>
      <w:i/>
      <w:sz w:val="22"/>
      <w:szCs w:val="22"/>
    </w:rPr>
  </w:style>
  <w:style w:type="paragraph" w:styleId="NormalWeb">
    <w:name w:val="Normal (Web)"/>
    <w:basedOn w:val="Normal"/>
    <w:uiPriority w:val="99"/>
    <w:rsid w:val="001F2836"/>
    <w:pPr>
      <w:spacing w:before="100" w:beforeAutospacing="1" w:after="100" w:afterAutospacing="1"/>
    </w:pPr>
    <w:rPr>
      <w:szCs w:val="24"/>
      <w:lang w:eastAsia="en-AU"/>
    </w:rPr>
  </w:style>
  <w:style w:type="paragraph" w:customStyle="1" w:styleId="Style1">
    <w:name w:val="Style1"/>
    <w:basedOn w:val="TOC1"/>
    <w:uiPriority w:val="99"/>
    <w:rsid w:val="001614C9"/>
    <w:rPr>
      <w:rFonts w:cs="Tahoma"/>
      <w:b w:val="0"/>
      <w:sz w:val="22"/>
      <w:szCs w:val="22"/>
    </w:rPr>
  </w:style>
  <w:style w:type="paragraph" w:styleId="TOC4">
    <w:name w:val="toc 4"/>
    <w:basedOn w:val="Normal"/>
    <w:next w:val="Normal"/>
    <w:autoRedefine/>
    <w:uiPriority w:val="99"/>
    <w:semiHidden/>
    <w:rsid w:val="00692578"/>
    <w:pPr>
      <w:ind w:left="480"/>
    </w:pPr>
    <w:rPr>
      <w:sz w:val="20"/>
    </w:rPr>
  </w:style>
  <w:style w:type="paragraph" w:styleId="TOC3">
    <w:name w:val="toc 3"/>
    <w:basedOn w:val="Normal"/>
    <w:next w:val="Normal"/>
    <w:autoRedefine/>
    <w:uiPriority w:val="99"/>
    <w:semiHidden/>
    <w:rsid w:val="00F01566"/>
    <w:pPr>
      <w:spacing w:line="360" w:lineRule="auto"/>
      <w:ind w:left="240"/>
    </w:pPr>
  </w:style>
  <w:style w:type="paragraph" w:styleId="TOC5">
    <w:name w:val="toc 5"/>
    <w:basedOn w:val="Normal"/>
    <w:next w:val="Normal"/>
    <w:autoRedefine/>
    <w:uiPriority w:val="99"/>
    <w:semiHidden/>
    <w:rsid w:val="00692578"/>
    <w:pPr>
      <w:ind w:left="720"/>
    </w:pPr>
    <w:rPr>
      <w:sz w:val="20"/>
    </w:rPr>
  </w:style>
  <w:style w:type="paragraph" w:styleId="TOC6">
    <w:name w:val="toc 6"/>
    <w:basedOn w:val="Normal"/>
    <w:next w:val="Normal"/>
    <w:autoRedefine/>
    <w:uiPriority w:val="99"/>
    <w:semiHidden/>
    <w:rsid w:val="00692578"/>
    <w:pPr>
      <w:ind w:left="960"/>
    </w:pPr>
    <w:rPr>
      <w:sz w:val="20"/>
    </w:rPr>
  </w:style>
  <w:style w:type="paragraph" w:styleId="TOC7">
    <w:name w:val="toc 7"/>
    <w:basedOn w:val="Normal"/>
    <w:next w:val="Normal"/>
    <w:autoRedefine/>
    <w:uiPriority w:val="99"/>
    <w:semiHidden/>
    <w:rsid w:val="00692578"/>
    <w:pPr>
      <w:ind w:left="1200"/>
    </w:pPr>
    <w:rPr>
      <w:sz w:val="20"/>
    </w:rPr>
  </w:style>
  <w:style w:type="paragraph" w:styleId="TOC8">
    <w:name w:val="toc 8"/>
    <w:basedOn w:val="Normal"/>
    <w:next w:val="Normal"/>
    <w:autoRedefine/>
    <w:uiPriority w:val="99"/>
    <w:semiHidden/>
    <w:rsid w:val="00692578"/>
    <w:pPr>
      <w:ind w:left="1440"/>
    </w:pPr>
    <w:rPr>
      <w:sz w:val="20"/>
    </w:rPr>
  </w:style>
  <w:style w:type="paragraph" w:styleId="TOC9">
    <w:name w:val="toc 9"/>
    <w:basedOn w:val="Normal"/>
    <w:next w:val="Normal"/>
    <w:autoRedefine/>
    <w:uiPriority w:val="99"/>
    <w:semiHidden/>
    <w:rsid w:val="00692578"/>
    <w:pPr>
      <w:ind w:left="1680"/>
    </w:pPr>
    <w:rPr>
      <w:sz w:val="20"/>
    </w:rPr>
  </w:style>
  <w:style w:type="character" w:styleId="CommentReference">
    <w:name w:val="annotation reference"/>
    <w:basedOn w:val="DefaultParagraphFont"/>
    <w:uiPriority w:val="99"/>
    <w:semiHidden/>
    <w:rsid w:val="0042069B"/>
    <w:rPr>
      <w:rFonts w:cs="Times New Roman"/>
      <w:sz w:val="16"/>
      <w:szCs w:val="16"/>
    </w:rPr>
  </w:style>
  <w:style w:type="paragraph" w:styleId="CommentText">
    <w:name w:val="annotation text"/>
    <w:basedOn w:val="Normal"/>
    <w:link w:val="CommentTextChar"/>
    <w:uiPriority w:val="99"/>
    <w:semiHidden/>
    <w:rsid w:val="0042069B"/>
    <w:rPr>
      <w:sz w:val="20"/>
    </w:rPr>
  </w:style>
  <w:style w:type="character" w:customStyle="1" w:styleId="CommentTextChar">
    <w:name w:val="Comment Text Char"/>
    <w:basedOn w:val="DefaultParagraphFont"/>
    <w:link w:val="CommentText"/>
    <w:uiPriority w:val="99"/>
    <w:semiHidden/>
    <w:rsid w:val="005A224F"/>
    <w:rPr>
      <w:sz w:val="20"/>
      <w:szCs w:val="20"/>
      <w:lang w:eastAsia="en-US"/>
    </w:rPr>
  </w:style>
  <w:style w:type="paragraph" w:styleId="CommentSubject">
    <w:name w:val="annotation subject"/>
    <w:basedOn w:val="CommentText"/>
    <w:next w:val="CommentText"/>
    <w:link w:val="CommentSubjectChar"/>
    <w:uiPriority w:val="99"/>
    <w:semiHidden/>
    <w:rsid w:val="0042069B"/>
    <w:rPr>
      <w:b/>
      <w:bCs/>
    </w:rPr>
  </w:style>
  <w:style w:type="character" w:customStyle="1" w:styleId="CommentSubjectChar">
    <w:name w:val="Comment Subject Char"/>
    <w:basedOn w:val="CommentTextChar"/>
    <w:link w:val="CommentSubject"/>
    <w:uiPriority w:val="99"/>
    <w:semiHidden/>
    <w:rsid w:val="005A224F"/>
    <w:rPr>
      <w:b/>
      <w:bCs/>
      <w:sz w:val="20"/>
      <w:szCs w:val="20"/>
      <w:lang w:eastAsia="en-US"/>
    </w:rPr>
  </w:style>
  <w:style w:type="paragraph" w:styleId="BodyText">
    <w:name w:val="Body Text"/>
    <w:basedOn w:val="Normal"/>
    <w:link w:val="BodyTextChar"/>
    <w:uiPriority w:val="99"/>
    <w:rsid w:val="00717762"/>
    <w:pPr>
      <w:spacing w:after="120"/>
    </w:pPr>
  </w:style>
  <w:style w:type="character" w:customStyle="1" w:styleId="BodyTextChar">
    <w:name w:val="Body Text Char"/>
    <w:basedOn w:val="DefaultParagraphFont"/>
    <w:link w:val="BodyText"/>
    <w:uiPriority w:val="99"/>
    <w:semiHidden/>
    <w:rsid w:val="005A224F"/>
    <w:rPr>
      <w:sz w:val="24"/>
      <w:szCs w:val="20"/>
      <w:lang w:eastAsia="en-US"/>
    </w:rPr>
  </w:style>
  <w:style w:type="paragraph" w:customStyle="1" w:styleId="BodyTexta">
    <w:name w:val="Body Text (a)"/>
    <w:basedOn w:val="Default"/>
    <w:next w:val="Default"/>
    <w:uiPriority w:val="99"/>
    <w:rsid w:val="00016989"/>
    <w:rPr>
      <w:rFonts w:ascii="GFFCKC+Arial" w:hAnsi="GFFCKC+Arial" w:cs="Times New Roman"/>
      <w:color w:val="auto"/>
    </w:rPr>
  </w:style>
  <w:style w:type="paragraph" w:customStyle="1" w:styleId="Style2">
    <w:name w:val="Style2"/>
    <w:basedOn w:val="BodyText"/>
    <w:next w:val="Heading1"/>
    <w:uiPriority w:val="99"/>
    <w:rsid w:val="00C7657F"/>
    <w:pPr>
      <w:spacing w:before="120"/>
      <w:jc w:val="center"/>
    </w:pPr>
    <w:rPr>
      <w:rFonts w:ascii="Arial" w:hAnsi="Arial" w:cs="Arial"/>
      <w:b/>
      <w:sz w:val="32"/>
      <w:szCs w:val="32"/>
    </w:rPr>
  </w:style>
  <w:style w:type="paragraph" w:styleId="Title">
    <w:name w:val="Title"/>
    <w:basedOn w:val="Normal"/>
    <w:next w:val="Normal"/>
    <w:link w:val="TitleChar"/>
    <w:uiPriority w:val="10"/>
    <w:qFormat/>
    <w:rsid w:val="006C1AF2"/>
    <w:pPr>
      <w:jc w:val="center"/>
    </w:pPr>
    <w:rPr>
      <w:rFonts w:ascii="Tahoma" w:hAnsi="Tahoma" w:cs="Tahoma"/>
      <w:b/>
      <w:sz w:val="40"/>
      <w:szCs w:val="40"/>
    </w:rPr>
  </w:style>
  <w:style w:type="character" w:customStyle="1" w:styleId="TitleChar">
    <w:name w:val="Title Char"/>
    <w:basedOn w:val="DefaultParagraphFont"/>
    <w:link w:val="Title"/>
    <w:uiPriority w:val="10"/>
    <w:rsid w:val="006C1AF2"/>
    <w:rPr>
      <w:rFonts w:ascii="Tahoma" w:hAnsi="Tahoma" w:cs="Tahoma"/>
      <w:b/>
      <w:sz w:val="40"/>
      <w:szCs w:val="40"/>
      <w:lang w:eastAsia="en-US"/>
    </w:rPr>
  </w:style>
  <w:style w:type="paragraph" w:styleId="ListParagraph">
    <w:name w:val="List Paragraph"/>
    <w:basedOn w:val="Normal"/>
    <w:uiPriority w:val="34"/>
    <w:qFormat/>
    <w:rsid w:val="00FE25E4"/>
    <w:pPr>
      <w:ind w:left="720"/>
      <w:contextualSpacing/>
    </w:pPr>
  </w:style>
  <w:style w:type="paragraph" w:styleId="Subtitle">
    <w:name w:val="Subtitle"/>
    <w:basedOn w:val="Normal"/>
    <w:next w:val="Normal"/>
    <w:link w:val="SubtitleChar"/>
    <w:uiPriority w:val="11"/>
    <w:qFormat/>
    <w:rsid w:val="001D5C20"/>
    <w:pPr>
      <w:jc w:val="center"/>
    </w:pPr>
    <w:rPr>
      <w:rFonts w:ascii="Tahoma" w:hAnsi="Tahoma" w:cs="Tahoma"/>
      <w:sz w:val="36"/>
      <w:szCs w:val="36"/>
    </w:rPr>
  </w:style>
  <w:style w:type="character" w:customStyle="1" w:styleId="SubtitleChar">
    <w:name w:val="Subtitle Char"/>
    <w:basedOn w:val="DefaultParagraphFont"/>
    <w:link w:val="Subtitle"/>
    <w:uiPriority w:val="11"/>
    <w:rsid w:val="001D5C20"/>
    <w:rPr>
      <w:rFonts w:ascii="Tahoma" w:hAnsi="Tahoma" w:cs="Tahoma"/>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274219">
      <w:marLeft w:val="0"/>
      <w:marRight w:val="0"/>
      <w:marTop w:val="0"/>
      <w:marBottom w:val="0"/>
      <w:divBdr>
        <w:top w:val="none" w:sz="0" w:space="0" w:color="auto"/>
        <w:left w:val="none" w:sz="0" w:space="0" w:color="auto"/>
        <w:bottom w:val="none" w:sz="0" w:space="0" w:color="auto"/>
        <w:right w:val="none" w:sz="0" w:space="0" w:color="auto"/>
      </w:divBdr>
    </w:div>
    <w:div w:id="1071274221">
      <w:marLeft w:val="0"/>
      <w:marRight w:val="0"/>
      <w:marTop w:val="0"/>
      <w:marBottom w:val="0"/>
      <w:divBdr>
        <w:top w:val="none" w:sz="0" w:space="0" w:color="auto"/>
        <w:left w:val="none" w:sz="0" w:space="0" w:color="auto"/>
        <w:bottom w:val="none" w:sz="0" w:space="0" w:color="auto"/>
        <w:right w:val="none" w:sz="0" w:space="0" w:color="auto"/>
      </w:divBdr>
      <w:divsChild>
        <w:div w:id="1071274220">
          <w:marLeft w:val="0"/>
          <w:marRight w:val="0"/>
          <w:marTop w:val="0"/>
          <w:marBottom w:val="0"/>
          <w:divBdr>
            <w:top w:val="none" w:sz="0" w:space="0" w:color="auto"/>
            <w:left w:val="none" w:sz="0" w:space="0" w:color="auto"/>
            <w:bottom w:val="none" w:sz="0" w:space="0" w:color="auto"/>
            <w:right w:val="none" w:sz="0" w:space="0" w:color="auto"/>
          </w:divBdr>
          <w:divsChild>
            <w:div w:id="1071274271">
              <w:marLeft w:val="0"/>
              <w:marRight w:val="0"/>
              <w:marTop w:val="0"/>
              <w:marBottom w:val="0"/>
              <w:divBdr>
                <w:top w:val="none" w:sz="0" w:space="0" w:color="auto"/>
                <w:left w:val="none" w:sz="0" w:space="0" w:color="auto"/>
                <w:bottom w:val="none" w:sz="0" w:space="0" w:color="auto"/>
                <w:right w:val="none" w:sz="0" w:space="0" w:color="auto"/>
              </w:divBdr>
              <w:divsChild>
                <w:div w:id="10712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74222">
      <w:marLeft w:val="0"/>
      <w:marRight w:val="0"/>
      <w:marTop w:val="0"/>
      <w:marBottom w:val="0"/>
      <w:divBdr>
        <w:top w:val="none" w:sz="0" w:space="0" w:color="auto"/>
        <w:left w:val="none" w:sz="0" w:space="0" w:color="auto"/>
        <w:bottom w:val="none" w:sz="0" w:space="0" w:color="auto"/>
        <w:right w:val="none" w:sz="0" w:space="0" w:color="auto"/>
      </w:divBdr>
    </w:div>
    <w:div w:id="1071274223">
      <w:marLeft w:val="0"/>
      <w:marRight w:val="0"/>
      <w:marTop w:val="0"/>
      <w:marBottom w:val="0"/>
      <w:divBdr>
        <w:top w:val="none" w:sz="0" w:space="0" w:color="auto"/>
        <w:left w:val="none" w:sz="0" w:space="0" w:color="auto"/>
        <w:bottom w:val="none" w:sz="0" w:space="0" w:color="auto"/>
        <w:right w:val="none" w:sz="0" w:space="0" w:color="auto"/>
      </w:divBdr>
    </w:div>
    <w:div w:id="1071274224">
      <w:marLeft w:val="0"/>
      <w:marRight w:val="0"/>
      <w:marTop w:val="0"/>
      <w:marBottom w:val="0"/>
      <w:divBdr>
        <w:top w:val="none" w:sz="0" w:space="0" w:color="auto"/>
        <w:left w:val="none" w:sz="0" w:space="0" w:color="auto"/>
        <w:bottom w:val="none" w:sz="0" w:space="0" w:color="auto"/>
        <w:right w:val="none" w:sz="0" w:space="0" w:color="auto"/>
      </w:divBdr>
    </w:div>
    <w:div w:id="1071274225">
      <w:marLeft w:val="0"/>
      <w:marRight w:val="0"/>
      <w:marTop w:val="0"/>
      <w:marBottom w:val="0"/>
      <w:divBdr>
        <w:top w:val="none" w:sz="0" w:space="0" w:color="auto"/>
        <w:left w:val="none" w:sz="0" w:space="0" w:color="auto"/>
        <w:bottom w:val="none" w:sz="0" w:space="0" w:color="auto"/>
        <w:right w:val="none" w:sz="0" w:space="0" w:color="auto"/>
      </w:divBdr>
    </w:div>
    <w:div w:id="1071274227">
      <w:marLeft w:val="0"/>
      <w:marRight w:val="0"/>
      <w:marTop w:val="0"/>
      <w:marBottom w:val="0"/>
      <w:divBdr>
        <w:top w:val="none" w:sz="0" w:space="0" w:color="auto"/>
        <w:left w:val="none" w:sz="0" w:space="0" w:color="auto"/>
        <w:bottom w:val="none" w:sz="0" w:space="0" w:color="auto"/>
        <w:right w:val="none" w:sz="0" w:space="0" w:color="auto"/>
      </w:divBdr>
    </w:div>
    <w:div w:id="1071274229">
      <w:marLeft w:val="0"/>
      <w:marRight w:val="0"/>
      <w:marTop w:val="0"/>
      <w:marBottom w:val="0"/>
      <w:divBdr>
        <w:top w:val="none" w:sz="0" w:space="0" w:color="auto"/>
        <w:left w:val="none" w:sz="0" w:space="0" w:color="auto"/>
        <w:bottom w:val="none" w:sz="0" w:space="0" w:color="auto"/>
        <w:right w:val="none" w:sz="0" w:space="0" w:color="auto"/>
      </w:divBdr>
    </w:div>
    <w:div w:id="1071274230">
      <w:marLeft w:val="0"/>
      <w:marRight w:val="0"/>
      <w:marTop w:val="0"/>
      <w:marBottom w:val="0"/>
      <w:divBdr>
        <w:top w:val="none" w:sz="0" w:space="0" w:color="auto"/>
        <w:left w:val="none" w:sz="0" w:space="0" w:color="auto"/>
        <w:bottom w:val="none" w:sz="0" w:space="0" w:color="auto"/>
        <w:right w:val="none" w:sz="0" w:space="0" w:color="auto"/>
      </w:divBdr>
    </w:div>
    <w:div w:id="1071274231">
      <w:marLeft w:val="0"/>
      <w:marRight w:val="0"/>
      <w:marTop w:val="0"/>
      <w:marBottom w:val="0"/>
      <w:divBdr>
        <w:top w:val="none" w:sz="0" w:space="0" w:color="auto"/>
        <w:left w:val="none" w:sz="0" w:space="0" w:color="auto"/>
        <w:bottom w:val="none" w:sz="0" w:space="0" w:color="auto"/>
        <w:right w:val="none" w:sz="0" w:space="0" w:color="auto"/>
      </w:divBdr>
    </w:div>
    <w:div w:id="1071274232">
      <w:marLeft w:val="0"/>
      <w:marRight w:val="0"/>
      <w:marTop w:val="0"/>
      <w:marBottom w:val="0"/>
      <w:divBdr>
        <w:top w:val="none" w:sz="0" w:space="0" w:color="auto"/>
        <w:left w:val="none" w:sz="0" w:space="0" w:color="auto"/>
        <w:bottom w:val="none" w:sz="0" w:space="0" w:color="auto"/>
        <w:right w:val="none" w:sz="0" w:space="0" w:color="auto"/>
      </w:divBdr>
    </w:div>
    <w:div w:id="1071274233">
      <w:marLeft w:val="0"/>
      <w:marRight w:val="0"/>
      <w:marTop w:val="0"/>
      <w:marBottom w:val="0"/>
      <w:divBdr>
        <w:top w:val="none" w:sz="0" w:space="0" w:color="auto"/>
        <w:left w:val="none" w:sz="0" w:space="0" w:color="auto"/>
        <w:bottom w:val="none" w:sz="0" w:space="0" w:color="auto"/>
        <w:right w:val="none" w:sz="0" w:space="0" w:color="auto"/>
      </w:divBdr>
    </w:div>
    <w:div w:id="1071274234">
      <w:marLeft w:val="0"/>
      <w:marRight w:val="0"/>
      <w:marTop w:val="0"/>
      <w:marBottom w:val="0"/>
      <w:divBdr>
        <w:top w:val="none" w:sz="0" w:space="0" w:color="auto"/>
        <w:left w:val="none" w:sz="0" w:space="0" w:color="auto"/>
        <w:bottom w:val="none" w:sz="0" w:space="0" w:color="auto"/>
        <w:right w:val="none" w:sz="0" w:space="0" w:color="auto"/>
      </w:divBdr>
    </w:div>
    <w:div w:id="1071274235">
      <w:marLeft w:val="0"/>
      <w:marRight w:val="0"/>
      <w:marTop w:val="0"/>
      <w:marBottom w:val="0"/>
      <w:divBdr>
        <w:top w:val="none" w:sz="0" w:space="0" w:color="auto"/>
        <w:left w:val="none" w:sz="0" w:space="0" w:color="auto"/>
        <w:bottom w:val="none" w:sz="0" w:space="0" w:color="auto"/>
        <w:right w:val="none" w:sz="0" w:space="0" w:color="auto"/>
      </w:divBdr>
    </w:div>
    <w:div w:id="1071274236">
      <w:marLeft w:val="0"/>
      <w:marRight w:val="0"/>
      <w:marTop w:val="0"/>
      <w:marBottom w:val="0"/>
      <w:divBdr>
        <w:top w:val="none" w:sz="0" w:space="0" w:color="auto"/>
        <w:left w:val="none" w:sz="0" w:space="0" w:color="auto"/>
        <w:bottom w:val="none" w:sz="0" w:space="0" w:color="auto"/>
        <w:right w:val="none" w:sz="0" w:space="0" w:color="auto"/>
      </w:divBdr>
      <w:divsChild>
        <w:div w:id="1071274248">
          <w:marLeft w:val="0"/>
          <w:marRight w:val="0"/>
          <w:marTop w:val="0"/>
          <w:marBottom w:val="0"/>
          <w:divBdr>
            <w:top w:val="single" w:sz="6" w:space="0" w:color="678FC2"/>
            <w:left w:val="single" w:sz="6" w:space="0" w:color="678FC2"/>
            <w:bottom w:val="single" w:sz="6" w:space="0" w:color="678FC2"/>
            <w:right w:val="single" w:sz="6" w:space="0" w:color="678FC2"/>
          </w:divBdr>
          <w:divsChild>
            <w:div w:id="1071274265">
              <w:marLeft w:val="0"/>
              <w:marRight w:val="0"/>
              <w:marTop w:val="0"/>
              <w:marBottom w:val="0"/>
              <w:divBdr>
                <w:top w:val="none" w:sz="0" w:space="0" w:color="auto"/>
                <w:left w:val="none" w:sz="0" w:space="0" w:color="auto"/>
                <w:bottom w:val="none" w:sz="0" w:space="0" w:color="auto"/>
                <w:right w:val="none" w:sz="0" w:space="0" w:color="auto"/>
              </w:divBdr>
              <w:divsChild>
                <w:div w:id="1071274244">
                  <w:marLeft w:val="150"/>
                  <w:marRight w:val="150"/>
                  <w:marTop w:val="0"/>
                  <w:marBottom w:val="0"/>
                  <w:divBdr>
                    <w:top w:val="none" w:sz="0" w:space="0" w:color="auto"/>
                    <w:left w:val="none" w:sz="0" w:space="0" w:color="auto"/>
                    <w:bottom w:val="none" w:sz="0" w:space="0" w:color="auto"/>
                    <w:right w:val="none" w:sz="0" w:space="0" w:color="auto"/>
                  </w:divBdr>
                  <w:divsChild>
                    <w:div w:id="1071274247">
                      <w:marLeft w:val="0"/>
                      <w:marRight w:val="0"/>
                      <w:marTop w:val="0"/>
                      <w:marBottom w:val="0"/>
                      <w:divBdr>
                        <w:top w:val="none" w:sz="0" w:space="0" w:color="auto"/>
                        <w:left w:val="none" w:sz="0" w:space="0" w:color="auto"/>
                        <w:bottom w:val="none" w:sz="0" w:space="0" w:color="auto"/>
                        <w:right w:val="none" w:sz="0" w:space="0" w:color="auto"/>
                      </w:divBdr>
                      <w:divsChild>
                        <w:div w:id="1071274256">
                          <w:marLeft w:val="0"/>
                          <w:marRight w:val="0"/>
                          <w:marTop w:val="0"/>
                          <w:marBottom w:val="0"/>
                          <w:divBdr>
                            <w:top w:val="none" w:sz="0" w:space="0" w:color="auto"/>
                            <w:left w:val="none" w:sz="0" w:space="0" w:color="auto"/>
                            <w:bottom w:val="none" w:sz="0" w:space="0" w:color="auto"/>
                            <w:right w:val="none" w:sz="0" w:space="0" w:color="auto"/>
                          </w:divBdr>
                          <w:divsChild>
                            <w:div w:id="1071274228">
                              <w:marLeft w:val="0"/>
                              <w:marRight w:val="0"/>
                              <w:marTop w:val="0"/>
                              <w:marBottom w:val="0"/>
                              <w:divBdr>
                                <w:top w:val="none" w:sz="0" w:space="0" w:color="auto"/>
                                <w:left w:val="none" w:sz="0" w:space="0" w:color="auto"/>
                                <w:bottom w:val="none" w:sz="0" w:space="0" w:color="auto"/>
                                <w:right w:val="none" w:sz="0" w:space="0" w:color="auto"/>
                              </w:divBdr>
                              <w:divsChild>
                                <w:div w:id="1071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4237">
      <w:marLeft w:val="0"/>
      <w:marRight w:val="0"/>
      <w:marTop w:val="0"/>
      <w:marBottom w:val="0"/>
      <w:divBdr>
        <w:top w:val="none" w:sz="0" w:space="0" w:color="auto"/>
        <w:left w:val="none" w:sz="0" w:space="0" w:color="auto"/>
        <w:bottom w:val="none" w:sz="0" w:space="0" w:color="auto"/>
        <w:right w:val="none" w:sz="0" w:space="0" w:color="auto"/>
      </w:divBdr>
    </w:div>
    <w:div w:id="1071274238">
      <w:marLeft w:val="0"/>
      <w:marRight w:val="0"/>
      <w:marTop w:val="0"/>
      <w:marBottom w:val="0"/>
      <w:divBdr>
        <w:top w:val="none" w:sz="0" w:space="0" w:color="auto"/>
        <w:left w:val="none" w:sz="0" w:space="0" w:color="auto"/>
        <w:bottom w:val="none" w:sz="0" w:space="0" w:color="auto"/>
        <w:right w:val="none" w:sz="0" w:space="0" w:color="auto"/>
      </w:divBdr>
    </w:div>
    <w:div w:id="1071274239">
      <w:marLeft w:val="0"/>
      <w:marRight w:val="0"/>
      <w:marTop w:val="0"/>
      <w:marBottom w:val="0"/>
      <w:divBdr>
        <w:top w:val="none" w:sz="0" w:space="0" w:color="auto"/>
        <w:left w:val="none" w:sz="0" w:space="0" w:color="auto"/>
        <w:bottom w:val="none" w:sz="0" w:space="0" w:color="auto"/>
        <w:right w:val="none" w:sz="0" w:space="0" w:color="auto"/>
      </w:divBdr>
    </w:div>
    <w:div w:id="1071274240">
      <w:marLeft w:val="0"/>
      <w:marRight w:val="0"/>
      <w:marTop w:val="0"/>
      <w:marBottom w:val="0"/>
      <w:divBdr>
        <w:top w:val="none" w:sz="0" w:space="0" w:color="auto"/>
        <w:left w:val="none" w:sz="0" w:space="0" w:color="auto"/>
        <w:bottom w:val="none" w:sz="0" w:space="0" w:color="auto"/>
        <w:right w:val="none" w:sz="0" w:space="0" w:color="auto"/>
      </w:divBdr>
    </w:div>
    <w:div w:id="1071274241">
      <w:marLeft w:val="0"/>
      <w:marRight w:val="0"/>
      <w:marTop w:val="0"/>
      <w:marBottom w:val="0"/>
      <w:divBdr>
        <w:top w:val="none" w:sz="0" w:space="0" w:color="auto"/>
        <w:left w:val="none" w:sz="0" w:space="0" w:color="auto"/>
        <w:bottom w:val="none" w:sz="0" w:space="0" w:color="auto"/>
        <w:right w:val="none" w:sz="0" w:space="0" w:color="auto"/>
      </w:divBdr>
    </w:div>
    <w:div w:id="1071274242">
      <w:marLeft w:val="0"/>
      <w:marRight w:val="0"/>
      <w:marTop w:val="0"/>
      <w:marBottom w:val="0"/>
      <w:divBdr>
        <w:top w:val="none" w:sz="0" w:space="0" w:color="auto"/>
        <w:left w:val="none" w:sz="0" w:space="0" w:color="auto"/>
        <w:bottom w:val="none" w:sz="0" w:space="0" w:color="auto"/>
        <w:right w:val="none" w:sz="0" w:space="0" w:color="auto"/>
      </w:divBdr>
    </w:div>
    <w:div w:id="1071274243">
      <w:marLeft w:val="0"/>
      <w:marRight w:val="0"/>
      <w:marTop w:val="0"/>
      <w:marBottom w:val="0"/>
      <w:divBdr>
        <w:top w:val="none" w:sz="0" w:space="0" w:color="auto"/>
        <w:left w:val="none" w:sz="0" w:space="0" w:color="auto"/>
        <w:bottom w:val="none" w:sz="0" w:space="0" w:color="auto"/>
        <w:right w:val="none" w:sz="0" w:space="0" w:color="auto"/>
      </w:divBdr>
    </w:div>
    <w:div w:id="1071274245">
      <w:marLeft w:val="0"/>
      <w:marRight w:val="0"/>
      <w:marTop w:val="0"/>
      <w:marBottom w:val="0"/>
      <w:divBdr>
        <w:top w:val="none" w:sz="0" w:space="0" w:color="auto"/>
        <w:left w:val="none" w:sz="0" w:space="0" w:color="auto"/>
        <w:bottom w:val="none" w:sz="0" w:space="0" w:color="auto"/>
        <w:right w:val="none" w:sz="0" w:space="0" w:color="auto"/>
      </w:divBdr>
    </w:div>
    <w:div w:id="1071274246">
      <w:marLeft w:val="0"/>
      <w:marRight w:val="0"/>
      <w:marTop w:val="0"/>
      <w:marBottom w:val="0"/>
      <w:divBdr>
        <w:top w:val="none" w:sz="0" w:space="0" w:color="auto"/>
        <w:left w:val="none" w:sz="0" w:space="0" w:color="auto"/>
        <w:bottom w:val="none" w:sz="0" w:space="0" w:color="auto"/>
        <w:right w:val="none" w:sz="0" w:space="0" w:color="auto"/>
      </w:divBdr>
    </w:div>
    <w:div w:id="1071274249">
      <w:marLeft w:val="0"/>
      <w:marRight w:val="0"/>
      <w:marTop w:val="0"/>
      <w:marBottom w:val="0"/>
      <w:divBdr>
        <w:top w:val="none" w:sz="0" w:space="0" w:color="auto"/>
        <w:left w:val="none" w:sz="0" w:space="0" w:color="auto"/>
        <w:bottom w:val="none" w:sz="0" w:space="0" w:color="auto"/>
        <w:right w:val="none" w:sz="0" w:space="0" w:color="auto"/>
      </w:divBdr>
    </w:div>
    <w:div w:id="1071274250">
      <w:marLeft w:val="0"/>
      <w:marRight w:val="0"/>
      <w:marTop w:val="0"/>
      <w:marBottom w:val="0"/>
      <w:divBdr>
        <w:top w:val="none" w:sz="0" w:space="0" w:color="auto"/>
        <w:left w:val="none" w:sz="0" w:space="0" w:color="auto"/>
        <w:bottom w:val="none" w:sz="0" w:space="0" w:color="auto"/>
        <w:right w:val="none" w:sz="0" w:space="0" w:color="auto"/>
      </w:divBdr>
    </w:div>
    <w:div w:id="1071274251">
      <w:marLeft w:val="0"/>
      <w:marRight w:val="0"/>
      <w:marTop w:val="0"/>
      <w:marBottom w:val="0"/>
      <w:divBdr>
        <w:top w:val="none" w:sz="0" w:space="0" w:color="auto"/>
        <w:left w:val="none" w:sz="0" w:space="0" w:color="auto"/>
        <w:bottom w:val="none" w:sz="0" w:space="0" w:color="auto"/>
        <w:right w:val="none" w:sz="0" w:space="0" w:color="auto"/>
      </w:divBdr>
    </w:div>
    <w:div w:id="1071274252">
      <w:marLeft w:val="0"/>
      <w:marRight w:val="0"/>
      <w:marTop w:val="0"/>
      <w:marBottom w:val="0"/>
      <w:divBdr>
        <w:top w:val="none" w:sz="0" w:space="0" w:color="auto"/>
        <w:left w:val="none" w:sz="0" w:space="0" w:color="auto"/>
        <w:bottom w:val="none" w:sz="0" w:space="0" w:color="auto"/>
        <w:right w:val="none" w:sz="0" w:space="0" w:color="auto"/>
      </w:divBdr>
    </w:div>
    <w:div w:id="1071274253">
      <w:marLeft w:val="0"/>
      <w:marRight w:val="0"/>
      <w:marTop w:val="0"/>
      <w:marBottom w:val="0"/>
      <w:divBdr>
        <w:top w:val="none" w:sz="0" w:space="0" w:color="auto"/>
        <w:left w:val="none" w:sz="0" w:space="0" w:color="auto"/>
        <w:bottom w:val="none" w:sz="0" w:space="0" w:color="auto"/>
        <w:right w:val="none" w:sz="0" w:space="0" w:color="auto"/>
      </w:divBdr>
    </w:div>
    <w:div w:id="1071274254">
      <w:marLeft w:val="0"/>
      <w:marRight w:val="0"/>
      <w:marTop w:val="0"/>
      <w:marBottom w:val="0"/>
      <w:divBdr>
        <w:top w:val="none" w:sz="0" w:space="0" w:color="auto"/>
        <w:left w:val="none" w:sz="0" w:space="0" w:color="auto"/>
        <w:bottom w:val="none" w:sz="0" w:space="0" w:color="auto"/>
        <w:right w:val="none" w:sz="0" w:space="0" w:color="auto"/>
      </w:divBdr>
    </w:div>
    <w:div w:id="1071274255">
      <w:marLeft w:val="0"/>
      <w:marRight w:val="0"/>
      <w:marTop w:val="0"/>
      <w:marBottom w:val="0"/>
      <w:divBdr>
        <w:top w:val="none" w:sz="0" w:space="0" w:color="auto"/>
        <w:left w:val="none" w:sz="0" w:space="0" w:color="auto"/>
        <w:bottom w:val="none" w:sz="0" w:space="0" w:color="auto"/>
        <w:right w:val="none" w:sz="0" w:space="0" w:color="auto"/>
      </w:divBdr>
    </w:div>
    <w:div w:id="1071274258">
      <w:marLeft w:val="0"/>
      <w:marRight w:val="0"/>
      <w:marTop w:val="0"/>
      <w:marBottom w:val="0"/>
      <w:divBdr>
        <w:top w:val="none" w:sz="0" w:space="0" w:color="auto"/>
        <w:left w:val="none" w:sz="0" w:space="0" w:color="auto"/>
        <w:bottom w:val="none" w:sz="0" w:space="0" w:color="auto"/>
        <w:right w:val="none" w:sz="0" w:space="0" w:color="auto"/>
      </w:divBdr>
    </w:div>
    <w:div w:id="1071274259">
      <w:marLeft w:val="0"/>
      <w:marRight w:val="0"/>
      <w:marTop w:val="0"/>
      <w:marBottom w:val="0"/>
      <w:divBdr>
        <w:top w:val="none" w:sz="0" w:space="0" w:color="auto"/>
        <w:left w:val="none" w:sz="0" w:space="0" w:color="auto"/>
        <w:bottom w:val="none" w:sz="0" w:space="0" w:color="auto"/>
        <w:right w:val="none" w:sz="0" w:space="0" w:color="auto"/>
      </w:divBdr>
    </w:div>
    <w:div w:id="1071274260">
      <w:marLeft w:val="0"/>
      <w:marRight w:val="0"/>
      <w:marTop w:val="0"/>
      <w:marBottom w:val="0"/>
      <w:divBdr>
        <w:top w:val="none" w:sz="0" w:space="0" w:color="auto"/>
        <w:left w:val="none" w:sz="0" w:space="0" w:color="auto"/>
        <w:bottom w:val="none" w:sz="0" w:space="0" w:color="auto"/>
        <w:right w:val="none" w:sz="0" w:space="0" w:color="auto"/>
      </w:divBdr>
    </w:div>
    <w:div w:id="1071274261">
      <w:marLeft w:val="0"/>
      <w:marRight w:val="0"/>
      <w:marTop w:val="0"/>
      <w:marBottom w:val="0"/>
      <w:divBdr>
        <w:top w:val="none" w:sz="0" w:space="0" w:color="auto"/>
        <w:left w:val="none" w:sz="0" w:space="0" w:color="auto"/>
        <w:bottom w:val="none" w:sz="0" w:space="0" w:color="auto"/>
        <w:right w:val="none" w:sz="0" w:space="0" w:color="auto"/>
      </w:divBdr>
    </w:div>
    <w:div w:id="1071274262">
      <w:marLeft w:val="0"/>
      <w:marRight w:val="0"/>
      <w:marTop w:val="0"/>
      <w:marBottom w:val="0"/>
      <w:divBdr>
        <w:top w:val="none" w:sz="0" w:space="0" w:color="auto"/>
        <w:left w:val="none" w:sz="0" w:space="0" w:color="auto"/>
        <w:bottom w:val="none" w:sz="0" w:space="0" w:color="auto"/>
        <w:right w:val="none" w:sz="0" w:space="0" w:color="auto"/>
      </w:divBdr>
    </w:div>
    <w:div w:id="1071274263">
      <w:marLeft w:val="0"/>
      <w:marRight w:val="0"/>
      <w:marTop w:val="0"/>
      <w:marBottom w:val="0"/>
      <w:divBdr>
        <w:top w:val="none" w:sz="0" w:space="0" w:color="auto"/>
        <w:left w:val="none" w:sz="0" w:space="0" w:color="auto"/>
        <w:bottom w:val="none" w:sz="0" w:space="0" w:color="auto"/>
        <w:right w:val="none" w:sz="0" w:space="0" w:color="auto"/>
      </w:divBdr>
    </w:div>
    <w:div w:id="1071274264">
      <w:marLeft w:val="0"/>
      <w:marRight w:val="0"/>
      <w:marTop w:val="0"/>
      <w:marBottom w:val="0"/>
      <w:divBdr>
        <w:top w:val="none" w:sz="0" w:space="0" w:color="auto"/>
        <w:left w:val="none" w:sz="0" w:space="0" w:color="auto"/>
        <w:bottom w:val="none" w:sz="0" w:space="0" w:color="auto"/>
        <w:right w:val="none" w:sz="0" w:space="0" w:color="auto"/>
      </w:divBdr>
    </w:div>
    <w:div w:id="1071274266">
      <w:marLeft w:val="0"/>
      <w:marRight w:val="0"/>
      <w:marTop w:val="0"/>
      <w:marBottom w:val="0"/>
      <w:divBdr>
        <w:top w:val="none" w:sz="0" w:space="0" w:color="auto"/>
        <w:left w:val="none" w:sz="0" w:space="0" w:color="auto"/>
        <w:bottom w:val="none" w:sz="0" w:space="0" w:color="auto"/>
        <w:right w:val="none" w:sz="0" w:space="0" w:color="auto"/>
      </w:divBdr>
    </w:div>
    <w:div w:id="1071274267">
      <w:marLeft w:val="0"/>
      <w:marRight w:val="0"/>
      <w:marTop w:val="0"/>
      <w:marBottom w:val="0"/>
      <w:divBdr>
        <w:top w:val="none" w:sz="0" w:space="0" w:color="auto"/>
        <w:left w:val="none" w:sz="0" w:space="0" w:color="auto"/>
        <w:bottom w:val="none" w:sz="0" w:space="0" w:color="auto"/>
        <w:right w:val="none" w:sz="0" w:space="0" w:color="auto"/>
      </w:divBdr>
    </w:div>
    <w:div w:id="1071274268">
      <w:marLeft w:val="0"/>
      <w:marRight w:val="0"/>
      <w:marTop w:val="0"/>
      <w:marBottom w:val="0"/>
      <w:divBdr>
        <w:top w:val="none" w:sz="0" w:space="0" w:color="auto"/>
        <w:left w:val="none" w:sz="0" w:space="0" w:color="auto"/>
        <w:bottom w:val="none" w:sz="0" w:space="0" w:color="auto"/>
        <w:right w:val="none" w:sz="0" w:space="0" w:color="auto"/>
      </w:divBdr>
    </w:div>
    <w:div w:id="1071274269">
      <w:marLeft w:val="0"/>
      <w:marRight w:val="0"/>
      <w:marTop w:val="0"/>
      <w:marBottom w:val="0"/>
      <w:divBdr>
        <w:top w:val="none" w:sz="0" w:space="0" w:color="auto"/>
        <w:left w:val="none" w:sz="0" w:space="0" w:color="auto"/>
        <w:bottom w:val="none" w:sz="0" w:space="0" w:color="auto"/>
        <w:right w:val="none" w:sz="0" w:space="0" w:color="auto"/>
      </w:divBdr>
    </w:div>
    <w:div w:id="1071274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s\Department\DEWR%20Templates\dewr%20minu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6A129-A43D-4398-A8B0-048C1F5D0A94}">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7B940D-B9F5-4FF8-9A86-B2339A3129A9}">
  <ds:schemaRefs>
    <ds:schemaRef ds:uri="http://schemas.microsoft.com/sharepoint/v3/contenttype/forms"/>
  </ds:schemaRefs>
</ds:datastoreItem>
</file>

<file path=customXml/itemProps3.xml><?xml version="1.0" encoding="utf-8"?>
<ds:datastoreItem xmlns:ds="http://schemas.openxmlformats.org/officeDocument/2006/customXml" ds:itemID="{AD40E747-7808-4581-8C47-28AB8C9FB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E6D2C-C673-494B-B536-FD1FAAA2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dewr minute.dot</Template>
  <TotalTime>0</TotalTime>
  <Pages>12</Pages>
  <Words>3457</Words>
  <Characters>19709</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HARMAN,Graham</dc:creator>
  <cp:lastModifiedBy>ROBSON,Meredith</cp:lastModifiedBy>
  <cp:revision>2</cp:revision>
  <cp:lastPrinted>2009-11-18T01:32:00Z</cp:lastPrinted>
  <dcterms:created xsi:type="dcterms:W3CDTF">2020-03-10T22:13:00Z</dcterms:created>
  <dcterms:modified xsi:type="dcterms:W3CDTF">2020-03-10T22:13:00Z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easeDate">
    <vt:lpwstr>2005-06-30T00:00:00Z</vt:lpwstr>
  </property>
  <property fmtid="{D5CDD505-2E9C-101B-9397-08002B2CF9AE}" pid="3" name="ExpiryDate">
    <vt:lpwstr>2008-02-21T00:00:00Z</vt:lpwstr>
  </property>
  <property fmtid="{D5CDD505-2E9C-101B-9397-08002B2CF9AE}" pid="4" name="OFSC viewing only">
    <vt:lpwstr>yes</vt:lpwstr>
  </property>
  <property fmtid="{D5CDD505-2E9C-101B-9397-08002B2CF9AE}" pid="5" name="Document">
    <vt:lpwstr>Templates</vt:lpwstr>
  </property>
  <property fmtid="{D5CDD505-2E9C-101B-9397-08002B2CF9AE}" pid="6" name="ContentTypeId">
    <vt:lpwstr>0x01010064D00985BFFC5C4888EA7A1112042214</vt:lpwstr>
  </property>
</Properties>
</file>