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89E" w:rsidRDefault="0034789E" w:rsidP="0034789E">
      <w:pPr>
        <w:rPr>
          <w:rFonts w:ascii="Tahoma" w:hAnsi="Tahoma" w:cs="Tahoma"/>
          <w:b/>
          <w:sz w:val="32"/>
          <w:szCs w:val="32"/>
        </w:rPr>
      </w:pPr>
      <w:bookmarkStart w:id="0" w:name="_GoBack"/>
      <w:bookmarkEnd w:id="0"/>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Pr="000C224A" w:rsidRDefault="0034789E" w:rsidP="000C224A">
      <w:pPr>
        <w:pStyle w:val="Title"/>
      </w:pPr>
      <w:r w:rsidRPr="000C224A">
        <w:t>ANALYSIS OF BIANNUAL DATA FROM</w:t>
      </w:r>
    </w:p>
    <w:p w:rsidR="0034789E" w:rsidRPr="000C224A" w:rsidRDefault="0034789E" w:rsidP="000C224A">
      <w:pPr>
        <w:pStyle w:val="Title"/>
      </w:pPr>
      <w:r w:rsidRPr="000C224A">
        <w:t>ACCREDITED CONTRACTORS FOR THE</w:t>
      </w:r>
    </w:p>
    <w:p w:rsidR="0034789E" w:rsidRPr="000C224A" w:rsidRDefault="0034789E" w:rsidP="000C224A">
      <w:pPr>
        <w:pStyle w:val="Title"/>
      </w:pPr>
      <w:r w:rsidRPr="000C224A">
        <w:t>JANUARY TO JUNE 2010</w:t>
      </w:r>
    </w:p>
    <w:p w:rsidR="0034789E" w:rsidRDefault="0034789E" w:rsidP="000C224A">
      <w:pPr>
        <w:pStyle w:val="Title"/>
      </w:pPr>
      <w:r w:rsidRPr="000C224A">
        <w:t>REPORTING PERIOD</w:t>
      </w: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Default="0034789E" w:rsidP="0034789E">
      <w:pPr>
        <w:rPr>
          <w:rFonts w:ascii="Tahoma" w:hAnsi="Tahoma" w:cs="Tahoma"/>
          <w:b/>
          <w:sz w:val="32"/>
          <w:szCs w:val="32"/>
        </w:rPr>
      </w:pPr>
    </w:p>
    <w:p w:rsidR="0034789E" w:rsidRPr="000C224A" w:rsidRDefault="0034789E" w:rsidP="000C224A">
      <w:pPr>
        <w:pStyle w:val="Subtitle"/>
      </w:pPr>
      <w:r w:rsidRPr="000C224A">
        <w:t>Australian Government Building and Construction OHS Accreditation Scheme</w:t>
      </w:r>
    </w:p>
    <w:p w:rsidR="0034789E" w:rsidRDefault="0034789E" w:rsidP="0034789E">
      <w:pPr>
        <w:rPr>
          <w:rFonts w:ascii="Tahoma" w:hAnsi="Tahoma" w:cs="Tahoma"/>
          <w:sz w:val="32"/>
          <w:szCs w:val="32"/>
        </w:rPr>
      </w:pPr>
    </w:p>
    <w:p w:rsidR="0034789E" w:rsidRDefault="0034789E" w:rsidP="0034789E">
      <w:pPr>
        <w:rPr>
          <w:rFonts w:ascii="Tahoma" w:hAnsi="Tahoma" w:cs="Tahoma"/>
          <w:sz w:val="32"/>
          <w:szCs w:val="32"/>
        </w:rPr>
      </w:pPr>
    </w:p>
    <w:p w:rsidR="0034789E" w:rsidRPr="000C224A" w:rsidRDefault="00431FE9" w:rsidP="000C224A">
      <w:pPr>
        <w:pStyle w:val="Subtitle"/>
        <w:rPr>
          <w:sz w:val="32"/>
          <w:szCs w:val="32"/>
        </w:rPr>
      </w:pPr>
      <w:r w:rsidRPr="000C224A">
        <w:rPr>
          <w:sz w:val="32"/>
          <w:szCs w:val="32"/>
        </w:rPr>
        <w:t>January – June 2010</w:t>
      </w:r>
    </w:p>
    <w:p w:rsidR="0034789E" w:rsidRPr="00BC4075" w:rsidRDefault="0034789E" w:rsidP="0034789E">
      <w:pPr>
        <w:rPr>
          <w:rFonts w:ascii="Tahoma" w:hAnsi="Tahoma" w:cs="Tahoma"/>
          <w:sz w:val="22"/>
          <w:szCs w:val="22"/>
        </w:rPr>
      </w:pPr>
    </w:p>
    <w:p w:rsidR="0034789E" w:rsidRDefault="0034789E"/>
    <w:p w:rsidR="0034789E" w:rsidRDefault="0034789E">
      <w:r>
        <w:br w:type="page"/>
      </w:r>
    </w:p>
    <w:p w:rsidR="00272A11" w:rsidRDefault="00272A11"/>
    <w:p w:rsidR="0034789E" w:rsidRDefault="0034789E" w:rsidP="0034789E">
      <w:pPr>
        <w:rPr>
          <w:lang w:val="en-US" w:eastAsia="en-US"/>
        </w:rPr>
      </w:pPr>
    </w:p>
    <w:p w:rsidR="0034789E" w:rsidRDefault="0034789E" w:rsidP="000C224A">
      <w:pPr>
        <w:pStyle w:val="TOCHeading"/>
      </w:pPr>
      <w:r>
        <w:t>Contents</w:t>
      </w:r>
    </w:p>
    <w:p w:rsidR="0034789E" w:rsidRDefault="0034789E" w:rsidP="0034789E">
      <w:pPr>
        <w:rPr>
          <w:lang w:val="en-US" w:eastAsia="en-US"/>
        </w:rPr>
      </w:pPr>
    </w:p>
    <w:p w:rsidR="0034789E" w:rsidRPr="00272A11" w:rsidRDefault="0034789E" w:rsidP="0034789E">
      <w:pPr>
        <w:rPr>
          <w:lang w:val="en-US" w:eastAsia="en-US"/>
        </w:rPr>
      </w:pPr>
    </w:p>
    <w:p w:rsidR="00431FE9" w:rsidRDefault="006A14E4">
      <w:pPr>
        <w:pStyle w:val="TOC1"/>
        <w:rPr>
          <w:rFonts w:asciiTheme="minorHAnsi" w:eastAsiaTheme="minorEastAsia" w:hAnsiTheme="minorHAnsi" w:cstheme="minorBidi"/>
          <w:b w:val="0"/>
          <w:i w:val="0"/>
          <w:sz w:val="22"/>
          <w:szCs w:val="22"/>
        </w:rPr>
      </w:pPr>
      <w:r>
        <w:fldChar w:fldCharType="begin"/>
      </w:r>
      <w:r w:rsidR="0034789E">
        <w:instrText xml:space="preserve"> TOC \o "1-3" \h \z \u </w:instrText>
      </w:r>
      <w:r>
        <w:fldChar w:fldCharType="separate"/>
      </w:r>
      <w:hyperlink w:anchor="_Toc294789902" w:history="1">
        <w:r w:rsidR="00431FE9" w:rsidRPr="00CB2FD0">
          <w:rPr>
            <w:rStyle w:val="Hyperlink"/>
          </w:rPr>
          <w:t>1</w:t>
        </w:r>
        <w:r w:rsidR="00431FE9">
          <w:rPr>
            <w:rFonts w:asciiTheme="minorHAnsi" w:eastAsiaTheme="minorEastAsia" w:hAnsiTheme="minorHAnsi" w:cstheme="minorBidi"/>
            <w:b w:val="0"/>
            <w:i w:val="0"/>
            <w:sz w:val="22"/>
            <w:szCs w:val="22"/>
          </w:rPr>
          <w:tab/>
        </w:r>
        <w:r w:rsidR="00431FE9" w:rsidRPr="00CB2FD0">
          <w:rPr>
            <w:rStyle w:val="Hyperlink"/>
          </w:rPr>
          <w:t>Executive Summary</w:t>
        </w:r>
        <w:r w:rsidR="00431FE9">
          <w:rPr>
            <w:webHidden/>
          </w:rPr>
          <w:tab/>
        </w:r>
        <w:r>
          <w:rPr>
            <w:webHidden/>
          </w:rPr>
          <w:fldChar w:fldCharType="begin"/>
        </w:r>
        <w:r w:rsidR="00431FE9">
          <w:rPr>
            <w:webHidden/>
          </w:rPr>
          <w:instrText xml:space="preserve"> PAGEREF _Toc294789902 \h </w:instrText>
        </w:r>
        <w:r>
          <w:rPr>
            <w:webHidden/>
          </w:rPr>
        </w:r>
        <w:r>
          <w:rPr>
            <w:webHidden/>
          </w:rPr>
          <w:fldChar w:fldCharType="separate"/>
        </w:r>
        <w:r w:rsidR="00FD0D2F">
          <w:rPr>
            <w:webHidden/>
          </w:rPr>
          <w:t>3</w:t>
        </w:r>
        <w:r>
          <w:rPr>
            <w:webHidden/>
          </w:rPr>
          <w:fldChar w:fldCharType="end"/>
        </w:r>
      </w:hyperlink>
    </w:p>
    <w:p w:rsidR="00431FE9" w:rsidRDefault="00B175A9">
      <w:pPr>
        <w:pStyle w:val="TOC2"/>
        <w:rPr>
          <w:rFonts w:asciiTheme="minorHAnsi" w:eastAsiaTheme="minorEastAsia" w:hAnsiTheme="minorHAnsi" w:cstheme="minorBidi"/>
          <w:noProof/>
          <w:sz w:val="22"/>
          <w:szCs w:val="22"/>
        </w:rPr>
      </w:pPr>
      <w:hyperlink w:anchor="_Toc294789903" w:history="1">
        <w:r w:rsidR="00431FE9" w:rsidRPr="00CB2FD0">
          <w:rPr>
            <w:rStyle w:val="Hyperlink"/>
            <w:rFonts w:eastAsiaTheme="majorEastAsia"/>
            <w:noProof/>
          </w:rPr>
          <w:t>1.1</w:t>
        </w:r>
        <w:r w:rsidR="00431FE9">
          <w:rPr>
            <w:rFonts w:asciiTheme="minorHAnsi" w:eastAsiaTheme="minorEastAsia" w:hAnsiTheme="minorHAnsi" w:cstheme="minorBidi"/>
            <w:noProof/>
            <w:sz w:val="22"/>
            <w:szCs w:val="22"/>
          </w:rPr>
          <w:tab/>
        </w:r>
        <w:r w:rsidR="00431FE9" w:rsidRPr="00CB2FD0">
          <w:rPr>
            <w:rStyle w:val="Hyperlink"/>
            <w:rFonts w:eastAsiaTheme="majorEastAsia"/>
            <w:noProof/>
          </w:rPr>
          <w:t>OFSC Objectives</w:t>
        </w:r>
        <w:r w:rsidR="00431FE9">
          <w:rPr>
            <w:noProof/>
            <w:webHidden/>
          </w:rPr>
          <w:tab/>
        </w:r>
        <w:r w:rsidR="006A14E4">
          <w:rPr>
            <w:noProof/>
            <w:webHidden/>
          </w:rPr>
          <w:fldChar w:fldCharType="begin"/>
        </w:r>
        <w:r w:rsidR="00431FE9">
          <w:rPr>
            <w:noProof/>
            <w:webHidden/>
          </w:rPr>
          <w:instrText xml:space="preserve"> PAGEREF _Toc294789903 \h </w:instrText>
        </w:r>
        <w:r w:rsidR="006A14E4">
          <w:rPr>
            <w:noProof/>
            <w:webHidden/>
          </w:rPr>
        </w:r>
        <w:r w:rsidR="006A14E4">
          <w:rPr>
            <w:noProof/>
            <w:webHidden/>
          </w:rPr>
          <w:fldChar w:fldCharType="separate"/>
        </w:r>
        <w:r w:rsidR="00FD0D2F">
          <w:rPr>
            <w:noProof/>
            <w:webHidden/>
          </w:rPr>
          <w:t>3</w:t>
        </w:r>
        <w:r w:rsidR="006A14E4">
          <w:rPr>
            <w:noProof/>
            <w:webHidden/>
          </w:rPr>
          <w:fldChar w:fldCharType="end"/>
        </w:r>
      </w:hyperlink>
    </w:p>
    <w:p w:rsidR="00431FE9" w:rsidRDefault="00B175A9">
      <w:pPr>
        <w:pStyle w:val="TOC2"/>
        <w:rPr>
          <w:rFonts w:asciiTheme="minorHAnsi" w:eastAsiaTheme="minorEastAsia" w:hAnsiTheme="minorHAnsi" w:cstheme="minorBidi"/>
          <w:noProof/>
          <w:sz w:val="22"/>
          <w:szCs w:val="22"/>
        </w:rPr>
      </w:pPr>
      <w:hyperlink w:anchor="_Toc294789904" w:history="1">
        <w:r w:rsidR="00431FE9" w:rsidRPr="00CB2FD0">
          <w:rPr>
            <w:rStyle w:val="Hyperlink"/>
            <w:rFonts w:eastAsiaTheme="majorEastAsia"/>
            <w:noProof/>
          </w:rPr>
          <w:t>1.2</w:t>
        </w:r>
        <w:r w:rsidR="00431FE9">
          <w:rPr>
            <w:rFonts w:asciiTheme="minorHAnsi" w:eastAsiaTheme="minorEastAsia" w:hAnsiTheme="minorHAnsi" w:cstheme="minorBidi"/>
            <w:noProof/>
            <w:sz w:val="22"/>
            <w:szCs w:val="22"/>
          </w:rPr>
          <w:tab/>
        </w:r>
        <w:r w:rsidR="00431FE9" w:rsidRPr="00CB2FD0">
          <w:rPr>
            <w:rStyle w:val="Hyperlink"/>
            <w:rFonts w:eastAsiaTheme="majorEastAsia"/>
            <w:noProof/>
          </w:rPr>
          <w:t>Limitations</w:t>
        </w:r>
        <w:r w:rsidR="00431FE9">
          <w:rPr>
            <w:noProof/>
            <w:webHidden/>
          </w:rPr>
          <w:tab/>
        </w:r>
        <w:r w:rsidR="006A14E4">
          <w:rPr>
            <w:noProof/>
            <w:webHidden/>
          </w:rPr>
          <w:fldChar w:fldCharType="begin"/>
        </w:r>
        <w:r w:rsidR="00431FE9">
          <w:rPr>
            <w:noProof/>
            <w:webHidden/>
          </w:rPr>
          <w:instrText xml:space="preserve"> PAGEREF _Toc294789904 \h </w:instrText>
        </w:r>
        <w:r w:rsidR="006A14E4">
          <w:rPr>
            <w:noProof/>
            <w:webHidden/>
          </w:rPr>
        </w:r>
        <w:r w:rsidR="006A14E4">
          <w:rPr>
            <w:noProof/>
            <w:webHidden/>
          </w:rPr>
          <w:fldChar w:fldCharType="separate"/>
        </w:r>
        <w:r w:rsidR="00FD0D2F">
          <w:rPr>
            <w:noProof/>
            <w:webHidden/>
          </w:rPr>
          <w:t>3</w:t>
        </w:r>
        <w:r w:rsidR="006A14E4">
          <w:rPr>
            <w:noProof/>
            <w:webHidden/>
          </w:rPr>
          <w:fldChar w:fldCharType="end"/>
        </w:r>
      </w:hyperlink>
    </w:p>
    <w:p w:rsidR="00431FE9" w:rsidRDefault="00B175A9">
      <w:pPr>
        <w:pStyle w:val="TOC2"/>
        <w:rPr>
          <w:rFonts w:asciiTheme="minorHAnsi" w:eastAsiaTheme="minorEastAsia" w:hAnsiTheme="minorHAnsi" w:cstheme="minorBidi"/>
          <w:noProof/>
          <w:sz w:val="22"/>
          <w:szCs w:val="22"/>
        </w:rPr>
      </w:pPr>
      <w:hyperlink w:anchor="_Toc294789905" w:history="1">
        <w:r w:rsidR="00431FE9" w:rsidRPr="00CB2FD0">
          <w:rPr>
            <w:rStyle w:val="Hyperlink"/>
            <w:rFonts w:eastAsiaTheme="majorEastAsia"/>
            <w:noProof/>
          </w:rPr>
          <w:t>1.3</w:t>
        </w:r>
        <w:r w:rsidR="00431FE9">
          <w:rPr>
            <w:rFonts w:asciiTheme="minorHAnsi" w:eastAsiaTheme="minorEastAsia" w:hAnsiTheme="minorHAnsi" w:cstheme="minorBidi"/>
            <w:noProof/>
            <w:sz w:val="22"/>
            <w:szCs w:val="22"/>
          </w:rPr>
          <w:tab/>
        </w:r>
        <w:r w:rsidR="00431FE9" w:rsidRPr="00CB2FD0">
          <w:rPr>
            <w:rStyle w:val="Hyperlink"/>
            <w:rFonts w:eastAsiaTheme="majorEastAsia"/>
            <w:noProof/>
          </w:rPr>
          <w:t>Significant Achievements</w:t>
        </w:r>
        <w:r w:rsidR="00431FE9">
          <w:rPr>
            <w:noProof/>
            <w:webHidden/>
          </w:rPr>
          <w:tab/>
        </w:r>
        <w:r w:rsidR="006A14E4">
          <w:rPr>
            <w:noProof/>
            <w:webHidden/>
          </w:rPr>
          <w:fldChar w:fldCharType="begin"/>
        </w:r>
        <w:r w:rsidR="00431FE9">
          <w:rPr>
            <w:noProof/>
            <w:webHidden/>
          </w:rPr>
          <w:instrText xml:space="preserve"> PAGEREF _Toc294789905 \h </w:instrText>
        </w:r>
        <w:r w:rsidR="006A14E4">
          <w:rPr>
            <w:noProof/>
            <w:webHidden/>
          </w:rPr>
        </w:r>
        <w:r w:rsidR="006A14E4">
          <w:rPr>
            <w:noProof/>
            <w:webHidden/>
          </w:rPr>
          <w:fldChar w:fldCharType="separate"/>
        </w:r>
        <w:r w:rsidR="00FD0D2F">
          <w:rPr>
            <w:noProof/>
            <w:webHidden/>
          </w:rPr>
          <w:t>3</w:t>
        </w:r>
        <w:r w:rsidR="006A14E4">
          <w:rPr>
            <w:noProof/>
            <w:webHidden/>
          </w:rPr>
          <w:fldChar w:fldCharType="end"/>
        </w:r>
      </w:hyperlink>
    </w:p>
    <w:p w:rsidR="00431FE9" w:rsidRDefault="00B175A9">
      <w:pPr>
        <w:pStyle w:val="TOC2"/>
        <w:rPr>
          <w:rFonts w:asciiTheme="minorHAnsi" w:eastAsiaTheme="minorEastAsia" w:hAnsiTheme="minorHAnsi" w:cstheme="minorBidi"/>
          <w:noProof/>
          <w:sz w:val="22"/>
          <w:szCs w:val="22"/>
        </w:rPr>
      </w:pPr>
      <w:hyperlink w:anchor="_Toc294789906" w:history="1">
        <w:r w:rsidR="00431FE9" w:rsidRPr="00CB2FD0">
          <w:rPr>
            <w:rStyle w:val="Hyperlink"/>
            <w:rFonts w:eastAsiaTheme="majorEastAsia"/>
            <w:noProof/>
          </w:rPr>
          <w:t>1.4</w:t>
        </w:r>
        <w:r w:rsidR="00431FE9">
          <w:rPr>
            <w:rFonts w:asciiTheme="minorHAnsi" w:eastAsiaTheme="minorEastAsia" w:hAnsiTheme="minorHAnsi" w:cstheme="minorBidi"/>
            <w:noProof/>
            <w:sz w:val="22"/>
            <w:szCs w:val="22"/>
          </w:rPr>
          <w:tab/>
        </w:r>
        <w:r w:rsidR="00431FE9" w:rsidRPr="00CB2FD0">
          <w:rPr>
            <w:rStyle w:val="Hyperlink"/>
            <w:rFonts w:eastAsiaTheme="majorEastAsia"/>
            <w:noProof/>
          </w:rPr>
          <w:t>Room for Improvement</w:t>
        </w:r>
        <w:r w:rsidR="00431FE9">
          <w:rPr>
            <w:noProof/>
            <w:webHidden/>
          </w:rPr>
          <w:tab/>
        </w:r>
        <w:r w:rsidR="006A14E4">
          <w:rPr>
            <w:noProof/>
            <w:webHidden/>
          </w:rPr>
          <w:fldChar w:fldCharType="begin"/>
        </w:r>
        <w:r w:rsidR="00431FE9">
          <w:rPr>
            <w:noProof/>
            <w:webHidden/>
          </w:rPr>
          <w:instrText xml:space="preserve"> PAGEREF _Toc294789906 \h </w:instrText>
        </w:r>
        <w:r w:rsidR="006A14E4">
          <w:rPr>
            <w:noProof/>
            <w:webHidden/>
          </w:rPr>
        </w:r>
        <w:r w:rsidR="006A14E4">
          <w:rPr>
            <w:noProof/>
            <w:webHidden/>
          </w:rPr>
          <w:fldChar w:fldCharType="separate"/>
        </w:r>
        <w:r w:rsidR="00FD0D2F">
          <w:rPr>
            <w:noProof/>
            <w:webHidden/>
          </w:rPr>
          <w:t>4</w:t>
        </w:r>
        <w:r w:rsidR="006A14E4">
          <w:rPr>
            <w:noProof/>
            <w:webHidden/>
          </w:rPr>
          <w:fldChar w:fldCharType="end"/>
        </w:r>
      </w:hyperlink>
    </w:p>
    <w:p w:rsidR="00431FE9" w:rsidRDefault="00B175A9">
      <w:pPr>
        <w:pStyle w:val="TOC1"/>
        <w:rPr>
          <w:rFonts w:asciiTheme="minorHAnsi" w:eastAsiaTheme="minorEastAsia" w:hAnsiTheme="minorHAnsi" w:cstheme="minorBidi"/>
          <w:b w:val="0"/>
          <w:i w:val="0"/>
          <w:sz w:val="22"/>
          <w:szCs w:val="22"/>
        </w:rPr>
      </w:pPr>
      <w:hyperlink w:anchor="_Toc294789907" w:history="1">
        <w:r w:rsidR="00431FE9" w:rsidRPr="00CB2FD0">
          <w:rPr>
            <w:rStyle w:val="Hyperlink"/>
          </w:rPr>
          <w:t>2</w:t>
        </w:r>
        <w:r w:rsidR="00431FE9">
          <w:rPr>
            <w:rFonts w:asciiTheme="minorHAnsi" w:eastAsiaTheme="minorEastAsia" w:hAnsiTheme="minorHAnsi" w:cstheme="minorBidi"/>
            <w:b w:val="0"/>
            <w:i w:val="0"/>
            <w:sz w:val="22"/>
            <w:szCs w:val="22"/>
          </w:rPr>
          <w:tab/>
        </w:r>
        <w:r w:rsidR="00431FE9" w:rsidRPr="00CB2FD0">
          <w:rPr>
            <w:rStyle w:val="Hyperlink"/>
          </w:rPr>
          <w:t>Background</w:t>
        </w:r>
        <w:r w:rsidR="00431FE9">
          <w:rPr>
            <w:webHidden/>
          </w:rPr>
          <w:tab/>
        </w:r>
        <w:r w:rsidR="006A14E4">
          <w:rPr>
            <w:webHidden/>
          </w:rPr>
          <w:fldChar w:fldCharType="begin"/>
        </w:r>
        <w:r w:rsidR="00431FE9">
          <w:rPr>
            <w:webHidden/>
          </w:rPr>
          <w:instrText xml:space="preserve"> PAGEREF _Toc294789907 \h </w:instrText>
        </w:r>
        <w:r w:rsidR="006A14E4">
          <w:rPr>
            <w:webHidden/>
          </w:rPr>
        </w:r>
        <w:r w:rsidR="006A14E4">
          <w:rPr>
            <w:webHidden/>
          </w:rPr>
          <w:fldChar w:fldCharType="separate"/>
        </w:r>
        <w:r w:rsidR="00FD0D2F">
          <w:rPr>
            <w:webHidden/>
          </w:rPr>
          <w:t>4</w:t>
        </w:r>
        <w:r w:rsidR="006A14E4">
          <w:rPr>
            <w:webHidden/>
          </w:rPr>
          <w:fldChar w:fldCharType="end"/>
        </w:r>
      </w:hyperlink>
    </w:p>
    <w:p w:rsidR="00431FE9" w:rsidRDefault="00B175A9">
      <w:pPr>
        <w:pStyle w:val="TOC2"/>
        <w:rPr>
          <w:rFonts w:asciiTheme="minorHAnsi" w:eastAsiaTheme="minorEastAsia" w:hAnsiTheme="minorHAnsi" w:cstheme="minorBidi"/>
          <w:noProof/>
          <w:sz w:val="22"/>
          <w:szCs w:val="22"/>
        </w:rPr>
      </w:pPr>
      <w:hyperlink w:anchor="_Toc294789908" w:history="1">
        <w:r w:rsidR="00431FE9" w:rsidRPr="00CB2FD0">
          <w:rPr>
            <w:rStyle w:val="Hyperlink"/>
            <w:rFonts w:eastAsiaTheme="majorEastAsia"/>
            <w:noProof/>
          </w:rPr>
          <w:t>2.1</w:t>
        </w:r>
        <w:r w:rsidR="00431FE9">
          <w:rPr>
            <w:rFonts w:asciiTheme="minorHAnsi" w:eastAsiaTheme="minorEastAsia" w:hAnsiTheme="minorHAnsi" w:cstheme="minorBidi"/>
            <w:noProof/>
            <w:sz w:val="22"/>
            <w:szCs w:val="22"/>
          </w:rPr>
          <w:tab/>
        </w:r>
        <w:r w:rsidR="00431FE9" w:rsidRPr="00CB2FD0">
          <w:rPr>
            <w:rStyle w:val="Hyperlink"/>
            <w:rFonts w:eastAsiaTheme="majorEastAsia"/>
            <w:noProof/>
          </w:rPr>
          <w:t>Number of Accredited Contractors</w:t>
        </w:r>
        <w:r w:rsidR="00431FE9">
          <w:rPr>
            <w:noProof/>
            <w:webHidden/>
          </w:rPr>
          <w:tab/>
        </w:r>
        <w:r w:rsidR="006A14E4">
          <w:rPr>
            <w:noProof/>
            <w:webHidden/>
          </w:rPr>
          <w:fldChar w:fldCharType="begin"/>
        </w:r>
        <w:r w:rsidR="00431FE9">
          <w:rPr>
            <w:noProof/>
            <w:webHidden/>
          </w:rPr>
          <w:instrText xml:space="preserve"> PAGEREF _Toc294789908 \h </w:instrText>
        </w:r>
        <w:r w:rsidR="006A14E4">
          <w:rPr>
            <w:noProof/>
            <w:webHidden/>
          </w:rPr>
        </w:r>
        <w:r w:rsidR="006A14E4">
          <w:rPr>
            <w:noProof/>
            <w:webHidden/>
          </w:rPr>
          <w:fldChar w:fldCharType="separate"/>
        </w:r>
        <w:r w:rsidR="00FD0D2F">
          <w:rPr>
            <w:noProof/>
            <w:webHidden/>
          </w:rPr>
          <w:t>4</w:t>
        </w:r>
        <w:r w:rsidR="006A14E4">
          <w:rPr>
            <w:noProof/>
            <w:webHidden/>
          </w:rPr>
          <w:fldChar w:fldCharType="end"/>
        </w:r>
      </w:hyperlink>
    </w:p>
    <w:p w:rsidR="00431FE9" w:rsidRDefault="00B175A9">
      <w:pPr>
        <w:pStyle w:val="TOC2"/>
        <w:rPr>
          <w:rFonts w:asciiTheme="minorHAnsi" w:eastAsiaTheme="minorEastAsia" w:hAnsiTheme="minorHAnsi" w:cstheme="minorBidi"/>
          <w:noProof/>
          <w:sz w:val="22"/>
          <w:szCs w:val="22"/>
        </w:rPr>
      </w:pPr>
      <w:hyperlink w:anchor="_Toc294789909" w:history="1">
        <w:r w:rsidR="00431FE9" w:rsidRPr="00CB2FD0">
          <w:rPr>
            <w:rStyle w:val="Hyperlink"/>
            <w:rFonts w:eastAsiaTheme="majorEastAsia"/>
            <w:noProof/>
          </w:rPr>
          <w:t>2.2</w:t>
        </w:r>
        <w:r w:rsidR="00431FE9">
          <w:rPr>
            <w:rFonts w:asciiTheme="minorHAnsi" w:eastAsiaTheme="minorEastAsia" w:hAnsiTheme="minorHAnsi" w:cstheme="minorBidi"/>
            <w:noProof/>
            <w:sz w:val="22"/>
            <w:szCs w:val="22"/>
          </w:rPr>
          <w:tab/>
        </w:r>
        <w:r w:rsidR="00431FE9" w:rsidRPr="00CB2FD0">
          <w:rPr>
            <w:rStyle w:val="Hyperlink"/>
            <w:rFonts w:eastAsiaTheme="majorEastAsia"/>
            <w:noProof/>
          </w:rPr>
          <w:t>Number of Projects</w:t>
        </w:r>
        <w:r w:rsidR="00431FE9">
          <w:rPr>
            <w:noProof/>
            <w:webHidden/>
          </w:rPr>
          <w:tab/>
        </w:r>
        <w:r w:rsidR="006A14E4">
          <w:rPr>
            <w:noProof/>
            <w:webHidden/>
          </w:rPr>
          <w:fldChar w:fldCharType="begin"/>
        </w:r>
        <w:r w:rsidR="00431FE9">
          <w:rPr>
            <w:noProof/>
            <w:webHidden/>
          </w:rPr>
          <w:instrText xml:space="preserve"> PAGEREF _Toc294789909 \h </w:instrText>
        </w:r>
        <w:r w:rsidR="006A14E4">
          <w:rPr>
            <w:noProof/>
            <w:webHidden/>
          </w:rPr>
        </w:r>
        <w:r w:rsidR="006A14E4">
          <w:rPr>
            <w:noProof/>
            <w:webHidden/>
          </w:rPr>
          <w:fldChar w:fldCharType="separate"/>
        </w:r>
        <w:r w:rsidR="00FD0D2F">
          <w:rPr>
            <w:noProof/>
            <w:webHidden/>
          </w:rPr>
          <w:t>5</w:t>
        </w:r>
        <w:r w:rsidR="006A14E4">
          <w:rPr>
            <w:noProof/>
            <w:webHidden/>
          </w:rPr>
          <w:fldChar w:fldCharType="end"/>
        </w:r>
      </w:hyperlink>
    </w:p>
    <w:p w:rsidR="00431FE9" w:rsidRDefault="00B175A9">
      <w:pPr>
        <w:pStyle w:val="TOC2"/>
        <w:rPr>
          <w:rFonts w:asciiTheme="minorHAnsi" w:eastAsiaTheme="minorEastAsia" w:hAnsiTheme="minorHAnsi" w:cstheme="minorBidi"/>
          <w:noProof/>
          <w:sz w:val="22"/>
          <w:szCs w:val="22"/>
        </w:rPr>
      </w:pPr>
      <w:hyperlink w:anchor="_Toc294789910" w:history="1">
        <w:r w:rsidR="00431FE9" w:rsidRPr="00CB2FD0">
          <w:rPr>
            <w:rStyle w:val="Hyperlink"/>
            <w:rFonts w:eastAsiaTheme="majorEastAsia"/>
            <w:noProof/>
          </w:rPr>
          <w:t>2.3</w:t>
        </w:r>
        <w:r w:rsidR="00431FE9">
          <w:rPr>
            <w:rFonts w:asciiTheme="minorHAnsi" w:eastAsiaTheme="minorEastAsia" w:hAnsiTheme="minorHAnsi" w:cstheme="minorBidi"/>
            <w:noProof/>
            <w:sz w:val="22"/>
            <w:szCs w:val="22"/>
          </w:rPr>
          <w:tab/>
        </w:r>
        <w:r w:rsidR="00431FE9" w:rsidRPr="00CB2FD0">
          <w:rPr>
            <w:rStyle w:val="Hyperlink"/>
            <w:rFonts w:eastAsiaTheme="majorEastAsia"/>
            <w:noProof/>
          </w:rPr>
          <w:t>Number Employed/Hours Worked</w:t>
        </w:r>
        <w:r w:rsidR="00431FE9">
          <w:rPr>
            <w:noProof/>
            <w:webHidden/>
          </w:rPr>
          <w:tab/>
        </w:r>
        <w:r w:rsidR="006A14E4">
          <w:rPr>
            <w:noProof/>
            <w:webHidden/>
          </w:rPr>
          <w:fldChar w:fldCharType="begin"/>
        </w:r>
        <w:r w:rsidR="00431FE9">
          <w:rPr>
            <w:noProof/>
            <w:webHidden/>
          </w:rPr>
          <w:instrText xml:space="preserve"> PAGEREF _Toc294789910 \h </w:instrText>
        </w:r>
        <w:r w:rsidR="006A14E4">
          <w:rPr>
            <w:noProof/>
            <w:webHidden/>
          </w:rPr>
        </w:r>
        <w:r w:rsidR="006A14E4">
          <w:rPr>
            <w:noProof/>
            <w:webHidden/>
          </w:rPr>
          <w:fldChar w:fldCharType="separate"/>
        </w:r>
        <w:r w:rsidR="00FD0D2F">
          <w:rPr>
            <w:noProof/>
            <w:webHidden/>
          </w:rPr>
          <w:t>5</w:t>
        </w:r>
        <w:r w:rsidR="006A14E4">
          <w:rPr>
            <w:noProof/>
            <w:webHidden/>
          </w:rPr>
          <w:fldChar w:fldCharType="end"/>
        </w:r>
      </w:hyperlink>
    </w:p>
    <w:p w:rsidR="00431FE9" w:rsidRDefault="00B175A9">
      <w:pPr>
        <w:pStyle w:val="TOC1"/>
        <w:rPr>
          <w:rFonts w:asciiTheme="minorHAnsi" w:eastAsiaTheme="minorEastAsia" w:hAnsiTheme="minorHAnsi" w:cstheme="minorBidi"/>
          <w:b w:val="0"/>
          <w:i w:val="0"/>
          <w:sz w:val="22"/>
          <w:szCs w:val="22"/>
        </w:rPr>
      </w:pPr>
      <w:hyperlink w:anchor="_Toc294789911" w:history="1">
        <w:r w:rsidR="00431FE9" w:rsidRPr="00CB2FD0">
          <w:rPr>
            <w:rStyle w:val="Hyperlink"/>
          </w:rPr>
          <w:t>3</w:t>
        </w:r>
        <w:r w:rsidR="00431FE9">
          <w:rPr>
            <w:rFonts w:asciiTheme="minorHAnsi" w:eastAsiaTheme="minorEastAsia" w:hAnsiTheme="minorHAnsi" w:cstheme="minorBidi"/>
            <w:b w:val="0"/>
            <w:i w:val="0"/>
            <w:sz w:val="22"/>
            <w:szCs w:val="22"/>
          </w:rPr>
          <w:tab/>
        </w:r>
        <w:r w:rsidR="00431FE9" w:rsidRPr="00CB2FD0">
          <w:rPr>
            <w:rStyle w:val="Hyperlink"/>
          </w:rPr>
          <w:t>Analysis</w:t>
        </w:r>
        <w:r w:rsidR="00431FE9">
          <w:rPr>
            <w:webHidden/>
          </w:rPr>
          <w:tab/>
        </w:r>
        <w:r w:rsidR="006A14E4">
          <w:rPr>
            <w:webHidden/>
          </w:rPr>
          <w:fldChar w:fldCharType="begin"/>
        </w:r>
        <w:r w:rsidR="00431FE9">
          <w:rPr>
            <w:webHidden/>
          </w:rPr>
          <w:instrText xml:space="preserve"> PAGEREF _Toc294789911 \h </w:instrText>
        </w:r>
        <w:r w:rsidR="006A14E4">
          <w:rPr>
            <w:webHidden/>
          </w:rPr>
        </w:r>
        <w:r w:rsidR="006A14E4">
          <w:rPr>
            <w:webHidden/>
          </w:rPr>
          <w:fldChar w:fldCharType="separate"/>
        </w:r>
        <w:r w:rsidR="00FD0D2F">
          <w:rPr>
            <w:webHidden/>
          </w:rPr>
          <w:t>6</w:t>
        </w:r>
        <w:r w:rsidR="006A14E4">
          <w:rPr>
            <w:webHidden/>
          </w:rPr>
          <w:fldChar w:fldCharType="end"/>
        </w:r>
      </w:hyperlink>
    </w:p>
    <w:p w:rsidR="00431FE9" w:rsidRDefault="00B175A9">
      <w:pPr>
        <w:pStyle w:val="TOC2"/>
        <w:rPr>
          <w:rFonts w:asciiTheme="minorHAnsi" w:eastAsiaTheme="minorEastAsia" w:hAnsiTheme="minorHAnsi" w:cstheme="minorBidi"/>
          <w:noProof/>
          <w:sz w:val="22"/>
          <w:szCs w:val="22"/>
        </w:rPr>
      </w:pPr>
      <w:hyperlink w:anchor="_Toc294789912" w:history="1">
        <w:r w:rsidR="00431FE9" w:rsidRPr="00CB2FD0">
          <w:rPr>
            <w:rStyle w:val="Hyperlink"/>
            <w:rFonts w:eastAsiaTheme="majorEastAsia"/>
            <w:noProof/>
          </w:rPr>
          <w:t>3.1</w:t>
        </w:r>
        <w:r w:rsidR="00431FE9">
          <w:rPr>
            <w:rFonts w:asciiTheme="minorHAnsi" w:eastAsiaTheme="minorEastAsia" w:hAnsiTheme="minorHAnsi" w:cstheme="minorBidi"/>
            <w:noProof/>
            <w:sz w:val="22"/>
            <w:szCs w:val="22"/>
          </w:rPr>
          <w:tab/>
        </w:r>
        <w:r w:rsidR="00431FE9" w:rsidRPr="00CB2FD0">
          <w:rPr>
            <w:rStyle w:val="Hyperlink"/>
            <w:rFonts w:eastAsiaTheme="majorEastAsia"/>
            <w:noProof/>
          </w:rPr>
          <w:t>Fatalities</w:t>
        </w:r>
        <w:r w:rsidR="00431FE9">
          <w:rPr>
            <w:noProof/>
            <w:webHidden/>
          </w:rPr>
          <w:tab/>
        </w:r>
        <w:r w:rsidR="006A14E4">
          <w:rPr>
            <w:noProof/>
            <w:webHidden/>
          </w:rPr>
          <w:fldChar w:fldCharType="begin"/>
        </w:r>
        <w:r w:rsidR="00431FE9">
          <w:rPr>
            <w:noProof/>
            <w:webHidden/>
          </w:rPr>
          <w:instrText xml:space="preserve"> PAGEREF _Toc294789912 \h </w:instrText>
        </w:r>
        <w:r w:rsidR="006A14E4">
          <w:rPr>
            <w:noProof/>
            <w:webHidden/>
          </w:rPr>
        </w:r>
        <w:r w:rsidR="006A14E4">
          <w:rPr>
            <w:noProof/>
            <w:webHidden/>
          </w:rPr>
          <w:fldChar w:fldCharType="separate"/>
        </w:r>
        <w:r w:rsidR="00FD0D2F">
          <w:rPr>
            <w:noProof/>
            <w:webHidden/>
          </w:rPr>
          <w:t>6</w:t>
        </w:r>
        <w:r w:rsidR="006A14E4">
          <w:rPr>
            <w:noProof/>
            <w:webHidden/>
          </w:rPr>
          <w:fldChar w:fldCharType="end"/>
        </w:r>
      </w:hyperlink>
    </w:p>
    <w:p w:rsidR="00431FE9" w:rsidRDefault="00B175A9">
      <w:pPr>
        <w:pStyle w:val="TOC2"/>
        <w:rPr>
          <w:rFonts w:asciiTheme="minorHAnsi" w:eastAsiaTheme="minorEastAsia" w:hAnsiTheme="minorHAnsi" w:cstheme="minorBidi"/>
          <w:noProof/>
          <w:sz w:val="22"/>
          <w:szCs w:val="22"/>
        </w:rPr>
      </w:pPr>
      <w:hyperlink w:anchor="_Toc294789913" w:history="1">
        <w:r w:rsidR="00431FE9" w:rsidRPr="00CB2FD0">
          <w:rPr>
            <w:rStyle w:val="Hyperlink"/>
            <w:rFonts w:eastAsiaTheme="majorEastAsia"/>
            <w:noProof/>
          </w:rPr>
          <w:t>3.2</w:t>
        </w:r>
        <w:r w:rsidR="00431FE9">
          <w:rPr>
            <w:rFonts w:asciiTheme="minorHAnsi" w:eastAsiaTheme="minorEastAsia" w:hAnsiTheme="minorHAnsi" w:cstheme="minorBidi"/>
            <w:noProof/>
            <w:sz w:val="22"/>
            <w:szCs w:val="22"/>
          </w:rPr>
          <w:tab/>
        </w:r>
        <w:r w:rsidR="00431FE9" w:rsidRPr="00CB2FD0">
          <w:rPr>
            <w:rStyle w:val="Hyperlink"/>
            <w:rFonts w:eastAsiaTheme="majorEastAsia"/>
            <w:noProof/>
          </w:rPr>
          <w:t>Injury Frequency Rate</w:t>
        </w:r>
        <w:r w:rsidR="00431FE9">
          <w:rPr>
            <w:noProof/>
            <w:webHidden/>
          </w:rPr>
          <w:tab/>
        </w:r>
        <w:r w:rsidR="006A14E4">
          <w:rPr>
            <w:noProof/>
            <w:webHidden/>
          </w:rPr>
          <w:fldChar w:fldCharType="begin"/>
        </w:r>
        <w:r w:rsidR="00431FE9">
          <w:rPr>
            <w:noProof/>
            <w:webHidden/>
          </w:rPr>
          <w:instrText xml:space="preserve"> PAGEREF _Toc294789913 \h </w:instrText>
        </w:r>
        <w:r w:rsidR="006A14E4">
          <w:rPr>
            <w:noProof/>
            <w:webHidden/>
          </w:rPr>
        </w:r>
        <w:r w:rsidR="006A14E4">
          <w:rPr>
            <w:noProof/>
            <w:webHidden/>
          </w:rPr>
          <w:fldChar w:fldCharType="separate"/>
        </w:r>
        <w:r w:rsidR="00FD0D2F">
          <w:rPr>
            <w:noProof/>
            <w:webHidden/>
          </w:rPr>
          <w:t>6</w:t>
        </w:r>
        <w:r w:rsidR="006A14E4">
          <w:rPr>
            <w:noProof/>
            <w:webHidden/>
          </w:rPr>
          <w:fldChar w:fldCharType="end"/>
        </w:r>
      </w:hyperlink>
    </w:p>
    <w:p w:rsidR="00431FE9" w:rsidRDefault="00B175A9">
      <w:pPr>
        <w:pStyle w:val="TOC3"/>
        <w:rPr>
          <w:rFonts w:asciiTheme="minorHAnsi" w:eastAsiaTheme="minorEastAsia" w:hAnsiTheme="minorHAnsi" w:cstheme="minorBidi"/>
          <w:i w:val="0"/>
          <w:sz w:val="22"/>
          <w:szCs w:val="22"/>
        </w:rPr>
      </w:pPr>
      <w:hyperlink w:anchor="_Toc294789914" w:history="1">
        <w:r w:rsidR="00431FE9" w:rsidRPr="00CB2FD0">
          <w:rPr>
            <w:rStyle w:val="Hyperlink"/>
          </w:rPr>
          <w:t>3.2.1</w:t>
        </w:r>
        <w:r w:rsidR="00431FE9">
          <w:rPr>
            <w:rFonts w:asciiTheme="minorHAnsi" w:eastAsiaTheme="minorEastAsia" w:hAnsiTheme="minorHAnsi" w:cstheme="minorBidi"/>
            <w:i w:val="0"/>
            <w:sz w:val="22"/>
            <w:szCs w:val="22"/>
          </w:rPr>
          <w:tab/>
        </w:r>
        <w:r w:rsidR="00431FE9" w:rsidRPr="00CB2FD0">
          <w:rPr>
            <w:rStyle w:val="Hyperlink"/>
          </w:rPr>
          <w:t>Lost Time Injury Frequency Rate (LTIFR)</w:t>
        </w:r>
        <w:r w:rsidR="00431FE9">
          <w:rPr>
            <w:webHidden/>
          </w:rPr>
          <w:tab/>
        </w:r>
        <w:r w:rsidR="006A14E4">
          <w:rPr>
            <w:webHidden/>
          </w:rPr>
          <w:fldChar w:fldCharType="begin"/>
        </w:r>
        <w:r w:rsidR="00431FE9">
          <w:rPr>
            <w:webHidden/>
          </w:rPr>
          <w:instrText xml:space="preserve"> PAGEREF _Toc294789914 \h </w:instrText>
        </w:r>
        <w:r w:rsidR="006A14E4">
          <w:rPr>
            <w:webHidden/>
          </w:rPr>
        </w:r>
        <w:r w:rsidR="006A14E4">
          <w:rPr>
            <w:webHidden/>
          </w:rPr>
          <w:fldChar w:fldCharType="separate"/>
        </w:r>
        <w:r w:rsidR="00FD0D2F">
          <w:rPr>
            <w:webHidden/>
          </w:rPr>
          <w:t>6</w:t>
        </w:r>
        <w:r w:rsidR="006A14E4">
          <w:rPr>
            <w:webHidden/>
          </w:rPr>
          <w:fldChar w:fldCharType="end"/>
        </w:r>
      </w:hyperlink>
    </w:p>
    <w:p w:rsidR="00431FE9" w:rsidRDefault="00B175A9">
      <w:pPr>
        <w:pStyle w:val="TOC3"/>
        <w:rPr>
          <w:rFonts w:asciiTheme="minorHAnsi" w:eastAsiaTheme="minorEastAsia" w:hAnsiTheme="minorHAnsi" w:cstheme="minorBidi"/>
          <w:i w:val="0"/>
          <w:sz w:val="22"/>
          <w:szCs w:val="22"/>
        </w:rPr>
      </w:pPr>
      <w:hyperlink w:anchor="_Toc294789915" w:history="1">
        <w:r w:rsidR="00431FE9" w:rsidRPr="00CB2FD0">
          <w:rPr>
            <w:rStyle w:val="Hyperlink"/>
          </w:rPr>
          <w:t>3.2.2</w:t>
        </w:r>
        <w:r w:rsidR="00431FE9">
          <w:rPr>
            <w:rFonts w:asciiTheme="minorHAnsi" w:eastAsiaTheme="minorEastAsia" w:hAnsiTheme="minorHAnsi" w:cstheme="minorBidi"/>
            <w:i w:val="0"/>
            <w:sz w:val="22"/>
            <w:szCs w:val="22"/>
          </w:rPr>
          <w:tab/>
        </w:r>
        <w:r w:rsidR="00431FE9" w:rsidRPr="00CB2FD0">
          <w:rPr>
            <w:rStyle w:val="Hyperlink"/>
          </w:rPr>
          <w:t>Medically Treated Injury Frequency Rate (MTIFR)</w:t>
        </w:r>
        <w:r w:rsidR="00431FE9">
          <w:rPr>
            <w:webHidden/>
          </w:rPr>
          <w:tab/>
        </w:r>
        <w:r w:rsidR="006A14E4">
          <w:rPr>
            <w:webHidden/>
          </w:rPr>
          <w:fldChar w:fldCharType="begin"/>
        </w:r>
        <w:r w:rsidR="00431FE9">
          <w:rPr>
            <w:webHidden/>
          </w:rPr>
          <w:instrText xml:space="preserve"> PAGEREF _Toc294789915 \h </w:instrText>
        </w:r>
        <w:r w:rsidR="006A14E4">
          <w:rPr>
            <w:webHidden/>
          </w:rPr>
        </w:r>
        <w:r w:rsidR="006A14E4">
          <w:rPr>
            <w:webHidden/>
          </w:rPr>
          <w:fldChar w:fldCharType="separate"/>
        </w:r>
        <w:r w:rsidR="00FD0D2F">
          <w:rPr>
            <w:webHidden/>
          </w:rPr>
          <w:t>8</w:t>
        </w:r>
        <w:r w:rsidR="006A14E4">
          <w:rPr>
            <w:webHidden/>
          </w:rPr>
          <w:fldChar w:fldCharType="end"/>
        </w:r>
      </w:hyperlink>
    </w:p>
    <w:p w:rsidR="00431FE9" w:rsidRDefault="00B175A9">
      <w:pPr>
        <w:pStyle w:val="TOC2"/>
        <w:rPr>
          <w:rFonts w:asciiTheme="minorHAnsi" w:eastAsiaTheme="minorEastAsia" w:hAnsiTheme="minorHAnsi" w:cstheme="minorBidi"/>
          <w:noProof/>
          <w:sz w:val="22"/>
          <w:szCs w:val="22"/>
        </w:rPr>
      </w:pPr>
      <w:hyperlink w:anchor="_Toc294789916" w:history="1">
        <w:r w:rsidR="00431FE9" w:rsidRPr="00CB2FD0">
          <w:rPr>
            <w:rStyle w:val="Hyperlink"/>
            <w:rFonts w:eastAsiaTheme="majorEastAsia"/>
            <w:noProof/>
          </w:rPr>
          <w:t>3.3</w:t>
        </w:r>
        <w:r w:rsidR="00431FE9">
          <w:rPr>
            <w:rFonts w:asciiTheme="minorHAnsi" w:eastAsiaTheme="minorEastAsia" w:hAnsiTheme="minorHAnsi" w:cstheme="minorBidi"/>
            <w:noProof/>
            <w:sz w:val="22"/>
            <w:szCs w:val="22"/>
          </w:rPr>
          <w:tab/>
        </w:r>
        <w:r w:rsidR="00431FE9" w:rsidRPr="00CB2FD0">
          <w:rPr>
            <w:rStyle w:val="Hyperlink"/>
            <w:rFonts w:eastAsiaTheme="majorEastAsia"/>
            <w:noProof/>
          </w:rPr>
          <w:t>Profile of Injuries</w:t>
        </w:r>
        <w:r w:rsidR="00431FE9">
          <w:rPr>
            <w:noProof/>
            <w:webHidden/>
          </w:rPr>
          <w:tab/>
        </w:r>
        <w:r w:rsidR="006A14E4">
          <w:rPr>
            <w:noProof/>
            <w:webHidden/>
          </w:rPr>
          <w:fldChar w:fldCharType="begin"/>
        </w:r>
        <w:r w:rsidR="00431FE9">
          <w:rPr>
            <w:noProof/>
            <w:webHidden/>
          </w:rPr>
          <w:instrText xml:space="preserve"> PAGEREF _Toc294789916 \h </w:instrText>
        </w:r>
        <w:r w:rsidR="006A14E4">
          <w:rPr>
            <w:noProof/>
            <w:webHidden/>
          </w:rPr>
        </w:r>
        <w:r w:rsidR="006A14E4">
          <w:rPr>
            <w:noProof/>
            <w:webHidden/>
          </w:rPr>
          <w:fldChar w:fldCharType="separate"/>
        </w:r>
        <w:r w:rsidR="00FD0D2F">
          <w:rPr>
            <w:noProof/>
            <w:webHidden/>
          </w:rPr>
          <w:t>8</w:t>
        </w:r>
        <w:r w:rsidR="006A14E4">
          <w:rPr>
            <w:noProof/>
            <w:webHidden/>
          </w:rPr>
          <w:fldChar w:fldCharType="end"/>
        </w:r>
      </w:hyperlink>
    </w:p>
    <w:p w:rsidR="00431FE9" w:rsidRDefault="00B175A9">
      <w:pPr>
        <w:pStyle w:val="TOC2"/>
        <w:rPr>
          <w:rFonts w:asciiTheme="minorHAnsi" w:eastAsiaTheme="minorEastAsia" w:hAnsiTheme="minorHAnsi" w:cstheme="minorBidi"/>
          <w:noProof/>
          <w:sz w:val="22"/>
          <w:szCs w:val="22"/>
        </w:rPr>
      </w:pPr>
      <w:hyperlink w:anchor="_Toc294789917" w:history="1">
        <w:r w:rsidR="00431FE9" w:rsidRPr="00CB2FD0">
          <w:rPr>
            <w:rStyle w:val="Hyperlink"/>
            <w:rFonts w:eastAsiaTheme="majorEastAsia"/>
            <w:noProof/>
          </w:rPr>
          <w:t>3.4</w:t>
        </w:r>
        <w:r w:rsidR="00431FE9">
          <w:rPr>
            <w:rFonts w:asciiTheme="minorHAnsi" w:eastAsiaTheme="minorEastAsia" w:hAnsiTheme="minorHAnsi" w:cstheme="minorBidi"/>
            <w:noProof/>
            <w:sz w:val="22"/>
            <w:szCs w:val="22"/>
          </w:rPr>
          <w:tab/>
        </w:r>
        <w:r w:rsidR="00431FE9" w:rsidRPr="00CB2FD0">
          <w:rPr>
            <w:rStyle w:val="Hyperlink"/>
            <w:rFonts w:eastAsiaTheme="majorEastAsia"/>
            <w:noProof/>
          </w:rPr>
          <w:t>High risk Construction Work</w:t>
        </w:r>
        <w:r w:rsidR="00431FE9">
          <w:rPr>
            <w:noProof/>
            <w:webHidden/>
          </w:rPr>
          <w:tab/>
        </w:r>
        <w:r w:rsidR="006A14E4">
          <w:rPr>
            <w:noProof/>
            <w:webHidden/>
          </w:rPr>
          <w:fldChar w:fldCharType="begin"/>
        </w:r>
        <w:r w:rsidR="00431FE9">
          <w:rPr>
            <w:noProof/>
            <w:webHidden/>
          </w:rPr>
          <w:instrText xml:space="preserve"> PAGEREF _Toc294789917 \h </w:instrText>
        </w:r>
        <w:r w:rsidR="006A14E4">
          <w:rPr>
            <w:noProof/>
            <w:webHidden/>
          </w:rPr>
        </w:r>
        <w:r w:rsidR="006A14E4">
          <w:rPr>
            <w:noProof/>
            <w:webHidden/>
          </w:rPr>
          <w:fldChar w:fldCharType="separate"/>
        </w:r>
        <w:r w:rsidR="00FD0D2F">
          <w:rPr>
            <w:noProof/>
            <w:webHidden/>
          </w:rPr>
          <w:t>9</w:t>
        </w:r>
        <w:r w:rsidR="006A14E4">
          <w:rPr>
            <w:noProof/>
            <w:webHidden/>
          </w:rPr>
          <w:fldChar w:fldCharType="end"/>
        </w:r>
      </w:hyperlink>
    </w:p>
    <w:p w:rsidR="00431FE9" w:rsidRDefault="00B175A9">
      <w:pPr>
        <w:pStyle w:val="TOC1"/>
        <w:rPr>
          <w:rFonts w:asciiTheme="minorHAnsi" w:eastAsiaTheme="minorEastAsia" w:hAnsiTheme="minorHAnsi" w:cstheme="minorBidi"/>
          <w:b w:val="0"/>
          <w:i w:val="0"/>
          <w:sz w:val="22"/>
          <w:szCs w:val="22"/>
        </w:rPr>
      </w:pPr>
      <w:hyperlink w:anchor="_Toc294789918" w:history="1">
        <w:r w:rsidR="00431FE9" w:rsidRPr="00CB2FD0">
          <w:rPr>
            <w:rStyle w:val="Hyperlink"/>
          </w:rPr>
          <w:t>4</w:t>
        </w:r>
        <w:r w:rsidR="00431FE9">
          <w:rPr>
            <w:rFonts w:asciiTheme="minorHAnsi" w:eastAsiaTheme="minorEastAsia" w:hAnsiTheme="minorHAnsi" w:cstheme="minorBidi"/>
            <w:b w:val="0"/>
            <w:i w:val="0"/>
            <w:sz w:val="22"/>
            <w:szCs w:val="22"/>
          </w:rPr>
          <w:tab/>
        </w:r>
        <w:r w:rsidR="00431FE9" w:rsidRPr="00CB2FD0">
          <w:rPr>
            <w:rStyle w:val="Hyperlink"/>
          </w:rPr>
          <w:t>Workers’ Compensation</w:t>
        </w:r>
        <w:r w:rsidR="00431FE9">
          <w:rPr>
            <w:webHidden/>
          </w:rPr>
          <w:tab/>
        </w:r>
        <w:r w:rsidR="006A14E4">
          <w:rPr>
            <w:webHidden/>
          </w:rPr>
          <w:fldChar w:fldCharType="begin"/>
        </w:r>
        <w:r w:rsidR="00431FE9">
          <w:rPr>
            <w:webHidden/>
          </w:rPr>
          <w:instrText xml:space="preserve"> PAGEREF _Toc294789918 \h </w:instrText>
        </w:r>
        <w:r w:rsidR="006A14E4">
          <w:rPr>
            <w:webHidden/>
          </w:rPr>
        </w:r>
        <w:r w:rsidR="006A14E4">
          <w:rPr>
            <w:webHidden/>
          </w:rPr>
          <w:fldChar w:fldCharType="separate"/>
        </w:r>
        <w:r w:rsidR="00FD0D2F">
          <w:rPr>
            <w:webHidden/>
          </w:rPr>
          <w:t>11</w:t>
        </w:r>
        <w:r w:rsidR="006A14E4">
          <w:rPr>
            <w:webHidden/>
          </w:rPr>
          <w:fldChar w:fldCharType="end"/>
        </w:r>
      </w:hyperlink>
    </w:p>
    <w:p w:rsidR="00431FE9" w:rsidRDefault="00B175A9">
      <w:pPr>
        <w:pStyle w:val="TOC1"/>
        <w:rPr>
          <w:rFonts w:asciiTheme="minorHAnsi" w:eastAsiaTheme="minorEastAsia" w:hAnsiTheme="minorHAnsi" w:cstheme="minorBidi"/>
          <w:b w:val="0"/>
          <w:i w:val="0"/>
          <w:sz w:val="22"/>
          <w:szCs w:val="22"/>
        </w:rPr>
      </w:pPr>
      <w:hyperlink w:anchor="_Toc294789919" w:history="1">
        <w:r w:rsidR="00431FE9" w:rsidRPr="00CB2FD0">
          <w:rPr>
            <w:rStyle w:val="Hyperlink"/>
          </w:rPr>
          <w:t>5</w:t>
        </w:r>
        <w:r w:rsidR="00431FE9">
          <w:rPr>
            <w:rFonts w:asciiTheme="minorHAnsi" w:eastAsiaTheme="minorEastAsia" w:hAnsiTheme="minorHAnsi" w:cstheme="minorBidi"/>
            <w:b w:val="0"/>
            <w:i w:val="0"/>
            <w:sz w:val="22"/>
            <w:szCs w:val="22"/>
          </w:rPr>
          <w:tab/>
        </w:r>
        <w:r w:rsidR="00431FE9" w:rsidRPr="00CB2FD0">
          <w:rPr>
            <w:rStyle w:val="Hyperlink"/>
          </w:rPr>
          <w:t>Positive Performance Indicators</w:t>
        </w:r>
        <w:r w:rsidR="00431FE9">
          <w:rPr>
            <w:webHidden/>
          </w:rPr>
          <w:tab/>
        </w:r>
        <w:r w:rsidR="006A14E4">
          <w:rPr>
            <w:webHidden/>
          </w:rPr>
          <w:fldChar w:fldCharType="begin"/>
        </w:r>
        <w:r w:rsidR="00431FE9">
          <w:rPr>
            <w:webHidden/>
          </w:rPr>
          <w:instrText xml:space="preserve"> PAGEREF _Toc294789919 \h </w:instrText>
        </w:r>
        <w:r w:rsidR="006A14E4">
          <w:rPr>
            <w:webHidden/>
          </w:rPr>
        </w:r>
        <w:r w:rsidR="006A14E4">
          <w:rPr>
            <w:webHidden/>
          </w:rPr>
          <w:fldChar w:fldCharType="separate"/>
        </w:r>
        <w:r w:rsidR="00FD0D2F">
          <w:rPr>
            <w:webHidden/>
          </w:rPr>
          <w:t>11</w:t>
        </w:r>
        <w:r w:rsidR="006A14E4">
          <w:rPr>
            <w:webHidden/>
          </w:rPr>
          <w:fldChar w:fldCharType="end"/>
        </w:r>
      </w:hyperlink>
    </w:p>
    <w:p w:rsidR="00431FE9" w:rsidRDefault="00B175A9">
      <w:pPr>
        <w:pStyle w:val="TOC1"/>
        <w:rPr>
          <w:rFonts w:asciiTheme="minorHAnsi" w:eastAsiaTheme="minorEastAsia" w:hAnsiTheme="minorHAnsi" w:cstheme="minorBidi"/>
          <w:b w:val="0"/>
          <w:i w:val="0"/>
          <w:sz w:val="22"/>
          <w:szCs w:val="22"/>
        </w:rPr>
      </w:pPr>
      <w:hyperlink w:anchor="_Toc294789920" w:history="1">
        <w:r w:rsidR="00431FE9" w:rsidRPr="00CB2FD0">
          <w:rPr>
            <w:rStyle w:val="Hyperlink"/>
          </w:rPr>
          <w:t>6</w:t>
        </w:r>
        <w:r w:rsidR="00431FE9">
          <w:rPr>
            <w:rFonts w:asciiTheme="minorHAnsi" w:eastAsiaTheme="minorEastAsia" w:hAnsiTheme="minorHAnsi" w:cstheme="minorBidi"/>
            <w:b w:val="0"/>
            <w:i w:val="0"/>
            <w:sz w:val="22"/>
            <w:szCs w:val="22"/>
          </w:rPr>
          <w:tab/>
        </w:r>
        <w:r w:rsidR="00431FE9" w:rsidRPr="00CB2FD0">
          <w:rPr>
            <w:rStyle w:val="Hyperlink"/>
          </w:rPr>
          <w:t>Glossary</w:t>
        </w:r>
        <w:r w:rsidR="00431FE9">
          <w:rPr>
            <w:webHidden/>
          </w:rPr>
          <w:tab/>
        </w:r>
        <w:r w:rsidR="006A14E4">
          <w:rPr>
            <w:webHidden/>
          </w:rPr>
          <w:fldChar w:fldCharType="begin"/>
        </w:r>
        <w:r w:rsidR="00431FE9">
          <w:rPr>
            <w:webHidden/>
          </w:rPr>
          <w:instrText xml:space="preserve"> PAGEREF _Toc294789920 \h </w:instrText>
        </w:r>
        <w:r w:rsidR="006A14E4">
          <w:rPr>
            <w:webHidden/>
          </w:rPr>
        </w:r>
        <w:r w:rsidR="006A14E4">
          <w:rPr>
            <w:webHidden/>
          </w:rPr>
          <w:fldChar w:fldCharType="separate"/>
        </w:r>
        <w:r w:rsidR="00FD0D2F">
          <w:rPr>
            <w:webHidden/>
          </w:rPr>
          <w:t>13</w:t>
        </w:r>
        <w:r w:rsidR="006A14E4">
          <w:rPr>
            <w:webHidden/>
          </w:rPr>
          <w:fldChar w:fldCharType="end"/>
        </w:r>
      </w:hyperlink>
    </w:p>
    <w:p w:rsidR="004925DD" w:rsidRDefault="006A14E4">
      <w:pPr>
        <w:sectPr w:rsidR="004925DD" w:rsidSect="00D42BAA">
          <w:pgSz w:w="11906" w:h="16838"/>
          <w:pgMar w:top="1440" w:right="1800" w:bottom="1440" w:left="1800" w:header="708" w:footer="708" w:gutter="0"/>
          <w:cols w:space="708"/>
          <w:docGrid w:linePitch="360"/>
        </w:sectPr>
      </w:pPr>
      <w:r>
        <w:fldChar w:fldCharType="end"/>
      </w:r>
    </w:p>
    <w:p w:rsidR="001A2CDB" w:rsidRPr="000C224A" w:rsidRDefault="001A2CDB" w:rsidP="00F84096">
      <w:pPr>
        <w:pStyle w:val="Heading1"/>
        <w:spacing w:before="0"/>
      </w:pPr>
      <w:bookmarkStart w:id="1" w:name="_Toc294789902"/>
      <w:r w:rsidRPr="000C224A">
        <w:lastRenderedPageBreak/>
        <w:t>Executive Summary</w:t>
      </w:r>
      <w:bookmarkEnd w:id="1"/>
    </w:p>
    <w:p w:rsidR="005E1982" w:rsidRPr="00621DF1" w:rsidRDefault="005E1982" w:rsidP="005E1982">
      <w:pPr>
        <w:rPr>
          <w:rFonts w:ascii="Tahoma" w:hAnsi="Tahoma" w:cs="Tahoma"/>
          <w:bCs/>
          <w:caps/>
          <w:noProof/>
          <w:sz w:val="22"/>
          <w:szCs w:val="22"/>
        </w:rPr>
      </w:pPr>
      <w:r w:rsidRPr="00621DF1">
        <w:rPr>
          <w:rFonts w:ascii="Tahoma" w:hAnsi="Tahoma" w:cs="Tahoma"/>
          <w:sz w:val="22"/>
          <w:szCs w:val="22"/>
        </w:rPr>
        <w:t xml:space="preserve">This report provides an overview and analysis of data collected from </w:t>
      </w:r>
      <w:r w:rsidR="00C5782F">
        <w:rPr>
          <w:rFonts w:ascii="Tahoma" w:hAnsi="Tahoma" w:cs="Tahoma"/>
          <w:sz w:val="22"/>
          <w:szCs w:val="22"/>
        </w:rPr>
        <w:t>companies accredited</w:t>
      </w:r>
      <w:r w:rsidRPr="00621DF1">
        <w:rPr>
          <w:rFonts w:ascii="Tahoma" w:hAnsi="Tahoma" w:cs="Tahoma"/>
          <w:sz w:val="22"/>
          <w:szCs w:val="22"/>
        </w:rPr>
        <w:t xml:space="preserve"> under the Australian Government Building and Construction OHS Accreditation Scheme (the Scheme) for the period January to June 2010. Comparisons are also made with data collected in previous biannual periods where appropriate.</w:t>
      </w:r>
    </w:p>
    <w:p w:rsidR="001A2CDB" w:rsidRPr="000C224A" w:rsidRDefault="001A2CDB" w:rsidP="000C224A">
      <w:pPr>
        <w:pStyle w:val="Heading2"/>
      </w:pPr>
      <w:bookmarkStart w:id="2" w:name="_Toc294789903"/>
      <w:r w:rsidRPr="000C224A">
        <w:t>OFSC Objectives</w:t>
      </w:r>
      <w:bookmarkEnd w:id="2"/>
    </w:p>
    <w:p w:rsidR="00732951" w:rsidRDefault="00732951" w:rsidP="00732951">
      <w:pPr>
        <w:rPr>
          <w:rFonts w:ascii="Tahoma" w:hAnsi="Tahoma" w:cs="Tahoma"/>
          <w:sz w:val="22"/>
          <w:szCs w:val="22"/>
        </w:rPr>
      </w:pPr>
      <w:r w:rsidRPr="00732951">
        <w:rPr>
          <w:rFonts w:ascii="Tahoma" w:hAnsi="Tahoma" w:cs="Tahoma"/>
          <w:sz w:val="22"/>
          <w:szCs w:val="22"/>
        </w:rPr>
        <w:t>Established in 2005, the Federal Safety Commissioner works with industry and government stakeholders towards achieving the highest possible occupational health and safety standards on Australian building and construction projects.</w:t>
      </w:r>
    </w:p>
    <w:p w:rsidR="00732951" w:rsidRPr="00732951" w:rsidRDefault="00732951" w:rsidP="00732951">
      <w:pPr>
        <w:rPr>
          <w:rFonts w:ascii="Tahoma" w:hAnsi="Tahoma" w:cs="Tahoma"/>
          <w:sz w:val="22"/>
          <w:szCs w:val="22"/>
        </w:rPr>
      </w:pPr>
    </w:p>
    <w:p w:rsidR="00732951" w:rsidRPr="00732951" w:rsidRDefault="00732951" w:rsidP="00732951">
      <w:pPr>
        <w:rPr>
          <w:rFonts w:ascii="Tahoma" w:hAnsi="Tahoma" w:cs="Tahoma"/>
          <w:sz w:val="22"/>
          <w:szCs w:val="22"/>
        </w:rPr>
      </w:pPr>
      <w:r w:rsidRPr="00732951">
        <w:rPr>
          <w:rFonts w:ascii="Tahoma" w:hAnsi="Tahoma" w:cs="Tahoma"/>
          <w:sz w:val="22"/>
          <w:szCs w:val="22"/>
        </w:rPr>
        <w:t>The key functions of the FSC (and the office) include:</w:t>
      </w:r>
    </w:p>
    <w:p w:rsidR="00732951" w:rsidRPr="00732951" w:rsidRDefault="00732951" w:rsidP="00732951">
      <w:pPr>
        <w:pStyle w:val="ListParagraph"/>
        <w:numPr>
          <w:ilvl w:val="0"/>
          <w:numId w:val="23"/>
        </w:numPr>
        <w:rPr>
          <w:rFonts w:ascii="Tahoma" w:hAnsi="Tahoma" w:cs="Tahoma"/>
          <w:sz w:val="22"/>
          <w:szCs w:val="22"/>
        </w:rPr>
      </w:pPr>
      <w:r w:rsidRPr="00732951">
        <w:rPr>
          <w:rFonts w:ascii="Tahoma" w:hAnsi="Tahoma" w:cs="Tahoma"/>
          <w:sz w:val="22"/>
          <w:szCs w:val="22"/>
        </w:rPr>
        <w:t xml:space="preserve">promoting sustainable OHS cultural change in the building and construction industry; </w:t>
      </w:r>
    </w:p>
    <w:p w:rsidR="00732951" w:rsidRPr="00732951" w:rsidRDefault="00732951" w:rsidP="00732951">
      <w:pPr>
        <w:pStyle w:val="ListParagraph"/>
        <w:numPr>
          <w:ilvl w:val="0"/>
          <w:numId w:val="23"/>
        </w:numPr>
        <w:rPr>
          <w:rFonts w:ascii="Tahoma" w:hAnsi="Tahoma" w:cs="Tahoma"/>
          <w:sz w:val="22"/>
          <w:szCs w:val="22"/>
        </w:rPr>
      </w:pPr>
      <w:r w:rsidRPr="00732951">
        <w:rPr>
          <w:rFonts w:ascii="Tahoma" w:hAnsi="Tahoma" w:cs="Tahoma"/>
          <w:sz w:val="22"/>
          <w:szCs w:val="22"/>
        </w:rPr>
        <w:t xml:space="preserve">developing and administering the Australian Government Building and Construction OHS Accreditation Scheme; and </w:t>
      </w:r>
    </w:p>
    <w:p w:rsidR="00732951" w:rsidRDefault="00732951" w:rsidP="00732951">
      <w:pPr>
        <w:pStyle w:val="ListParagraph"/>
        <w:numPr>
          <w:ilvl w:val="0"/>
          <w:numId w:val="23"/>
        </w:numPr>
        <w:rPr>
          <w:rFonts w:ascii="Tahoma" w:hAnsi="Tahoma" w:cs="Tahoma"/>
          <w:sz w:val="22"/>
          <w:szCs w:val="22"/>
        </w:rPr>
      </w:pPr>
      <w:r w:rsidRPr="00732951">
        <w:rPr>
          <w:rFonts w:ascii="Tahoma" w:hAnsi="Tahoma" w:cs="Tahoma"/>
          <w:sz w:val="22"/>
          <w:szCs w:val="22"/>
        </w:rPr>
        <w:t>identifying and progressing initiatives to improve OHS performance.</w:t>
      </w:r>
    </w:p>
    <w:p w:rsidR="00732951" w:rsidRPr="00732951" w:rsidRDefault="00732951" w:rsidP="00732951">
      <w:pPr>
        <w:rPr>
          <w:rFonts w:ascii="Tahoma" w:hAnsi="Tahoma" w:cs="Tahoma"/>
          <w:sz w:val="22"/>
          <w:szCs w:val="22"/>
        </w:rPr>
      </w:pPr>
    </w:p>
    <w:p w:rsidR="00732951" w:rsidRPr="00732951" w:rsidRDefault="00732951" w:rsidP="00732951">
      <w:pPr>
        <w:rPr>
          <w:rFonts w:ascii="Tahoma" w:hAnsi="Tahoma" w:cs="Tahoma"/>
          <w:sz w:val="22"/>
          <w:szCs w:val="22"/>
        </w:rPr>
      </w:pPr>
      <w:r w:rsidRPr="00732951">
        <w:rPr>
          <w:rFonts w:ascii="Tahoma" w:hAnsi="Tahoma" w:cs="Tahoma"/>
          <w:sz w:val="22"/>
          <w:szCs w:val="22"/>
        </w:rPr>
        <w:t>The Office of the Federal Safety Commissioner (OFSC) is part of the Department of Education, Employment and Workplace Relations. The OFSC aims to promote and improve OHS in the Australian building and construction industry, by providing administrative support to the functions of the Federal Safety Commissioner.</w:t>
      </w:r>
    </w:p>
    <w:p w:rsidR="001A2CDB" w:rsidRPr="001A2CDB" w:rsidRDefault="0003210C" w:rsidP="000C224A">
      <w:pPr>
        <w:pStyle w:val="Heading2"/>
      </w:pPr>
      <w:bookmarkStart w:id="3" w:name="_Toc294789904"/>
      <w:r>
        <w:t>L</w:t>
      </w:r>
      <w:r w:rsidR="001A2CDB" w:rsidRPr="001A2CDB">
        <w:t>imitations</w:t>
      </w:r>
      <w:bookmarkEnd w:id="3"/>
    </w:p>
    <w:p w:rsidR="005E1982" w:rsidRDefault="005E1982" w:rsidP="00E9062C">
      <w:pPr>
        <w:rPr>
          <w:rFonts w:ascii="Tahoma" w:hAnsi="Tahoma" w:cs="Tahoma"/>
          <w:sz w:val="22"/>
          <w:szCs w:val="22"/>
        </w:rPr>
      </w:pPr>
      <w:r w:rsidRPr="0026519F">
        <w:rPr>
          <w:rFonts w:ascii="Tahoma" w:hAnsi="Tahoma" w:cs="Tahoma"/>
          <w:sz w:val="22"/>
          <w:szCs w:val="22"/>
        </w:rPr>
        <w:t>Prior to the introduction of biannual reporting</w:t>
      </w:r>
      <w:r>
        <w:rPr>
          <w:rFonts w:ascii="Tahoma" w:hAnsi="Tahoma" w:cs="Tahoma"/>
          <w:sz w:val="22"/>
          <w:szCs w:val="22"/>
        </w:rPr>
        <w:t xml:space="preserve"> in the December 2007 reporting period</w:t>
      </w:r>
      <w:r w:rsidRPr="0026519F">
        <w:rPr>
          <w:rFonts w:ascii="Tahoma" w:hAnsi="Tahoma" w:cs="Tahoma"/>
          <w:sz w:val="22"/>
          <w:szCs w:val="22"/>
        </w:rPr>
        <w:t xml:space="preserve">, </w:t>
      </w:r>
      <w:r>
        <w:rPr>
          <w:rFonts w:ascii="Tahoma" w:hAnsi="Tahoma" w:cs="Tahoma"/>
          <w:sz w:val="22"/>
          <w:szCs w:val="22"/>
        </w:rPr>
        <w:t>data</w:t>
      </w:r>
      <w:r w:rsidRPr="0026519F">
        <w:rPr>
          <w:rFonts w:ascii="Tahoma" w:hAnsi="Tahoma" w:cs="Tahoma"/>
          <w:sz w:val="22"/>
          <w:szCs w:val="22"/>
        </w:rPr>
        <w:t xml:space="preserve"> w</w:t>
      </w:r>
      <w:r>
        <w:rPr>
          <w:rFonts w:ascii="Tahoma" w:hAnsi="Tahoma" w:cs="Tahoma"/>
          <w:sz w:val="22"/>
          <w:szCs w:val="22"/>
        </w:rPr>
        <w:t>as</w:t>
      </w:r>
      <w:r w:rsidRPr="0026519F">
        <w:rPr>
          <w:rFonts w:ascii="Tahoma" w:hAnsi="Tahoma" w:cs="Tahoma"/>
          <w:sz w:val="22"/>
          <w:szCs w:val="22"/>
        </w:rPr>
        <w:t xml:space="preserve"> not split by type of project (</w:t>
      </w:r>
      <w:r>
        <w:rPr>
          <w:rFonts w:ascii="Tahoma" w:hAnsi="Tahoma" w:cs="Tahoma"/>
          <w:sz w:val="22"/>
          <w:szCs w:val="22"/>
        </w:rPr>
        <w:t xml:space="preserve">Scheme </w:t>
      </w:r>
      <w:r w:rsidRPr="0026519F">
        <w:rPr>
          <w:rFonts w:ascii="Tahoma" w:hAnsi="Tahoma" w:cs="Tahoma"/>
          <w:sz w:val="22"/>
          <w:szCs w:val="22"/>
        </w:rPr>
        <w:t>/ non-</w:t>
      </w:r>
      <w:r>
        <w:rPr>
          <w:rFonts w:ascii="Tahoma" w:hAnsi="Tahoma" w:cs="Tahoma"/>
          <w:sz w:val="22"/>
          <w:szCs w:val="22"/>
        </w:rPr>
        <w:t>Scheme</w:t>
      </w:r>
      <w:r w:rsidRPr="0026519F">
        <w:rPr>
          <w:rFonts w:ascii="Tahoma" w:hAnsi="Tahoma" w:cs="Tahoma"/>
          <w:sz w:val="22"/>
          <w:szCs w:val="22"/>
        </w:rPr>
        <w:t>). As a consequence, direct comparisons between biannual data and annual data are not practicable.</w:t>
      </w:r>
    </w:p>
    <w:p w:rsidR="00E9062C" w:rsidRDefault="00E9062C" w:rsidP="00E9062C">
      <w:pPr>
        <w:rPr>
          <w:rFonts w:ascii="Tahoma" w:hAnsi="Tahoma" w:cs="Tahoma"/>
          <w:sz w:val="22"/>
          <w:szCs w:val="22"/>
        </w:rPr>
      </w:pPr>
    </w:p>
    <w:p w:rsidR="005E1982" w:rsidRDefault="005E1982" w:rsidP="00E9062C">
      <w:pPr>
        <w:rPr>
          <w:rFonts w:ascii="Tahoma" w:hAnsi="Tahoma" w:cs="Tahoma"/>
          <w:sz w:val="22"/>
          <w:szCs w:val="22"/>
        </w:rPr>
      </w:pPr>
      <w:r>
        <w:rPr>
          <w:rFonts w:ascii="Tahoma" w:hAnsi="Tahoma" w:cs="Tahoma"/>
          <w:sz w:val="22"/>
          <w:szCs w:val="22"/>
        </w:rPr>
        <w:t>Where pos</w:t>
      </w:r>
      <w:r w:rsidR="00C5782F">
        <w:rPr>
          <w:rFonts w:ascii="Tahoma" w:hAnsi="Tahoma" w:cs="Tahoma"/>
          <w:sz w:val="22"/>
          <w:szCs w:val="22"/>
        </w:rPr>
        <w:t>sible comparisons with industry-</w:t>
      </w:r>
      <w:r>
        <w:rPr>
          <w:rFonts w:ascii="Tahoma" w:hAnsi="Tahoma" w:cs="Tahoma"/>
          <w:sz w:val="22"/>
          <w:szCs w:val="22"/>
        </w:rPr>
        <w:t>wide data are provided, however, the availability of this data is limited and is often not available until much later than the data reported by the Office of the Federal Safety Commissioner (OFSC).</w:t>
      </w:r>
    </w:p>
    <w:p w:rsidR="00E9062C" w:rsidRDefault="00E9062C" w:rsidP="00E9062C">
      <w:pPr>
        <w:rPr>
          <w:rFonts w:ascii="Tahoma" w:hAnsi="Tahoma" w:cs="Tahoma"/>
          <w:sz w:val="22"/>
          <w:szCs w:val="22"/>
        </w:rPr>
      </w:pPr>
    </w:p>
    <w:p w:rsidR="001E2471" w:rsidRDefault="001E2471" w:rsidP="00E9062C">
      <w:pPr>
        <w:rPr>
          <w:rFonts w:ascii="Tahoma" w:hAnsi="Tahoma" w:cs="Tahoma"/>
          <w:sz w:val="22"/>
          <w:szCs w:val="22"/>
        </w:rPr>
      </w:pPr>
      <w:r>
        <w:rPr>
          <w:rFonts w:ascii="Tahoma" w:hAnsi="Tahoma" w:cs="Tahoma"/>
          <w:sz w:val="22"/>
          <w:szCs w:val="22"/>
        </w:rPr>
        <w:lastRenderedPageBreak/>
        <w:t xml:space="preserve">Not all accredited companies provided biannual data for this report.  </w:t>
      </w:r>
    </w:p>
    <w:p w:rsidR="001A2CDB" w:rsidRPr="00DE0792" w:rsidRDefault="001A2CDB" w:rsidP="000C224A">
      <w:pPr>
        <w:pStyle w:val="Heading2"/>
      </w:pPr>
      <w:bookmarkStart w:id="4" w:name="_Toc294789905"/>
      <w:r w:rsidRPr="00DE0792">
        <w:t>Significant Achievements</w:t>
      </w:r>
      <w:bookmarkEnd w:id="4"/>
    </w:p>
    <w:p w:rsidR="00E9062C" w:rsidRDefault="00E9062C" w:rsidP="00E9062C">
      <w:pPr>
        <w:rPr>
          <w:rFonts w:ascii="Tahoma" w:hAnsi="Tahoma" w:cs="Tahoma"/>
          <w:sz w:val="22"/>
          <w:szCs w:val="22"/>
        </w:rPr>
      </w:pPr>
      <w:r>
        <w:rPr>
          <w:rFonts w:ascii="Tahoma" w:hAnsi="Tahoma" w:cs="Tahoma"/>
          <w:sz w:val="22"/>
          <w:szCs w:val="22"/>
        </w:rPr>
        <w:t xml:space="preserve">There was one Scheme project fatality and zero non-Scheme project fatalities in this biannual reporting period.  It should be noted that the frequency rates for accredited companies are inflated as hours for projects less than $3 million are not included even though all fatalities for these companies are. </w:t>
      </w:r>
      <w:r w:rsidR="0003210C">
        <w:rPr>
          <w:rFonts w:ascii="Tahoma" w:hAnsi="Tahoma" w:cs="Tahoma"/>
          <w:sz w:val="22"/>
          <w:szCs w:val="22"/>
        </w:rPr>
        <w:t xml:space="preserve"> </w:t>
      </w:r>
    </w:p>
    <w:p w:rsidR="00E9062C" w:rsidRDefault="00E9062C">
      <w:pPr>
        <w:rPr>
          <w:rFonts w:ascii="Tahoma" w:hAnsi="Tahoma" w:cs="Tahoma"/>
          <w:sz w:val="22"/>
          <w:szCs w:val="22"/>
        </w:rPr>
      </w:pPr>
    </w:p>
    <w:p w:rsidR="001A2CDB" w:rsidRDefault="00E9062C">
      <w:pPr>
        <w:rPr>
          <w:rFonts w:ascii="Tahoma" w:hAnsi="Tahoma" w:cs="Tahoma"/>
          <w:sz w:val="22"/>
          <w:szCs w:val="22"/>
        </w:rPr>
      </w:pPr>
      <w:r>
        <w:rPr>
          <w:rFonts w:ascii="Tahoma" w:hAnsi="Tahoma" w:cs="Tahoma"/>
          <w:sz w:val="22"/>
          <w:szCs w:val="22"/>
        </w:rPr>
        <w:t xml:space="preserve">For the </w:t>
      </w:r>
      <w:r w:rsidR="004925DD">
        <w:rPr>
          <w:rFonts w:ascii="Tahoma" w:hAnsi="Tahoma" w:cs="Tahoma"/>
          <w:sz w:val="22"/>
          <w:szCs w:val="22"/>
        </w:rPr>
        <w:t xml:space="preserve">January – </w:t>
      </w:r>
      <w:r>
        <w:rPr>
          <w:rFonts w:ascii="Tahoma" w:hAnsi="Tahoma" w:cs="Tahoma"/>
          <w:sz w:val="22"/>
          <w:szCs w:val="22"/>
        </w:rPr>
        <w:t xml:space="preserve">June 2010 period, around 68 per cent of all accredited contractors undertaking </w:t>
      </w:r>
      <w:r w:rsidRPr="000C224A">
        <w:rPr>
          <w:rStyle w:val="Strong"/>
        </w:rPr>
        <w:t>Scheme projects</w:t>
      </w:r>
      <w:r>
        <w:rPr>
          <w:rFonts w:ascii="Tahoma" w:hAnsi="Tahoma" w:cs="Tahoma"/>
          <w:sz w:val="22"/>
          <w:szCs w:val="22"/>
        </w:rPr>
        <w:t xml:space="preserve"> reported no LTI’s, while around 88 per cent were below the mean LTIFR for Scheme projects.  </w:t>
      </w:r>
    </w:p>
    <w:p w:rsidR="00E9062C" w:rsidRDefault="00E9062C">
      <w:pPr>
        <w:rPr>
          <w:rFonts w:ascii="Tahoma" w:hAnsi="Tahoma" w:cs="Tahoma"/>
          <w:sz w:val="22"/>
          <w:szCs w:val="22"/>
        </w:rPr>
      </w:pPr>
      <w:r>
        <w:rPr>
          <w:rFonts w:ascii="Tahoma" w:hAnsi="Tahoma" w:cs="Tahoma"/>
          <w:sz w:val="22"/>
          <w:szCs w:val="22"/>
        </w:rPr>
        <w:t xml:space="preserve">For the same period, around 38 per cent of all accredited contractors undertaking </w:t>
      </w:r>
      <w:r w:rsidRPr="000C224A">
        <w:rPr>
          <w:rStyle w:val="Strong"/>
        </w:rPr>
        <w:t>non-Scheme projects</w:t>
      </w:r>
      <w:r>
        <w:rPr>
          <w:rFonts w:ascii="Tahoma" w:hAnsi="Tahoma" w:cs="Tahoma"/>
          <w:sz w:val="22"/>
          <w:szCs w:val="22"/>
        </w:rPr>
        <w:t xml:space="preserve"> reported no LTI’s, while around 68 per cent were below the mean LTIFR for non-Scheme projects.</w:t>
      </w:r>
    </w:p>
    <w:p w:rsidR="001A2CDB" w:rsidRPr="001A2CDB" w:rsidRDefault="001A2CDB" w:rsidP="000C224A">
      <w:pPr>
        <w:pStyle w:val="Heading2"/>
      </w:pPr>
      <w:bookmarkStart w:id="5" w:name="_Toc294789906"/>
      <w:r w:rsidRPr="001A2CDB">
        <w:t>Room for Improvement</w:t>
      </w:r>
      <w:bookmarkEnd w:id="5"/>
    </w:p>
    <w:p w:rsidR="004925DD" w:rsidRDefault="0003210C" w:rsidP="0003210C">
      <w:pPr>
        <w:rPr>
          <w:rFonts w:ascii="Tahoma" w:hAnsi="Tahoma" w:cs="Tahoma"/>
          <w:sz w:val="22"/>
          <w:szCs w:val="22"/>
        </w:rPr>
      </w:pPr>
      <w:r w:rsidRPr="002841D1">
        <w:rPr>
          <w:rFonts w:ascii="Tahoma" w:hAnsi="Tahoma" w:cs="Tahoma"/>
          <w:sz w:val="22"/>
          <w:szCs w:val="22"/>
        </w:rPr>
        <w:t xml:space="preserve">The top </w:t>
      </w:r>
      <w:r w:rsidR="00FA570A">
        <w:rPr>
          <w:rFonts w:ascii="Tahoma" w:hAnsi="Tahoma" w:cs="Tahoma"/>
          <w:sz w:val="22"/>
          <w:szCs w:val="22"/>
        </w:rPr>
        <w:t>three</w:t>
      </w:r>
      <w:r w:rsidRPr="002841D1">
        <w:rPr>
          <w:rFonts w:ascii="Tahoma" w:hAnsi="Tahoma" w:cs="Tahoma"/>
          <w:sz w:val="22"/>
          <w:szCs w:val="22"/>
        </w:rPr>
        <w:t xml:space="preserve"> mechanism of incident groups accounted for </w:t>
      </w:r>
      <w:r w:rsidR="00FA570A">
        <w:rPr>
          <w:rFonts w:ascii="Tahoma" w:hAnsi="Tahoma" w:cs="Tahoma"/>
          <w:sz w:val="22"/>
          <w:szCs w:val="22"/>
        </w:rPr>
        <w:t>74.8</w:t>
      </w:r>
      <w:r w:rsidRPr="002841D1">
        <w:rPr>
          <w:rFonts w:ascii="Tahoma" w:hAnsi="Tahoma" w:cs="Tahoma"/>
          <w:sz w:val="22"/>
          <w:szCs w:val="22"/>
        </w:rPr>
        <w:t> per cent of all incidents for the</w:t>
      </w:r>
      <w:r w:rsidR="004925DD">
        <w:rPr>
          <w:rFonts w:ascii="Tahoma" w:hAnsi="Tahoma" w:cs="Tahoma"/>
          <w:sz w:val="22"/>
          <w:szCs w:val="22"/>
        </w:rPr>
        <w:t xml:space="preserve"> January – </w:t>
      </w:r>
      <w:r w:rsidRPr="002841D1">
        <w:rPr>
          <w:rFonts w:ascii="Tahoma" w:hAnsi="Tahoma" w:cs="Tahoma"/>
          <w:sz w:val="22"/>
          <w:szCs w:val="22"/>
        </w:rPr>
        <w:t>June 2010 reporting period.</w:t>
      </w:r>
      <w:r w:rsidR="00C5782F">
        <w:rPr>
          <w:rFonts w:ascii="Tahoma" w:hAnsi="Tahoma" w:cs="Tahoma"/>
          <w:sz w:val="22"/>
          <w:szCs w:val="22"/>
        </w:rPr>
        <w:t xml:space="preserve">  </w:t>
      </w:r>
      <w:r w:rsidR="004925DD">
        <w:rPr>
          <w:rFonts w:ascii="Tahoma" w:hAnsi="Tahoma" w:cs="Tahoma"/>
          <w:sz w:val="22"/>
          <w:szCs w:val="22"/>
        </w:rPr>
        <w:t xml:space="preserve">The breakdown for these </w:t>
      </w:r>
      <w:r w:rsidR="00FA570A">
        <w:rPr>
          <w:rFonts w:ascii="Tahoma" w:hAnsi="Tahoma" w:cs="Tahoma"/>
          <w:sz w:val="22"/>
          <w:szCs w:val="22"/>
        </w:rPr>
        <w:t>three</w:t>
      </w:r>
      <w:r w:rsidR="004925DD">
        <w:rPr>
          <w:rFonts w:ascii="Tahoma" w:hAnsi="Tahoma" w:cs="Tahoma"/>
          <w:sz w:val="22"/>
          <w:szCs w:val="22"/>
        </w:rPr>
        <w:t xml:space="preserve"> groups is:</w:t>
      </w:r>
    </w:p>
    <w:p w:rsidR="004925DD" w:rsidRDefault="004925DD" w:rsidP="0003210C">
      <w:pPr>
        <w:rPr>
          <w:rFonts w:ascii="Tahoma" w:hAnsi="Tahoma" w:cs="Tahoma"/>
          <w:sz w:val="22"/>
          <w:szCs w:val="22"/>
        </w:rPr>
      </w:pPr>
    </w:p>
    <w:p w:rsidR="004925DD" w:rsidRPr="00755A6E" w:rsidRDefault="004925DD" w:rsidP="00755A6E">
      <w:pPr>
        <w:rPr>
          <w:rFonts w:ascii="Tahoma" w:hAnsi="Tahoma" w:cs="Tahoma"/>
          <w:sz w:val="22"/>
          <w:szCs w:val="22"/>
        </w:rPr>
      </w:pPr>
      <w:r w:rsidRPr="00755A6E">
        <w:rPr>
          <w:rFonts w:ascii="Tahoma" w:hAnsi="Tahoma" w:cs="Tahoma"/>
          <w:sz w:val="22"/>
          <w:szCs w:val="22"/>
        </w:rPr>
        <w:t xml:space="preserve">26.7 per cent – </w:t>
      </w:r>
      <w:r w:rsidR="0003210C" w:rsidRPr="00755A6E">
        <w:rPr>
          <w:rFonts w:ascii="Tahoma" w:hAnsi="Tahoma" w:cs="Tahoma"/>
          <w:sz w:val="22"/>
          <w:szCs w:val="22"/>
        </w:rPr>
        <w:t>Group 4</w:t>
      </w:r>
      <w:r w:rsidR="00C5782F" w:rsidRPr="00755A6E">
        <w:rPr>
          <w:rFonts w:ascii="Tahoma" w:hAnsi="Tahoma" w:cs="Tahoma"/>
          <w:sz w:val="22"/>
          <w:szCs w:val="22"/>
        </w:rPr>
        <w:t xml:space="preserve"> (</w:t>
      </w:r>
      <w:r w:rsidR="00080E8D" w:rsidRPr="00755A6E">
        <w:rPr>
          <w:rFonts w:ascii="Tahoma" w:hAnsi="Tahoma" w:cs="Tahoma"/>
          <w:sz w:val="22"/>
          <w:szCs w:val="22"/>
        </w:rPr>
        <w:t>b</w:t>
      </w:r>
      <w:r w:rsidR="0003210C" w:rsidRPr="00755A6E">
        <w:rPr>
          <w:rFonts w:ascii="Tahoma" w:hAnsi="Tahoma" w:cs="Tahoma"/>
          <w:sz w:val="22"/>
          <w:szCs w:val="22"/>
        </w:rPr>
        <w:t>ody stressing</w:t>
      </w:r>
      <w:r w:rsidR="00C5782F" w:rsidRPr="00755A6E">
        <w:rPr>
          <w:rFonts w:ascii="Tahoma" w:hAnsi="Tahoma" w:cs="Tahoma"/>
          <w:sz w:val="22"/>
          <w:szCs w:val="22"/>
        </w:rPr>
        <w:t>)</w:t>
      </w:r>
      <w:r w:rsidR="00B92AF2" w:rsidRPr="00755A6E">
        <w:rPr>
          <w:rFonts w:ascii="Tahoma" w:hAnsi="Tahoma" w:cs="Tahoma"/>
          <w:sz w:val="22"/>
          <w:szCs w:val="22"/>
        </w:rPr>
        <w:t>;</w:t>
      </w:r>
    </w:p>
    <w:p w:rsidR="004925DD" w:rsidRPr="00755A6E" w:rsidRDefault="004925DD" w:rsidP="00755A6E">
      <w:pPr>
        <w:rPr>
          <w:rFonts w:ascii="Tahoma" w:hAnsi="Tahoma" w:cs="Tahoma"/>
          <w:sz w:val="22"/>
          <w:szCs w:val="22"/>
        </w:rPr>
      </w:pPr>
      <w:r w:rsidRPr="00755A6E">
        <w:rPr>
          <w:rFonts w:ascii="Tahoma" w:hAnsi="Tahoma" w:cs="Tahoma"/>
          <w:sz w:val="22"/>
          <w:szCs w:val="22"/>
        </w:rPr>
        <w:t xml:space="preserve">26.0 per cent – </w:t>
      </w:r>
      <w:r w:rsidR="00C5782F" w:rsidRPr="00755A6E">
        <w:rPr>
          <w:rFonts w:ascii="Tahoma" w:hAnsi="Tahoma" w:cs="Tahoma"/>
          <w:sz w:val="22"/>
          <w:szCs w:val="22"/>
        </w:rPr>
        <w:t>Group 0 (</w:t>
      </w:r>
      <w:r w:rsidR="00080E8D" w:rsidRPr="00755A6E">
        <w:rPr>
          <w:rFonts w:ascii="Tahoma" w:hAnsi="Tahoma" w:cs="Tahoma"/>
          <w:sz w:val="22"/>
          <w:szCs w:val="22"/>
        </w:rPr>
        <w:t>f</w:t>
      </w:r>
      <w:r w:rsidR="0003210C" w:rsidRPr="00755A6E">
        <w:rPr>
          <w:rFonts w:ascii="Tahoma" w:hAnsi="Tahoma" w:cs="Tahoma"/>
          <w:sz w:val="22"/>
          <w:szCs w:val="22"/>
        </w:rPr>
        <w:t>alls, trips and slips of a person</w:t>
      </w:r>
      <w:r w:rsidR="00C5782F" w:rsidRPr="00755A6E">
        <w:rPr>
          <w:rFonts w:ascii="Tahoma" w:hAnsi="Tahoma" w:cs="Tahoma"/>
          <w:sz w:val="22"/>
          <w:szCs w:val="22"/>
        </w:rPr>
        <w:t>)</w:t>
      </w:r>
      <w:r w:rsidR="00B92AF2" w:rsidRPr="00755A6E">
        <w:rPr>
          <w:rFonts w:ascii="Tahoma" w:hAnsi="Tahoma" w:cs="Tahoma"/>
          <w:sz w:val="22"/>
          <w:szCs w:val="22"/>
        </w:rPr>
        <w:t>;</w:t>
      </w:r>
    </w:p>
    <w:p w:rsidR="004925DD" w:rsidRDefault="004925DD" w:rsidP="0003210C">
      <w:pPr>
        <w:rPr>
          <w:rFonts w:ascii="Tahoma" w:hAnsi="Tahoma" w:cs="Tahoma"/>
          <w:sz w:val="22"/>
          <w:szCs w:val="22"/>
        </w:rPr>
      </w:pPr>
      <w:r w:rsidRPr="00755A6E">
        <w:rPr>
          <w:rFonts w:ascii="Tahoma" w:hAnsi="Tahoma" w:cs="Tahoma"/>
          <w:sz w:val="22"/>
          <w:szCs w:val="22"/>
        </w:rPr>
        <w:t>22.1 per cent</w:t>
      </w:r>
      <w:r w:rsidR="0003210C" w:rsidRPr="00755A6E">
        <w:rPr>
          <w:rFonts w:ascii="Tahoma" w:hAnsi="Tahoma" w:cs="Tahoma"/>
          <w:sz w:val="22"/>
          <w:szCs w:val="22"/>
        </w:rPr>
        <w:t xml:space="preserve"> </w:t>
      </w:r>
      <w:r w:rsidRPr="00755A6E">
        <w:rPr>
          <w:rFonts w:ascii="Tahoma" w:hAnsi="Tahoma" w:cs="Tahoma"/>
          <w:sz w:val="22"/>
          <w:szCs w:val="22"/>
        </w:rPr>
        <w:t xml:space="preserve">– </w:t>
      </w:r>
      <w:r w:rsidR="0003210C" w:rsidRPr="00755A6E">
        <w:rPr>
          <w:rFonts w:ascii="Tahoma" w:hAnsi="Tahoma" w:cs="Tahoma"/>
          <w:sz w:val="22"/>
          <w:szCs w:val="22"/>
        </w:rPr>
        <w:t xml:space="preserve">Group 2 </w:t>
      </w:r>
      <w:r w:rsidR="00C5782F" w:rsidRPr="00755A6E">
        <w:rPr>
          <w:rFonts w:ascii="Tahoma" w:hAnsi="Tahoma" w:cs="Tahoma"/>
          <w:sz w:val="22"/>
          <w:szCs w:val="22"/>
        </w:rPr>
        <w:t>(</w:t>
      </w:r>
      <w:r w:rsidR="00080E8D" w:rsidRPr="00755A6E">
        <w:rPr>
          <w:rFonts w:ascii="Tahoma" w:hAnsi="Tahoma" w:cs="Tahoma"/>
          <w:sz w:val="22"/>
          <w:szCs w:val="22"/>
        </w:rPr>
        <w:t>b</w:t>
      </w:r>
      <w:r w:rsidR="0003210C" w:rsidRPr="00755A6E">
        <w:rPr>
          <w:rFonts w:ascii="Tahoma" w:hAnsi="Tahoma" w:cs="Tahoma"/>
          <w:sz w:val="22"/>
          <w:szCs w:val="22"/>
        </w:rPr>
        <w:t>eing hit by moving objects</w:t>
      </w:r>
      <w:r w:rsidR="00C5782F" w:rsidRPr="00755A6E">
        <w:rPr>
          <w:rFonts w:ascii="Tahoma" w:hAnsi="Tahoma" w:cs="Tahoma"/>
          <w:sz w:val="22"/>
          <w:szCs w:val="22"/>
        </w:rPr>
        <w:t>)</w:t>
      </w:r>
      <w:r w:rsidR="00B92AF2" w:rsidRPr="00755A6E">
        <w:rPr>
          <w:rFonts w:ascii="Tahoma" w:hAnsi="Tahoma" w:cs="Tahoma"/>
          <w:sz w:val="22"/>
          <w:szCs w:val="22"/>
        </w:rPr>
        <w:t>.</w:t>
      </w:r>
    </w:p>
    <w:p w:rsidR="00F84096" w:rsidRPr="0003210C" w:rsidRDefault="00F84096" w:rsidP="0003210C">
      <w:pPr>
        <w:rPr>
          <w:rFonts w:ascii="Tahoma" w:hAnsi="Tahoma" w:cs="Tahoma"/>
          <w:sz w:val="22"/>
          <w:szCs w:val="22"/>
        </w:rPr>
      </w:pPr>
    </w:p>
    <w:p w:rsidR="006A69C3" w:rsidRPr="00DE49B6" w:rsidRDefault="006A69C3" w:rsidP="00F84096">
      <w:pPr>
        <w:pStyle w:val="Heading1"/>
        <w:spacing w:before="0"/>
      </w:pPr>
      <w:bookmarkStart w:id="6" w:name="_Toc294789907"/>
      <w:r w:rsidRPr="001A2CDB">
        <w:t>Background</w:t>
      </w:r>
      <w:bookmarkEnd w:id="6"/>
    </w:p>
    <w:p w:rsidR="001A2CDB" w:rsidRPr="00272A11" w:rsidRDefault="001A2CDB" w:rsidP="00F84096">
      <w:pPr>
        <w:pStyle w:val="Heading2"/>
        <w:spacing w:before="0"/>
      </w:pPr>
      <w:bookmarkStart w:id="7" w:name="_Toc294789908"/>
      <w:r w:rsidRPr="00272A11">
        <w:t>Number of Accredited Contractors</w:t>
      </w:r>
      <w:bookmarkEnd w:id="7"/>
    </w:p>
    <w:p w:rsidR="005E1982" w:rsidRDefault="002D0521" w:rsidP="005E1982">
      <w:pPr>
        <w:rPr>
          <w:rFonts w:ascii="Tahoma" w:hAnsi="Tahoma" w:cs="Tahoma"/>
          <w:sz w:val="22"/>
          <w:szCs w:val="22"/>
        </w:rPr>
      </w:pPr>
      <w:r>
        <w:rPr>
          <w:rFonts w:ascii="Tahoma" w:hAnsi="Tahoma" w:cs="Tahoma"/>
          <w:noProof/>
          <w:sz w:val="22"/>
          <w:szCs w:val="22"/>
        </w:rPr>
        <w:drawing>
          <wp:inline distT="0" distB="0" distL="0" distR="0">
            <wp:extent cx="5267325" cy="3019425"/>
            <wp:effectExtent l="19050" t="0" r="9525" b="0"/>
            <wp:docPr id="1" name="Picture 1" descr="Line Graph showing the number of accredited contractors. The X-axis represents the period the Y-axis the number of accredited contractors.&#10;&#10;- Number of accredited contractors (blue line) steadily increasing from approximately 67 to 184 &#10;- Number of contractors with nil projects (pink line) rising from approximately 3 to 20. &#10;&#10;These figures have been collected from periods July to December 2007 to January to Jun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267325" cy="3019425"/>
                    </a:xfrm>
                    <a:prstGeom prst="rect">
                      <a:avLst/>
                    </a:prstGeom>
                    <a:noFill/>
                    <a:ln w="9525">
                      <a:noFill/>
                      <a:miter lim="800000"/>
                      <a:headEnd/>
                      <a:tailEnd/>
                    </a:ln>
                  </pic:spPr>
                </pic:pic>
              </a:graphicData>
            </a:graphic>
          </wp:inline>
        </w:drawing>
      </w:r>
    </w:p>
    <w:p w:rsidR="00761B52" w:rsidRDefault="005E1982" w:rsidP="00755A6E">
      <w:pPr>
        <w:spacing w:before="100" w:beforeAutospacing="1" w:after="120"/>
        <w:rPr>
          <w:rFonts w:ascii="Tahoma" w:hAnsi="Tahoma" w:cs="Tahoma"/>
          <w:sz w:val="22"/>
          <w:szCs w:val="22"/>
        </w:rPr>
      </w:pPr>
      <w:r w:rsidRPr="003E58F1">
        <w:rPr>
          <w:rFonts w:ascii="Tahoma" w:hAnsi="Tahoma" w:cs="Tahoma"/>
          <w:sz w:val="22"/>
          <w:szCs w:val="22"/>
        </w:rPr>
        <w:lastRenderedPageBreak/>
        <w:t xml:space="preserve">Between the June 2009 and June 2010 reporting periods there was a 26 per cent increase in the number of accredited contractors providing biannual data, with 146 accredited contractors reporting in the June 2009 period and 184 reporting in </w:t>
      </w:r>
      <w:r w:rsidR="00CE5AB5">
        <w:rPr>
          <w:rFonts w:ascii="Tahoma" w:hAnsi="Tahoma" w:cs="Tahoma"/>
          <w:sz w:val="22"/>
          <w:szCs w:val="22"/>
        </w:rPr>
        <w:t xml:space="preserve">the </w:t>
      </w:r>
      <w:r w:rsidRPr="003E58F1">
        <w:rPr>
          <w:rFonts w:ascii="Tahoma" w:hAnsi="Tahoma" w:cs="Tahoma"/>
          <w:sz w:val="22"/>
          <w:szCs w:val="22"/>
        </w:rPr>
        <w:t>June 2010 period</w:t>
      </w:r>
      <w:r>
        <w:rPr>
          <w:rStyle w:val="FootnoteReference"/>
          <w:rFonts w:ascii="Tahoma" w:hAnsi="Tahoma"/>
          <w:sz w:val="22"/>
          <w:szCs w:val="22"/>
        </w:rPr>
        <w:footnoteReference w:id="1"/>
      </w:r>
      <w:r w:rsidRPr="003E58F1">
        <w:rPr>
          <w:rFonts w:ascii="Tahoma" w:hAnsi="Tahoma" w:cs="Tahoma"/>
          <w:sz w:val="22"/>
          <w:szCs w:val="22"/>
        </w:rPr>
        <w:t>. Of the 184 accredited contractors reporting in the June 2010 period, 20 reported nil projects</w:t>
      </w:r>
      <w:r w:rsidR="00FA570A">
        <w:rPr>
          <w:rStyle w:val="FootnoteReference"/>
          <w:rFonts w:ascii="Tahoma" w:hAnsi="Tahoma"/>
          <w:sz w:val="22"/>
          <w:szCs w:val="22"/>
        </w:rPr>
        <w:footnoteReference w:id="2"/>
      </w:r>
      <w:r w:rsidRPr="003E58F1">
        <w:rPr>
          <w:rFonts w:ascii="Tahoma" w:hAnsi="Tahoma" w:cs="Tahoma"/>
          <w:sz w:val="22"/>
          <w:szCs w:val="22"/>
        </w:rPr>
        <w:t xml:space="preserve"> compared to 16 in the June 2009 period.</w:t>
      </w:r>
    </w:p>
    <w:p w:rsidR="000005CA" w:rsidRDefault="000005CA" w:rsidP="00755A6E">
      <w:pPr>
        <w:spacing w:before="100" w:beforeAutospacing="1" w:after="120"/>
        <w:rPr>
          <w:rFonts w:ascii="Tahoma" w:hAnsi="Tahoma" w:cs="Tahoma"/>
          <w:sz w:val="22"/>
          <w:szCs w:val="22"/>
        </w:rPr>
      </w:pPr>
    </w:p>
    <w:p w:rsidR="00F1628F" w:rsidRDefault="00F1628F" w:rsidP="00755A6E">
      <w:pPr>
        <w:spacing w:before="100" w:beforeAutospacing="1" w:after="120"/>
        <w:rPr>
          <w:rFonts w:ascii="Tahoma" w:hAnsi="Tahoma" w:cs="Tahoma"/>
          <w:sz w:val="22"/>
          <w:szCs w:val="22"/>
        </w:rPr>
      </w:pPr>
    </w:p>
    <w:p w:rsidR="00F1628F" w:rsidRPr="003E58F1" w:rsidRDefault="00F1628F" w:rsidP="00755A6E">
      <w:pPr>
        <w:spacing w:before="100" w:beforeAutospacing="1" w:after="120"/>
        <w:rPr>
          <w:rFonts w:ascii="Tahoma" w:hAnsi="Tahoma" w:cs="Tahoma"/>
          <w:sz w:val="22"/>
          <w:szCs w:val="22"/>
        </w:rPr>
      </w:pPr>
    </w:p>
    <w:p w:rsidR="001A2CDB" w:rsidRPr="001A2CDB" w:rsidRDefault="001A2CDB" w:rsidP="00F84096">
      <w:pPr>
        <w:pStyle w:val="Heading2"/>
        <w:spacing w:before="0"/>
      </w:pPr>
      <w:bookmarkStart w:id="8" w:name="_Toc294789909"/>
      <w:r w:rsidRPr="001A2CDB">
        <w:t>Number of Projects</w:t>
      </w:r>
      <w:bookmarkEnd w:id="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27"/>
        <w:gridCol w:w="1732"/>
        <w:gridCol w:w="1664"/>
        <w:gridCol w:w="1733"/>
        <w:gridCol w:w="1664"/>
      </w:tblGrid>
      <w:tr w:rsidR="005E1982" w:rsidRPr="00AE62D6" w:rsidTr="00761B52">
        <w:trPr>
          <w:jc w:val="center"/>
        </w:trPr>
        <w:tc>
          <w:tcPr>
            <w:tcW w:w="1627" w:type="dxa"/>
            <w:vAlign w:val="bottom"/>
          </w:tcPr>
          <w:p w:rsidR="005E1982" w:rsidRPr="00AE62D6" w:rsidRDefault="005E1982" w:rsidP="005E1982">
            <w:pPr>
              <w:spacing w:before="20" w:after="20"/>
              <w:jc w:val="center"/>
              <w:rPr>
                <w:rFonts w:ascii="Tahoma" w:hAnsi="Tahoma" w:cs="Tahoma"/>
                <w:b/>
                <w:sz w:val="20"/>
              </w:rPr>
            </w:pPr>
            <w:r w:rsidRPr="00AE62D6">
              <w:rPr>
                <w:rFonts w:ascii="Tahoma" w:hAnsi="Tahoma" w:cs="Tahoma"/>
                <w:b/>
                <w:sz w:val="20"/>
              </w:rPr>
              <w:t>Period</w:t>
            </w:r>
          </w:p>
        </w:tc>
        <w:tc>
          <w:tcPr>
            <w:tcW w:w="1732" w:type="dxa"/>
            <w:vAlign w:val="bottom"/>
          </w:tcPr>
          <w:p w:rsidR="005E1982" w:rsidRPr="00AE62D6" w:rsidRDefault="00761B52" w:rsidP="005E1982">
            <w:pPr>
              <w:spacing w:before="20" w:after="20"/>
              <w:jc w:val="center"/>
              <w:rPr>
                <w:rFonts w:ascii="Tahoma" w:hAnsi="Tahoma" w:cs="Tahoma"/>
                <w:b/>
                <w:sz w:val="20"/>
              </w:rPr>
            </w:pPr>
            <w:r>
              <w:rPr>
                <w:rFonts w:ascii="Tahoma" w:hAnsi="Tahoma" w:cs="Tahoma"/>
                <w:b/>
                <w:sz w:val="20"/>
              </w:rPr>
              <w:t xml:space="preserve">Number of </w:t>
            </w:r>
            <w:r w:rsidR="005E1982" w:rsidRPr="00AE62D6">
              <w:rPr>
                <w:rFonts w:ascii="Tahoma" w:hAnsi="Tahoma" w:cs="Tahoma"/>
                <w:b/>
                <w:sz w:val="20"/>
              </w:rPr>
              <w:t>Accredited contractors</w:t>
            </w:r>
          </w:p>
          <w:p w:rsidR="005E1982" w:rsidRPr="00AE62D6" w:rsidRDefault="00761B52" w:rsidP="005E1982">
            <w:pPr>
              <w:spacing w:before="20" w:after="20"/>
              <w:jc w:val="center"/>
              <w:rPr>
                <w:rFonts w:ascii="Tahoma" w:hAnsi="Tahoma" w:cs="Tahoma"/>
                <w:b/>
                <w:sz w:val="20"/>
              </w:rPr>
            </w:pPr>
            <w:r>
              <w:rPr>
                <w:rFonts w:ascii="Tahoma" w:hAnsi="Tahoma" w:cs="Tahoma"/>
                <w:b/>
                <w:sz w:val="20"/>
              </w:rPr>
              <w:t>with</w:t>
            </w:r>
            <w:r w:rsidR="003112E2">
              <w:rPr>
                <w:rFonts w:ascii="Tahoma" w:hAnsi="Tahoma" w:cs="Tahoma"/>
                <w:b/>
                <w:sz w:val="20"/>
              </w:rPr>
              <w:t xml:space="preserve"> Scheme p</w:t>
            </w:r>
            <w:r>
              <w:rPr>
                <w:rFonts w:ascii="Tahoma" w:hAnsi="Tahoma" w:cs="Tahoma"/>
                <w:b/>
                <w:sz w:val="20"/>
              </w:rPr>
              <w:t>rojects</w:t>
            </w:r>
          </w:p>
        </w:tc>
        <w:tc>
          <w:tcPr>
            <w:tcW w:w="1664" w:type="dxa"/>
            <w:vAlign w:val="bottom"/>
          </w:tcPr>
          <w:p w:rsidR="005E1982" w:rsidRPr="00AE62D6" w:rsidRDefault="00761B52" w:rsidP="005E1982">
            <w:pPr>
              <w:spacing w:before="20" w:after="20"/>
              <w:jc w:val="center"/>
              <w:rPr>
                <w:rFonts w:ascii="Tahoma" w:hAnsi="Tahoma" w:cs="Tahoma"/>
                <w:b/>
                <w:sz w:val="20"/>
              </w:rPr>
            </w:pPr>
            <w:r>
              <w:rPr>
                <w:rFonts w:ascii="Tahoma" w:hAnsi="Tahoma" w:cs="Tahoma"/>
                <w:b/>
                <w:sz w:val="20"/>
              </w:rPr>
              <w:t xml:space="preserve">Number of Scheme </w:t>
            </w:r>
            <w:r w:rsidR="003112E2">
              <w:rPr>
                <w:rFonts w:ascii="Tahoma" w:hAnsi="Tahoma" w:cs="Tahoma"/>
                <w:b/>
                <w:sz w:val="20"/>
              </w:rPr>
              <w:t>p</w:t>
            </w:r>
            <w:r w:rsidR="005E1982" w:rsidRPr="00AE62D6">
              <w:rPr>
                <w:rFonts w:ascii="Tahoma" w:hAnsi="Tahoma" w:cs="Tahoma"/>
                <w:b/>
                <w:sz w:val="20"/>
              </w:rPr>
              <w:t>rojects</w:t>
            </w:r>
          </w:p>
        </w:tc>
        <w:tc>
          <w:tcPr>
            <w:tcW w:w="1733" w:type="dxa"/>
            <w:vAlign w:val="bottom"/>
          </w:tcPr>
          <w:p w:rsidR="005E1982" w:rsidRPr="00AE62D6" w:rsidRDefault="00761B52" w:rsidP="00761B52">
            <w:pPr>
              <w:spacing w:before="20" w:after="20"/>
              <w:jc w:val="center"/>
              <w:rPr>
                <w:rFonts w:ascii="Tahoma" w:hAnsi="Tahoma" w:cs="Tahoma"/>
                <w:b/>
                <w:sz w:val="20"/>
              </w:rPr>
            </w:pPr>
            <w:r>
              <w:rPr>
                <w:rFonts w:ascii="Tahoma" w:hAnsi="Tahoma" w:cs="Tahoma"/>
                <w:b/>
                <w:sz w:val="20"/>
              </w:rPr>
              <w:t xml:space="preserve">Number of </w:t>
            </w:r>
            <w:r w:rsidR="005E1982" w:rsidRPr="00AE62D6">
              <w:rPr>
                <w:rFonts w:ascii="Tahoma" w:hAnsi="Tahoma" w:cs="Tahoma"/>
                <w:b/>
                <w:sz w:val="20"/>
              </w:rPr>
              <w:t>Accredited contractors</w:t>
            </w:r>
            <w:r w:rsidR="003112E2">
              <w:rPr>
                <w:rFonts w:ascii="Tahoma" w:hAnsi="Tahoma" w:cs="Tahoma"/>
                <w:b/>
                <w:sz w:val="20"/>
              </w:rPr>
              <w:t xml:space="preserve"> with Non-Scheme p</w:t>
            </w:r>
            <w:r>
              <w:rPr>
                <w:rFonts w:ascii="Tahoma" w:hAnsi="Tahoma" w:cs="Tahoma"/>
                <w:b/>
                <w:sz w:val="20"/>
              </w:rPr>
              <w:t>rojects</w:t>
            </w:r>
          </w:p>
        </w:tc>
        <w:tc>
          <w:tcPr>
            <w:tcW w:w="1664" w:type="dxa"/>
            <w:vAlign w:val="bottom"/>
          </w:tcPr>
          <w:p w:rsidR="005E1982" w:rsidRPr="00AE62D6" w:rsidRDefault="00761B52" w:rsidP="005E1982">
            <w:pPr>
              <w:spacing w:before="20" w:after="20"/>
              <w:jc w:val="center"/>
              <w:rPr>
                <w:rFonts w:ascii="Tahoma" w:hAnsi="Tahoma" w:cs="Tahoma"/>
                <w:b/>
                <w:sz w:val="20"/>
              </w:rPr>
            </w:pPr>
            <w:r>
              <w:rPr>
                <w:rFonts w:ascii="Tahoma" w:hAnsi="Tahoma" w:cs="Tahoma"/>
                <w:b/>
                <w:sz w:val="20"/>
              </w:rPr>
              <w:t xml:space="preserve">Number of Non-Scheme </w:t>
            </w:r>
            <w:r w:rsidR="003112E2">
              <w:rPr>
                <w:rFonts w:ascii="Tahoma" w:hAnsi="Tahoma" w:cs="Tahoma"/>
                <w:b/>
                <w:sz w:val="20"/>
              </w:rPr>
              <w:t>p</w:t>
            </w:r>
            <w:r w:rsidR="005E1982" w:rsidRPr="00AE62D6">
              <w:rPr>
                <w:rFonts w:ascii="Tahoma" w:hAnsi="Tahoma" w:cs="Tahoma"/>
                <w:b/>
                <w:sz w:val="20"/>
              </w:rPr>
              <w:t>rojects</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2007</w:t>
            </w:r>
          </w:p>
        </w:tc>
        <w:tc>
          <w:tcPr>
            <w:tcW w:w="1732"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25</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42</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58</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1,019</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2008</w:t>
            </w:r>
          </w:p>
        </w:tc>
        <w:tc>
          <w:tcPr>
            <w:tcW w:w="1732"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32</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71</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85</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1,212</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2008</w:t>
            </w:r>
          </w:p>
        </w:tc>
        <w:tc>
          <w:tcPr>
            <w:tcW w:w="1732"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44</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103</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107</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1,416</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2009</w:t>
            </w:r>
          </w:p>
        </w:tc>
        <w:tc>
          <w:tcPr>
            <w:tcW w:w="1732"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61</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128</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124</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1,730</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2009</w:t>
            </w:r>
          </w:p>
        </w:tc>
        <w:tc>
          <w:tcPr>
            <w:tcW w:w="1732"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75</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183</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14</w:t>
            </w:r>
            <w:r>
              <w:rPr>
                <w:rFonts w:ascii="Tahoma" w:hAnsi="Tahoma" w:cs="Tahoma"/>
                <w:sz w:val="20"/>
              </w:rPr>
              <w:t>5</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2,1</w:t>
            </w:r>
            <w:r>
              <w:rPr>
                <w:rFonts w:ascii="Tahoma" w:hAnsi="Tahoma" w:cs="Tahoma"/>
                <w:sz w:val="20"/>
              </w:rPr>
              <w:t>70</w:t>
            </w:r>
          </w:p>
        </w:tc>
      </w:tr>
      <w:tr w:rsidR="005E1982" w:rsidRPr="00AE62D6" w:rsidTr="00DE0792">
        <w:trPr>
          <w:jc w:val="center"/>
        </w:trPr>
        <w:tc>
          <w:tcPr>
            <w:tcW w:w="1627"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2010</w:t>
            </w:r>
          </w:p>
        </w:tc>
        <w:tc>
          <w:tcPr>
            <w:tcW w:w="1732" w:type="dxa"/>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94</w:t>
            </w:r>
          </w:p>
        </w:tc>
        <w:tc>
          <w:tcPr>
            <w:tcW w:w="1664"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w:t>
            </w:r>
            <w:r>
              <w:rPr>
                <w:rFonts w:ascii="Tahoma" w:hAnsi="Tahoma" w:cs="Tahoma"/>
                <w:sz w:val="20"/>
              </w:rPr>
              <w:t>49</w:t>
            </w:r>
          </w:p>
        </w:tc>
        <w:tc>
          <w:tcPr>
            <w:tcW w:w="1733" w:type="dxa"/>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w:t>
            </w:r>
            <w:r>
              <w:rPr>
                <w:rFonts w:ascii="Tahoma" w:hAnsi="Tahoma" w:cs="Tahoma"/>
                <w:sz w:val="20"/>
              </w:rPr>
              <w:t>53</w:t>
            </w:r>
          </w:p>
        </w:tc>
        <w:tc>
          <w:tcPr>
            <w:tcW w:w="1664" w:type="dxa"/>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2</w:t>
            </w:r>
            <w:r w:rsidRPr="00AE62D6">
              <w:rPr>
                <w:rFonts w:ascii="Tahoma" w:hAnsi="Tahoma" w:cs="Tahoma"/>
                <w:sz w:val="20"/>
              </w:rPr>
              <w:t>,</w:t>
            </w:r>
            <w:r>
              <w:rPr>
                <w:rFonts w:ascii="Tahoma" w:hAnsi="Tahoma" w:cs="Tahoma"/>
                <w:sz w:val="20"/>
              </w:rPr>
              <w:t>255</w:t>
            </w:r>
          </w:p>
        </w:tc>
      </w:tr>
    </w:tbl>
    <w:p w:rsidR="005E1982" w:rsidRPr="00E20668" w:rsidRDefault="005E1982" w:rsidP="00755A6E">
      <w:pPr>
        <w:spacing w:before="100" w:beforeAutospacing="1" w:after="120"/>
        <w:rPr>
          <w:rFonts w:ascii="Tahoma" w:hAnsi="Tahoma" w:cs="Tahoma"/>
          <w:bCs/>
          <w:sz w:val="22"/>
          <w:szCs w:val="22"/>
        </w:rPr>
      </w:pPr>
      <w:r w:rsidRPr="00E20668">
        <w:rPr>
          <w:rFonts w:ascii="Tahoma" w:hAnsi="Tahoma" w:cs="Tahoma"/>
          <w:sz w:val="22"/>
          <w:szCs w:val="22"/>
        </w:rPr>
        <w:t xml:space="preserve">Between the </w:t>
      </w:r>
      <w:r>
        <w:rPr>
          <w:rFonts w:ascii="Tahoma" w:hAnsi="Tahoma" w:cs="Tahoma"/>
          <w:sz w:val="22"/>
          <w:szCs w:val="22"/>
        </w:rPr>
        <w:t>June</w:t>
      </w:r>
      <w:r w:rsidRPr="00E20668">
        <w:rPr>
          <w:rFonts w:ascii="Tahoma" w:hAnsi="Tahoma" w:cs="Tahoma"/>
          <w:sz w:val="22"/>
          <w:szCs w:val="22"/>
        </w:rPr>
        <w:t> 200</w:t>
      </w:r>
      <w:r>
        <w:rPr>
          <w:rFonts w:ascii="Tahoma" w:hAnsi="Tahoma" w:cs="Tahoma"/>
          <w:sz w:val="22"/>
          <w:szCs w:val="22"/>
        </w:rPr>
        <w:t>9</w:t>
      </w:r>
      <w:r w:rsidRPr="00E20668">
        <w:rPr>
          <w:rFonts w:ascii="Tahoma" w:hAnsi="Tahoma" w:cs="Tahoma"/>
          <w:sz w:val="22"/>
          <w:szCs w:val="22"/>
        </w:rPr>
        <w:t xml:space="preserve"> and </w:t>
      </w:r>
      <w:r>
        <w:rPr>
          <w:rFonts w:ascii="Tahoma" w:hAnsi="Tahoma" w:cs="Tahoma"/>
          <w:sz w:val="22"/>
          <w:szCs w:val="22"/>
        </w:rPr>
        <w:t>June</w:t>
      </w:r>
      <w:r w:rsidRPr="00E20668">
        <w:rPr>
          <w:rFonts w:ascii="Tahoma" w:hAnsi="Tahoma" w:cs="Tahoma"/>
          <w:sz w:val="22"/>
          <w:szCs w:val="22"/>
        </w:rPr>
        <w:t> 20</w:t>
      </w:r>
      <w:r>
        <w:rPr>
          <w:rFonts w:ascii="Tahoma" w:hAnsi="Tahoma" w:cs="Tahoma"/>
          <w:sz w:val="22"/>
          <w:szCs w:val="22"/>
        </w:rPr>
        <w:t>10</w:t>
      </w:r>
      <w:r w:rsidRPr="00E20668">
        <w:rPr>
          <w:rFonts w:ascii="Tahoma" w:hAnsi="Tahoma" w:cs="Tahoma"/>
          <w:sz w:val="22"/>
          <w:szCs w:val="22"/>
        </w:rPr>
        <w:t xml:space="preserve"> reporting periods the number of Scheme projects increased </w:t>
      </w:r>
      <w:r>
        <w:rPr>
          <w:rFonts w:ascii="Tahoma" w:hAnsi="Tahoma" w:cs="Tahoma"/>
          <w:sz w:val="22"/>
          <w:szCs w:val="22"/>
        </w:rPr>
        <w:t>95</w:t>
      </w:r>
      <w:r w:rsidRPr="00E20668">
        <w:rPr>
          <w:rFonts w:ascii="Tahoma" w:hAnsi="Tahoma" w:cs="Tahoma"/>
          <w:sz w:val="22"/>
          <w:szCs w:val="22"/>
        </w:rPr>
        <w:t xml:space="preserve"> per cent, while the number of accredited contractors undertaking these projects increased </w:t>
      </w:r>
      <w:r>
        <w:rPr>
          <w:rFonts w:ascii="Tahoma" w:hAnsi="Tahoma" w:cs="Tahoma"/>
          <w:sz w:val="22"/>
          <w:szCs w:val="22"/>
        </w:rPr>
        <w:t>54</w:t>
      </w:r>
      <w:r w:rsidRPr="00E20668">
        <w:rPr>
          <w:rFonts w:ascii="Tahoma" w:hAnsi="Tahoma" w:cs="Tahoma"/>
          <w:sz w:val="22"/>
          <w:szCs w:val="22"/>
        </w:rPr>
        <w:t> per cent.</w:t>
      </w:r>
    </w:p>
    <w:p w:rsidR="005E1982" w:rsidRPr="003E58F1" w:rsidRDefault="005E1982" w:rsidP="00755A6E">
      <w:pPr>
        <w:spacing w:before="100" w:beforeAutospacing="1" w:after="120"/>
        <w:rPr>
          <w:rFonts w:ascii="Tahoma" w:hAnsi="Tahoma" w:cs="Tahoma"/>
          <w:bCs/>
          <w:sz w:val="22"/>
          <w:szCs w:val="22"/>
        </w:rPr>
      </w:pPr>
      <w:r w:rsidRPr="00E20668">
        <w:rPr>
          <w:rFonts w:ascii="Tahoma" w:hAnsi="Tahoma" w:cs="Tahoma"/>
          <w:sz w:val="22"/>
          <w:szCs w:val="22"/>
        </w:rPr>
        <w:t xml:space="preserve">Over the same time, the number of non-Scheme projects increased </w:t>
      </w:r>
      <w:r>
        <w:rPr>
          <w:rFonts w:ascii="Tahoma" w:hAnsi="Tahoma" w:cs="Tahoma"/>
          <w:sz w:val="22"/>
          <w:szCs w:val="22"/>
        </w:rPr>
        <w:t>30</w:t>
      </w:r>
      <w:r w:rsidRPr="00E20668">
        <w:rPr>
          <w:rFonts w:ascii="Tahoma" w:hAnsi="Tahoma" w:cs="Tahoma"/>
          <w:sz w:val="22"/>
          <w:szCs w:val="22"/>
        </w:rPr>
        <w:t xml:space="preserve"> per cent, while the number of accredited contractors undertaking these projects increased </w:t>
      </w:r>
      <w:r>
        <w:rPr>
          <w:rFonts w:ascii="Tahoma" w:hAnsi="Tahoma" w:cs="Tahoma"/>
          <w:sz w:val="22"/>
          <w:szCs w:val="22"/>
        </w:rPr>
        <w:t>23</w:t>
      </w:r>
      <w:r w:rsidRPr="00E20668">
        <w:rPr>
          <w:rFonts w:ascii="Tahoma" w:hAnsi="Tahoma" w:cs="Tahoma"/>
          <w:sz w:val="22"/>
          <w:szCs w:val="22"/>
        </w:rPr>
        <w:t> per cent.</w:t>
      </w:r>
    </w:p>
    <w:p w:rsidR="001A2CDB" w:rsidRDefault="001A2CDB" w:rsidP="000C224A">
      <w:pPr>
        <w:pStyle w:val="Heading2"/>
      </w:pPr>
      <w:bookmarkStart w:id="9" w:name="_Toc294789910"/>
      <w:r w:rsidRPr="00272A11">
        <w:t>Number Employed/Hours Worked</w:t>
      </w:r>
      <w:bookmarkEnd w:id="9"/>
    </w:p>
    <w:p w:rsidR="005E1982" w:rsidRDefault="005E1982" w:rsidP="005E1982">
      <w:pPr>
        <w:spacing w:before="100" w:beforeAutospacing="1" w:after="120"/>
        <w:rPr>
          <w:rFonts w:ascii="Tahoma" w:hAnsi="Tahoma" w:cs="Tahoma"/>
          <w:sz w:val="22"/>
          <w:szCs w:val="22"/>
        </w:rPr>
      </w:pPr>
      <w:r w:rsidRPr="00CE57EB">
        <w:rPr>
          <w:rFonts w:ascii="Tahoma" w:hAnsi="Tahoma" w:cs="Tahoma"/>
          <w:sz w:val="22"/>
          <w:szCs w:val="22"/>
        </w:rPr>
        <w:t>From mid 2009, accredited contractors were asked to report head contractor employees [overall] and the number of hours worked on both Scheme projects and non</w:t>
      </w:r>
      <w:r>
        <w:rPr>
          <w:rFonts w:ascii="Tahoma" w:hAnsi="Tahoma" w:cs="Tahoma"/>
          <w:sz w:val="22"/>
          <w:szCs w:val="22"/>
        </w:rPr>
        <w:t>-Scheme projects valued at $3 million or more.</w:t>
      </w:r>
    </w:p>
    <w:p w:rsidR="005E1982" w:rsidRDefault="005E1982" w:rsidP="005E1982">
      <w:pPr>
        <w:spacing w:before="100" w:beforeAutospacing="1" w:after="120"/>
        <w:rPr>
          <w:rFonts w:ascii="Tahoma" w:hAnsi="Tahoma" w:cs="Tahoma"/>
          <w:sz w:val="22"/>
          <w:szCs w:val="22"/>
        </w:rPr>
      </w:pPr>
      <w:r>
        <w:rPr>
          <w:rFonts w:ascii="Tahoma" w:hAnsi="Tahoma" w:cs="Tahoma"/>
          <w:sz w:val="22"/>
          <w:szCs w:val="22"/>
        </w:rPr>
        <w:t>In previous periods, a</w:t>
      </w:r>
      <w:r w:rsidRPr="00571187">
        <w:rPr>
          <w:rFonts w:ascii="Tahoma" w:hAnsi="Tahoma" w:cs="Tahoma"/>
          <w:sz w:val="22"/>
          <w:szCs w:val="22"/>
        </w:rPr>
        <w:t>ccredited contractors report</w:t>
      </w:r>
      <w:r>
        <w:rPr>
          <w:rFonts w:ascii="Tahoma" w:hAnsi="Tahoma" w:cs="Tahoma"/>
          <w:sz w:val="22"/>
          <w:szCs w:val="22"/>
        </w:rPr>
        <w:t>ed</w:t>
      </w:r>
      <w:r w:rsidRPr="00571187">
        <w:rPr>
          <w:rFonts w:ascii="Tahoma" w:hAnsi="Tahoma" w:cs="Tahoma"/>
          <w:sz w:val="22"/>
          <w:szCs w:val="22"/>
        </w:rPr>
        <w:t xml:space="preserve"> the number of head contractor employees and subcontractor</w:t>
      </w:r>
      <w:r>
        <w:rPr>
          <w:rFonts w:ascii="Tahoma" w:hAnsi="Tahoma" w:cs="Tahoma"/>
          <w:sz w:val="22"/>
          <w:szCs w:val="22"/>
        </w:rPr>
        <w:t>s</w:t>
      </w:r>
      <w:r w:rsidRPr="00571187">
        <w:rPr>
          <w:rFonts w:ascii="Tahoma" w:hAnsi="Tahoma" w:cs="Tahoma"/>
          <w:sz w:val="22"/>
          <w:szCs w:val="22"/>
        </w:rPr>
        <w:t xml:space="preserve"> </w:t>
      </w:r>
      <w:r w:rsidRPr="00571187">
        <w:rPr>
          <w:rFonts w:ascii="Tahoma" w:hAnsi="Tahoma" w:cs="Tahoma"/>
          <w:sz w:val="22"/>
          <w:szCs w:val="22"/>
        </w:rPr>
        <w:lastRenderedPageBreak/>
        <w:t>for both Scheme and non-Scheme projects</w:t>
      </w:r>
      <w:r>
        <w:rPr>
          <w:rFonts w:ascii="Tahoma" w:hAnsi="Tahoma" w:cs="Tahoma"/>
          <w:sz w:val="22"/>
          <w:szCs w:val="22"/>
        </w:rPr>
        <w:t xml:space="preserve">. Collection of this data by accredited companies was problematic and was discontinued in favour of the collection of hours worked </w:t>
      </w:r>
      <w:r w:rsidRPr="0029250B">
        <w:rPr>
          <w:rFonts w:ascii="Tahoma" w:hAnsi="Tahoma" w:cs="Tahoma"/>
          <w:sz w:val="22"/>
          <w:szCs w:val="22"/>
        </w:rPr>
        <w:t xml:space="preserve">data </w:t>
      </w:r>
      <w:r>
        <w:rPr>
          <w:rFonts w:ascii="Tahoma" w:hAnsi="Tahoma" w:cs="Tahoma"/>
          <w:sz w:val="22"/>
          <w:szCs w:val="22"/>
        </w:rPr>
        <w:t>to</w:t>
      </w:r>
      <w:r w:rsidRPr="0029250B">
        <w:rPr>
          <w:rFonts w:ascii="Tahoma" w:hAnsi="Tahoma" w:cs="Tahoma"/>
          <w:sz w:val="22"/>
          <w:szCs w:val="22"/>
        </w:rPr>
        <w:t xml:space="preserve"> provide more consistently accurate Lost Time Injury Frequency Rate</w:t>
      </w:r>
      <w:r>
        <w:rPr>
          <w:rFonts w:ascii="Tahoma" w:hAnsi="Tahoma" w:cs="Tahoma"/>
          <w:sz w:val="22"/>
          <w:szCs w:val="22"/>
        </w:rPr>
        <w:t xml:space="preserve"> (LTIFR)</w:t>
      </w:r>
      <w:r w:rsidRPr="0029250B">
        <w:rPr>
          <w:rFonts w:ascii="Tahoma" w:hAnsi="Tahoma" w:cs="Tahoma"/>
          <w:sz w:val="22"/>
          <w:szCs w:val="22"/>
        </w:rPr>
        <w:t xml:space="preserve"> and Medically Treated Injury Frequency Rate </w:t>
      </w:r>
      <w:r>
        <w:rPr>
          <w:rFonts w:ascii="Tahoma" w:hAnsi="Tahoma" w:cs="Tahoma"/>
          <w:sz w:val="22"/>
          <w:szCs w:val="22"/>
        </w:rPr>
        <w:t xml:space="preserve">(MTIFR) </w:t>
      </w:r>
      <w:r w:rsidRPr="0029250B">
        <w:rPr>
          <w:rFonts w:ascii="Tahoma" w:hAnsi="Tahoma" w:cs="Tahoma"/>
          <w:sz w:val="22"/>
          <w:szCs w:val="22"/>
        </w:rPr>
        <w:t>estimates</w:t>
      </w:r>
      <w:r>
        <w:rPr>
          <w:rFonts w:ascii="Tahoma" w:hAnsi="Tahoma" w:cs="Tahoma"/>
          <w:sz w:val="22"/>
          <w:szCs w:val="22"/>
        </w:rPr>
        <w:t>. Hours worked data also had the additional benefit of providing a better indication of the size and level of activity on projects.</w:t>
      </w:r>
    </w:p>
    <w:p w:rsidR="005E1982" w:rsidRDefault="005E1982" w:rsidP="005E1982">
      <w:pPr>
        <w:rPr>
          <w:rFonts w:ascii="Tahoma" w:hAnsi="Tahoma" w:cs="Tahoma"/>
          <w:sz w:val="22"/>
          <w:szCs w:val="22"/>
        </w:rPr>
      </w:pPr>
      <w:r>
        <w:rPr>
          <w:rFonts w:ascii="Tahoma" w:hAnsi="Tahoma" w:cs="Tahoma"/>
          <w:sz w:val="22"/>
          <w:szCs w:val="22"/>
        </w:rPr>
        <w:t>Total hours reported covers projects valued at $3 million or more and therefore does not provide a comprehensive picture of accredited company activity.</w:t>
      </w:r>
    </w:p>
    <w:p w:rsidR="000005CA" w:rsidRDefault="000005CA" w:rsidP="005E1982">
      <w:pPr>
        <w:rPr>
          <w:rFonts w:ascii="Tahoma" w:hAnsi="Tahoma" w:cs="Tahoma"/>
          <w:sz w:val="22"/>
          <w:szCs w:val="22"/>
        </w:rPr>
      </w:pPr>
    </w:p>
    <w:tbl>
      <w:tblPr>
        <w:tblW w:w="8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5"/>
        <w:gridCol w:w="2311"/>
        <w:gridCol w:w="2409"/>
        <w:gridCol w:w="2070"/>
      </w:tblGrid>
      <w:tr w:rsidR="005E1982" w:rsidRPr="00AE62D6" w:rsidTr="005E1982">
        <w:trPr>
          <w:trHeight w:val="113"/>
        </w:trPr>
        <w:tc>
          <w:tcPr>
            <w:tcW w:w="1625" w:type="dxa"/>
            <w:vAlign w:val="bottom"/>
          </w:tcPr>
          <w:p w:rsidR="005E1982" w:rsidRPr="00AE62D6" w:rsidRDefault="005E1982" w:rsidP="005E1982">
            <w:pPr>
              <w:jc w:val="center"/>
              <w:rPr>
                <w:rFonts w:ascii="Tahoma" w:hAnsi="Tahoma" w:cs="Tahoma"/>
                <w:b/>
                <w:sz w:val="20"/>
              </w:rPr>
            </w:pPr>
          </w:p>
          <w:p w:rsidR="005E1982" w:rsidRPr="00AE62D6" w:rsidRDefault="005E1982" w:rsidP="005E1982">
            <w:pPr>
              <w:jc w:val="center"/>
              <w:rPr>
                <w:rFonts w:ascii="Tahoma" w:hAnsi="Tahoma" w:cs="Tahoma"/>
                <w:b/>
                <w:sz w:val="20"/>
              </w:rPr>
            </w:pPr>
            <w:r w:rsidRPr="00AE62D6">
              <w:rPr>
                <w:rFonts w:ascii="Tahoma" w:hAnsi="Tahoma" w:cs="Tahoma"/>
                <w:b/>
                <w:sz w:val="20"/>
              </w:rPr>
              <w:t>Period</w:t>
            </w:r>
          </w:p>
        </w:tc>
        <w:tc>
          <w:tcPr>
            <w:tcW w:w="2311" w:type="dxa"/>
            <w:vAlign w:val="bottom"/>
          </w:tcPr>
          <w:p w:rsidR="005E1982" w:rsidRPr="00AE62D6" w:rsidRDefault="005E1982" w:rsidP="005E1982">
            <w:pPr>
              <w:jc w:val="center"/>
              <w:rPr>
                <w:rFonts w:ascii="Tahoma" w:hAnsi="Tahoma" w:cs="Tahoma"/>
                <w:b/>
                <w:sz w:val="20"/>
              </w:rPr>
            </w:pPr>
            <w:r w:rsidRPr="00AE62D6">
              <w:rPr>
                <w:rFonts w:ascii="Tahoma" w:hAnsi="Tahoma" w:cs="Tahoma"/>
                <w:b/>
                <w:sz w:val="20"/>
              </w:rPr>
              <w:t>Scheme projects</w:t>
            </w:r>
          </w:p>
          <w:p w:rsidR="005E1982" w:rsidRPr="00AE62D6" w:rsidRDefault="005E1982" w:rsidP="005E1982">
            <w:pPr>
              <w:jc w:val="center"/>
              <w:rPr>
                <w:rFonts w:ascii="Tahoma" w:hAnsi="Tahoma" w:cs="Tahoma"/>
                <w:b/>
                <w:sz w:val="20"/>
              </w:rPr>
            </w:pPr>
            <w:r w:rsidRPr="00AE62D6">
              <w:rPr>
                <w:rFonts w:ascii="Tahoma" w:hAnsi="Tahoma" w:cs="Tahoma"/>
                <w:b/>
                <w:sz w:val="20"/>
              </w:rPr>
              <w:t>(million hours)</w:t>
            </w:r>
          </w:p>
        </w:tc>
        <w:tc>
          <w:tcPr>
            <w:tcW w:w="2409" w:type="dxa"/>
            <w:vAlign w:val="bottom"/>
          </w:tcPr>
          <w:p w:rsidR="005E1982" w:rsidRPr="00AE62D6" w:rsidRDefault="005E1982" w:rsidP="005E1982">
            <w:pPr>
              <w:jc w:val="center"/>
              <w:rPr>
                <w:rFonts w:ascii="Tahoma" w:hAnsi="Tahoma" w:cs="Tahoma"/>
                <w:b/>
                <w:sz w:val="20"/>
              </w:rPr>
            </w:pPr>
            <w:r w:rsidRPr="00AE62D6">
              <w:rPr>
                <w:rFonts w:ascii="Tahoma" w:hAnsi="Tahoma" w:cs="Tahoma"/>
                <w:b/>
                <w:sz w:val="20"/>
              </w:rPr>
              <w:t>Non-Scheme projects</w:t>
            </w:r>
          </w:p>
          <w:p w:rsidR="005E1982" w:rsidRPr="00AE62D6" w:rsidRDefault="005E1982" w:rsidP="005E1982">
            <w:pPr>
              <w:jc w:val="center"/>
              <w:rPr>
                <w:rFonts w:ascii="Tahoma" w:hAnsi="Tahoma" w:cs="Tahoma"/>
                <w:b/>
                <w:sz w:val="20"/>
              </w:rPr>
            </w:pPr>
            <w:r w:rsidRPr="00AE62D6">
              <w:rPr>
                <w:rFonts w:ascii="Tahoma" w:hAnsi="Tahoma" w:cs="Tahoma"/>
                <w:b/>
                <w:sz w:val="20"/>
              </w:rPr>
              <w:t>valued at $3 million or more</w:t>
            </w:r>
          </w:p>
          <w:p w:rsidR="005E1982" w:rsidRPr="00AE62D6" w:rsidRDefault="005E1982" w:rsidP="005E1982">
            <w:pPr>
              <w:jc w:val="center"/>
              <w:rPr>
                <w:rFonts w:ascii="Tahoma" w:hAnsi="Tahoma" w:cs="Tahoma"/>
                <w:b/>
                <w:sz w:val="20"/>
              </w:rPr>
            </w:pPr>
            <w:r w:rsidRPr="00AE62D6">
              <w:rPr>
                <w:rFonts w:ascii="Tahoma" w:hAnsi="Tahoma" w:cs="Tahoma"/>
                <w:b/>
                <w:sz w:val="20"/>
              </w:rPr>
              <w:t>(million hours)</w:t>
            </w:r>
          </w:p>
        </w:tc>
        <w:tc>
          <w:tcPr>
            <w:tcW w:w="2070" w:type="dxa"/>
            <w:vAlign w:val="bottom"/>
          </w:tcPr>
          <w:p w:rsidR="005E1982" w:rsidRPr="00AE62D6" w:rsidRDefault="005E1982" w:rsidP="005E1982">
            <w:pPr>
              <w:jc w:val="center"/>
              <w:rPr>
                <w:rFonts w:ascii="Tahoma" w:hAnsi="Tahoma" w:cs="Tahoma"/>
                <w:b/>
                <w:sz w:val="20"/>
              </w:rPr>
            </w:pPr>
            <w:r w:rsidRPr="00AE62D6">
              <w:rPr>
                <w:rFonts w:ascii="Tahoma" w:hAnsi="Tahoma" w:cs="Tahoma"/>
                <w:b/>
                <w:sz w:val="20"/>
              </w:rPr>
              <w:t>All projects</w:t>
            </w:r>
          </w:p>
          <w:p w:rsidR="005E1982" w:rsidRPr="00AE62D6" w:rsidRDefault="005E1982" w:rsidP="005E1982">
            <w:pPr>
              <w:jc w:val="center"/>
              <w:rPr>
                <w:rFonts w:ascii="Tahoma" w:hAnsi="Tahoma" w:cs="Tahoma"/>
                <w:b/>
                <w:sz w:val="20"/>
              </w:rPr>
            </w:pPr>
            <w:r w:rsidRPr="00AE62D6">
              <w:rPr>
                <w:rFonts w:ascii="Tahoma" w:hAnsi="Tahoma" w:cs="Tahoma"/>
                <w:b/>
                <w:sz w:val="20"/>
              </w:rPr>
              <w:t>(million hours)</w:t>
            </w:r>
          </w:p>
        </w:tc>
      </w:tr>
      <w:tr w:rsidR="005E1982" w:rsidRPr="00AE62D6" w:rsidTr="005E1982">
        <w:trPr>
          <w:trHeight w:val="113"/>
        </w:trPr>
        <w:tc>
          <w:tcPr>
            <w:tcW w:w="1625" w:type="dxa"/>
            <w:vAlign w:val="center"/>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2009</w:t>
            </w:r>
          </w:p>
        </w:tc>
        <w:tc>
          <w:tcPr>
            <w:tcW w:w="2311" w:type="dxa"/>
            <w:vAlign w:val="center"/>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14.57</w:t>
            </w:r>
          </w:p>
        </w:tc>
        <w:tc>
          <w:tcPr>
            <w:tcW w:w="2409" w:type="dxa"/>
            <w:vAlign w:val="center"/>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93.</w:t>
            </w:r>
            <w:r>
              <w:rPr>
                <w:rFonts w:ascii="Tahoma" w:hAnsi="Tahoma" w:cs="Tahoma"/>
                <w:sz w:val="20"/>
              </w:rPr>
              <w:t>56</w:t>
            </w:r>
          </w:p>
        </w:tc>
        <w:tc>
          <w:tcPr>
            <w:tcW w:w="2070" w:type="dxa"/>
            <w:vAlign w:val="center"/>
          </w:tcPr>
          <w:p w:rsidR="005E1982" w:rsidRPr="00AE62D6" w:rsidRDefault="005E1982" w:rsidP="005E1982">
            <w:pPr>
              <w:jc w:val="center"/>
              <w:rPr>
                <w:rFonts w:ascii="Tahoma" w:hAnsi="Tahoma" w:cs="Tahoma"/>
                <w:sz w:val="20"/>
              </w:rPr>
            </w:pPr>
            <w:r w:rsidRPr="00AE62D6">
              <w:rPr>
                <w:rFonts w:ascii="Tahoma" w:hAnsi="Tahoma" w:cs="Tahoma"/>
                <w:sz w:val="20"/>
              </w:rPr>
              <w:t>10</w:t>
            </w:r>
            <w:r>
              <w:rPr>
                <w:rFonts w:ascii="Tahoma" w:hAnsi="Tahoma" w:cs="Tahoma"/>
                <w:sz w:val="20"/>
              </w:rPr>
              <w:t>8</w:t>
            </w:r>
            <w:r w:rsidRPr="00AE62D6">
              <w:rPr>
                <w:rFonts w:ascii="Tahoma" w:hAnsi="Tahoma" w:cs="Tahoma"/>
                <w:sz w:val="20"/>
              </w:rPr>
              <w:t>.</w:t>
            </w:r>
            <w:r>
              <w:rPr>
                <w:rFonts w:ascii="Tahoma" w:hAnsi="Tahoma" w:cs="Tahoma"/>
                <w:sz w:val="20"/>
              </w:rPr>
              <w:t>13</w:t>
            </w:r>
          </w:p>
        </w:tc>
      </w:tr>
      <w:tr w:rsidR="005E1982" w:rsidRPr="00AE62D6" w:rsidTr="005E1982">
        <w:trPr>
          <w:trHeight w:val="113"/>
        </w:trPr>
        <w:tc>
          <w:tcPr>
            <w:tcW w:w="1625" w:type="dxa"/>
            <w:vAlign w:val="center"/>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2010</w:t>
            </w:r>
          </w:p>
        </w:tc>
        <w:tc>
          <w:tcPr>
            <w:tcW w:w="2311" w:type="dxa"/>
            <w:vAlign w:val="center"/>
          </w:tcPr>
          <w:p w:rsidR="005E1982" w:rsidRPr="00AE62D6" w:rsidRDefault="005E1982" w:rsidP="005E1982">
            <w:pPr>
              <w:spacing w:before="20" w:after="20"/>
              <w:jc w:val="center"/>
              <w:rPr>
                <w:rFonts w:ascii="Tahoma" w:hAnsi="Tahoma" w:cs="Tahoma"/>
                <w:sz w:val="20"/>
              </w:rPr>
            </w:pPr>
            <w:r>
              <w:rPr>
                <w:rFonts w:ascii="Tahoma" w:hAnsi="Tahoma" w:cs="Tahoma"/>
                <w:sz w:val="20"/>
              </w:rPr>
              <w:t>22.92</w:t>
            </w:r>
          </w:p>
        </w:tc>
        <w:tc>
          <w:tcPr>
            <w:tcW w:w="2409" w:type="dxa"/>
            <w:vAlign w:val="center"/>
          </w:tcPr>
          <w:p w:rsidR="005E1982" w:rsidRPr="00AE62D6" w:rsidRDefault="005E1982" w:rsidP="005E1982">
            <w:pPr>
              <w:spacing w:before="20" w:after="20"/>
              <w:jc w:val="center"/>
              <w:rPr>
                <w:rFonts w:ascii="Tahoma" w:hAnsi="Tahoma" w:cs="Tahoma"/>
                <w:sz w:val="20"/>
              </w:rPr>
            </w:pPr>
            <w:r>
              <w:rPr>
                <w:rFonts w:ascii="Tahoma" w:hAnsi="Tahoma" w:cs="Tahoma"/>
                <w:sz w:val="20"/>
              </w:rPr>
              <w:t>127.58</w:t>
            </w:r>
          </w:p>
        </w:tc>
        <w:tc>
          <w:tcPr>
            <w:tcW w:w="2070" w:type="dxa"/>
            <w:vAlign w:val="center"/>
          </w:tcPr>
          <w:p w:rsidR="005E1982" w:rsidRPr="00AE62D6" w:rsidRDefault="005E1982" w:rsidP="005E1982">
            <w:pPr>
              <w:jc w:val="center"/>
              <w:rPr>
                <w:rFonts w:ascii="Tahoma" w:hAnsi="Tahoma" w:cs="Tahoma"/>
                <w:sz w:val="20"/>
              </w:rPr>
            </w:pPr>
            <w:r>
              <w:rPr>
                <w:rFonts w:ascii="Tahoma" w:hAnsi="Tahoma" w:cs="Tahoma"/>
                <w:sz w:val="20"/>
              </w:rPr>
              <w:t>150.50</w:t>
            </w:r>
          </w:p>
        </w:tc>
      </w:tr>
    </w:tbl>
    <w:p w:rsidR="00666F00" w:rsidRDefault="00666F00" w:rsidP="005E1982">
      <w:pPr>
        <w:rPr>
          <w:rFonts w:ascii="Tahoma" w:hAnsi="Tahoma" w:cs="Tahoma"/>
          <w:sz w:val="22"/>
          <w:szCs w:val="22"/>
        </w:rPr>
      </w:pPr>
    </w:p>
    <w:p w:rsidR="001A2CDB" w:rsidRPr="001A2CDB" w:rsidRDefault="001A2CDB" w:rsidP="00F84096">
      <w:pPr>
        <w:pStyle w:val="Heading1"/>
        <w:spacing w:before="0"/>
      </w:pPr>
      <w:bookmarkStart w:id="10" w:name="_Toc294789911"/>
      <w:r w:rsidRPr="001A2CDB">
        <w:t>Analysis</w:t>
      </w:r>
      <w:bookmarkEnd w:id="10"/>
    </w:p>
    <w:p w:rsidR="001A2CDB" w:rsidRPr="001A2CDB" w:rsidRDefault="001A2CDB" w:rsidP="000C224A">
      <w:pPr>
        <w:pStyle w:val="Heading2"/>
      </w:pPr>
      <w:bookmarkStart w:id="11" w:name="_Toc294789912"/>
      <w:r w:rsidRPr="001A2CDB">
        <w:t>Fatalities</w:t>
      </w:r>
      <w:bookmarkEnd w:id="11"/>
    </w:p>
    <w:p w:rsidR="005E1982" w:rsidRDefault="005E1982" w:rsidP="005E1982">
      <w:pPr>
        <w:rPr>
          <w:rFonts w:ascii="Tahoma" w:hAnsi="Tahoma" w:cs="Tahoma"/>
          <w:sz w:val="22"/>
          <w:szCs w:val="22"/>
        </w:rPr>
      </w:pPr>
      <w:r>
        <w:rPr>
          <w:rFonts w:ascii="Tahoma" w:hAnsi="Tahoma" w:cs="Tahoma"/>
          <w:sz w:val="22"/>
          <w:szCs w:val="22"/>
        </w:rPr>
        <w:t>In line with the change to record hours worked rather than employees, the fatalities figures have been adjusted to show the fatalities frequency rate instead of the incident rate.</w:t>
      </w:r>
    </w:p>
    <w:p w:rsidR="005E1982" w:rsidRDefault="005E1982" w:rsidP="005E1982">
      <w:pPr>
        <w:rPr>
          <w:rFonts w:ascii="Tahoma" w:hAnsi="Tahoma" w:cs="Tahoma"/>
          <w:sz w:val="22"/>
          <w:szCs w:val="22"/>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3"/>
        <w:gridCol w:w="1134"/>
        <w:gridCol w:w="1191"/>
        <w:gridCol w:w="1134"/>
        <w:gridCol w:w="1191"/>
        <w:gridCol w:w="1134"/>
        <w:gridCol w:w="1191"/>
      </w:tblGrid>
      <w:tr w:rsidR="00B92AF2" w:rsidRPr="00AE62D6" w:rsidTr="00B92AF2">
        <w:trPr>
          <w:jc w:val="center"/>
        </w:trPr>
        <w:tc>
          <w:tcPr>
            <w:tcW w:w="1473" w:type="dxa"/>
            <w:vAlign w:val="bottom"/>
          </w:tcPr>
          <w:p w:rsidR="00B92AF2" w:rsidRPr="00AE62D6" w:rsidRDefault="0036236B" w:rsidP="005E1982">
            <w:pPr>
              <w:spacing w:before="20" w:after="20"/>
              <w:jc w:val="center"/>
              <w:rPr>
                <w:rFonts w:ascii="Tahoma" w:hAnsi="Tahoma" w:cs="Tahoma"/>
                <w:b/>
                <w:sz w:val="20"/>
              </w:rPr>
            </w:pPr>
            <w:r>
              <w:rPr>
                <w:rFonts w:ascii="Tahoma" w:hAnsi="Tahoma" w:cs="Tahoma"/>
                <w:b/>
                <w:sz w:val="20"/>
              </w:rPr>
              <w:t>Period</w:t>
            </w:r>
          </w:p>
        </w:tc>
        <w:tc>
          <w:tcPr>
            <w:tcW w:w="1134" w:type="dxa"/>
            <w:vAlign w:val="bottom"/>
          </w:tcPr>
          <w:p w:rsidR="00B92AF2" w:rsidRPr="00AE62D6" w:rsidRDefault="00346AF2" w:rsidP="00346AF2">
            <w:pPr>
              <w:jc w:val="center"/>
              <w:rPr>
                <w:rFonts w:ascii="Tahoma" w:hAnsi="Tahoma" w:cs="Tahoma"/>
                <w:b/>
                <w:sz w:val="20"/>
              </w:rPr>
            </w:pPr>
            <w:r>
              <w:rPr>
                <w:rFonts w:ascii="Tahoma" w:hAnsi="Tahoma" w:cs="Tahoma"/>
                <w:b/>
                <w:sz w:val="20"/>
              </w:rPr>
              <w:t xml:space="preserve">Number of </w:t>
            </w:r>
            <w:r w:rsidR="00B92AF2" w:rsidRPr="00AE62D6">
              <w:rPr>
                <w:rFonts w:ascii="Tahoma" w:hAnsi="Tahoma" w:cs="Tahoma"/>
                <w:b/>
                <w:sz w:val="20"/>
              </w:rPr>
              <w:t>Fatalities</w:t>
            </w:r>
            <w:r w:rsidR="003112E2">
              <w:rPr>
                <w:rFonts w:ascii="Tahoma" w:hAnsi="Tahoma" w:cs="Tahoma"/>
                <w:b/>
                <w:sz w:val="20"/>
              </w:rPr>
              <w:t xml:space="preserve"> on Scheme p</w:t>
            </w:r>
            <w:r>
              <w:rPr>
                <w:rFonts w:ascii="Tahoma" w:hAnsi="Tahoma" w:cs="Tahoma"/>
                <w:b/>
                <w:sz w:val="20"/>
              </w:rPr>
              <w:t>rojects</w:t>
            </w:r>
          </w:p>
        </w:tc>
        <w:tc>
          <w:tcPr>
            <w:tcW w:w="1191" w:type="dxa"/>
            <w:vAlign w:val="bottom"/>
          </w:tcPr>
          <w:p w:rsidR="00B92AF2" w:rsidRPr="00AE62D6" w:rsidRDefault="00B92AF2" w:rsidP="005E1982">
            <w:pPr>
              <w:jc w:val="center"/>
              <w:rPr>
                <w:rFonts w:ascii="Tahoma" w:hAnsi="Tahoma" w:cs="Tahoma"/>
                <w:b/>
                <w:sz w:val="20"/>
              </w:rPr>
            </w:pPr>
            <w:r w:rsidRPr="00AE62D6">
              <w:rPr>
                <w:rFonts w:ascii="Tahoma" w:hAnsi="Tahoma" w:cs="Tahoma"/>
                <w:b/>
                <w:sz w:val="20"/>
              </w:rPr>
              <w:t>Fatalities</w:t>
            </w:r>
          </w:p>
          <w:p w:rsidR="00B92AF2" w:rsidRPr="00AE62D6" w:rsidRDefault="00B92AF2" w:rsidP="005E1982">
            <w:pPr>
              <w:jc w:val="center"/>
              <w:rPr>
                <w:rFonts w:ascii="Tahoma" w:hAnsi="Tahoma" w:cs="Tahoma"/>
                <w:b/>
                <w:sz w:val="20"/>
              </w:rPr>
            </w:pPr>
            <w:r w:rsidRPr="00AE62D6">
              <w:rPr>
                <w:rFonts w:ascii="Tahoma" w:hAnsi="Tahoma" w:cs="Tahoma"/>
                <w:b/>
                <w:sz w:val="20"/>
              </w:rPr>
              <w:t>frequency</w:t>
            </w:r>
          </w:p>
          <w:p w:rsidR="00B92AF2" w:rsidRPr="00AE62D6" w:rsidRDefault="00B92AF2" w:rsidP="005E1982">
            <w:pPr>
              <w:jc w:val="center"/>
              <w:rPr>
                <w:rFonts w:ascii="Tahoma" w:hAnsi="Tahoma" w:cs="Tahoma"/>
                <w:b/>
                <w:sz w:val="20"/>
              </w:rPr>
            </w:pPr>
            <w:r w:rsidRPr="00AE62D6">
              <w:rPr>
                <w:rFonts w:ascii="Tahoma" w:hAnsi="Tahoma" w:cs="Tahoma"/>
                <w:b/>
                <w:sz w:val="20"/>
              </w:rPr>
              <w:t>rate</w:t>
            </w:r>
            <w:r w:rsidR="003112E2">
              <w:rPr>
                <w:rFonts w:ascii="Tahoma" w:hAnsi="Tahoma" w:cs="Tahoma"/>
                <w:b/>
                <w:sz w:val="20"/>
              </w:rPr>
              <w:t xml:space="preserve"> on Scheme p</w:t>
            </w:r>
            <w:r w:rsidR="00346AF2">
              <w:rPr>
                <w:rFonts w:ascii="Tahoma" w:hAnsi="Tahoma" w:cs="Tahoma"/>
                <w:b/>
                <w:sz w:val="20"/>
              </w:rPr>
              <w:t>rojects</w:t>
            </w:r>
          </w:p>
        </w:tc>
        <w:tc>
          <w:tcPr>
            <w:tcW w:w="1134" w:type="dxa"/>
            <w:vAlign w:val="bottom"/>
          </w:tcPr>
          <w:p w:rsidR="00B92AF2" w:rsidRPr="00AE62D6" w:rsidRDefault="00346AF2" w:rsidP="00346AF2">
            <w:pPr>
              <w:jc w:val="center"/>
              <w:rPr>
                <w:rFonts w:ascii="Tahoma" w:hAnsi="Tahoma" w:cs="Tahoma"/>
                <w:b/>
                <w:sz w:val="20"/>
              </w:rPr>
            </w:pPr>
            <w:r>
              <w:rPr>
                <w:rFonts w:ascii="Tahoma" w:hAnsi="Tahoma" w:cs="Tahoma"/>
                <w:b/>
                <w:sz w:val="20"/>
              </w:rPr>
              <w:t xml:space="preserve">Number of </w:t>
            </w:r>
            <w:r w:rsidR="00B92AF2" w:rsidRPr="00AE62D6">
              <w:rPr>
                <w:rFonts w:ascii="Tahoma" w:hAnsi="Tahoma" w:cs="Tahoma"/>
                <w:b/>
                <w:sz w:val="20"/>
              </w:rPr>
              <w:t>Fatalities</w:t>
            </w:r>
            <w:r w:rsidR="003112E2">
              <w:rPr>
                <w:rFonts w:ascii="Tahoma" w:hAnsi="Tahoma" w:cs="Tahoma"/>
                <w:b/>
                <w:sz w:val="20"/>
              </w:rPr>
              <w:t xml:space="preserve"> on Non-Scheme p</w:t>
            </w:r>
            <w:r>
              <w:rPr>
                <w:rFonts w:ascii="Tahoma" w:hAnsi="Tahoma" w:cs="Tahoma"/>
                <w:b/>
                <w:sz w:val="20"/>
              </w:rPr>
              <w:t>rojects</w:t>
            </w:r>
          </w:p>
        </w:tc>
        <w:tc>
          <w:tcPr>
            <w:tcW w:w="1191" w:type="dxa"/>
            <w:vAlign w:val="bottom"/>
          </w:tcPr>
          <w:p w:rsidR="00B92AF2" w:rsidRPr="00AE62D6" w:rsidRDefault="00B92AF2" w:rsidP="005E1982">
            <w:pPr>
              <w:jc w:val="center"/>
              <w:rPr>
                <w:rFonts w:ascii="Tahoma" w:hAnsi="Tahoma" w:cs="Tahoma"/>
                <w:b/>
                <w:sz w:val="20"/>
              </w:rPr>
            </w:pPr>
            <w:r w:rsidRPr="00AE62D6">
              <w:rPr>
                <w:rFonts w:ascii="Tahoma" w:hAnsi="Tahoma" w:cs="Tahoma"/>
                <w:b/>
                <w:sz w:val="20"/>
              </w:rPr>
              <w:t>Fatalities</w:t>
            </w:r>
          </w:p>
          <w:p w:rsidR="00B92AF2" w:rsidRPr="00AE62D6" w:rsidRDefault="00B92AF2" w:rsidP="005E1982">
            <w:pPr>
              <w:jc w:val="center"/>
              <w:rPr>
                <w:rFonts w:ascii="Tahoma" w:hAnsi="Tahoma" w:cs="Tahoma"/>
                <w:b/>
                <w:sz w:val="20"/>
              </w:rPr>
            </w:pPr>
            <w:r w:rsidRPr="00AE62D6">
              <w:rPr>
                <w:rFonts w:ascii="Tahoma" w:hAnsi="Tahoma" w:cs="Tahoma"/>
                <w:b/>
                <w:sz w:val="20"/>
              </w:rPr>
              <w:t>frequency</w:t>
            </w:r>
          </w:p>
          <w:p w:rsidR="00B92AF2" w:rsidRPr="00AE62D6" w:rsidRDefault="00B92AF2" w:rsidP="005E1982">
            <w:pPr>
              <w:jc w:val="center"/>
              <w:rPr>
                <w:rFonts w:ascii="Tahoma" w:hAnsi="Tahoma" w:cs="Tahoma"/>
                <w:b/>
                <w:sz w:val="20"/>
              </w:rPr>
            </w:pPr>
            <w:r w:rsidRPr="00AE62D6">
              <w:rPr>
                <w:rFonts w:ascii="Tahoma" w:hAnsi="Tahoma" w:cs="Tahoma"/>
                <w:b/>
                <w:sz w:val="20"/>
              </w:rPr>
              <w:t>rate</w:t>
            </w:r>
            <w:r w:rsidR="003112E2">
              <w:rPr>
                <w:rFonts w:ascii="Tahoma" w:hAnsi="Tahoma" w:cs="Tahoma"/>
                <w:b/>
                <w:sz w:val="20"/>
              </w:rPr>
              <w:t xml:space="preserve"> on Non-Scheme p</w:t>
            </w:r>
            <w:r w:rsidR="00346AF2">
              <w:rPr>
                <w:rFonts w:ascii="Tahoma" w:hAnsi="Tahoma" w:cs="Tahoma"/>
                <w:b/>
                <w:sz w:val="20"/>
              </w:rPr>
              <w:t>rojects</w:t>
            </w:r>
          </w:p>
        </w:tc>
        <w:tc>
          <w:tcPr>
            <w:tcW w:w="1134" w:type="dxa"/>
            <w:shd w:val="pct10" w:color="auto" w:fill="auto"/>
            <w:vAlign w:val="bottom"/>
          </w:tcPr>
          <w:p w:rsidR="00B92AF2" w:rsidRPr="00AE62D6" w:rsidRDefault="0036236B" w:rsidP="0036236B">
            <w:pPr>
              <w:jc w:val="center"/>
              <w:rPr>
                <w:rFonts w:ascii="Tahoma" w:hAnsi="Tahoma" w:cs="Tahoma"/>
                <w:b/>
                <w:sz w:val="20"/>
              </w:rPr>
            </w:pPr>
            <w:r>
              <w:rPr>
                <w:rFonts w:ascii="Tahoma" w:hAnsi="Tahoma" w:cs="Tahoma"/>
                <w:b/>
                <w:sz w:val="20"/>
              </w:rPr>
              <w:t xml:space="preserve">Number of </w:t>
            </w:r>
            <w:r w:rsidR="00B92AF2" w:rsidRPr="00AE62D6">
              <w:rPr>
                <w:rFonts w:ascii="Tahoma" w:hAnsi="Tahoma" w:cs="Tahoma"/>
                <w:b/>
                <w:sz w:val="20"/>
              </w:rPr>
              <w:t>Fatalities</w:t>
            </w:r>
            <w:r>
              <w:rPr>
                <w:rFonts w:ascii="Tahoma" w:hAnsi="Tahoma" w:cs="Tahoma"/>
                <w:b/>
                <w:sz w:val="20"/>
              </w:rPr>
              <w:t xml:space="preserve"> on all projects</w:t>
            </w:r>
          </w:p>
        </w:tc>
        <w:tc>
          <w:tcPr>
            <w:tcW w:w="1191" w:type="dxa"/>
            <w:shd w:val="pct10" w:color="auto" w:fill="auto"/>
            <w:vAlign w:val="bottom"/>
          </w:tcPr>
          <w:p w:rsidR="00B92AF2" w:rsidRPr="00AE62D6" w:rsidRDefault="00B92AF2" w:rsidP="005E1982">
            <w:pPr>
              <w:jc w:val="center"/>
              <w:rPr>
                <w:rFonts w:ascii="Tahoma" w:hAnsi="Tahoma" w:cs="Tahoma"/>
                <w:b/>
                <w:sz w:val="20"/>
              </w:rPr>
            </w:pPr>
            <w:r w:rsidRPr="00AE62D6">
              <w:rPr>
                <w:rFonts w:ascii="Tahoma" w:hAnsi="Tahoma" w:cs="Tahoma"/>
                <w:b/>
                <w:sz w:val="20"/>
              </w:rPr>
              <w:t>Fatalities</w:t>
            </w:r>
          </w:p>
          <w:p w:rsidR="00B92AF2" w:rsidRPr="00AE62D6" w:rsidRDefault="00B92AF2" w:rsidP="005E1982">
            <w:pPr>
              <w:jc w:val="center"/>
              <w:rPr>
                <w:rFonts w:ascii="Tahoma" w:hAnsi="Tahoma" w:cs="Tahoma"/>
                <w:b/>
                <w:sz w:val="20"/>
              </w:rPr>
            </w:pPr>
            <w:r w:rsidRPr="00AE62D6">
              <w:rPr>
                <w:rFonts w:ascii="Tahoma" w:hAnsi="Tahoma" w:cs="Tahoma"/>
                <w:b/>
                <w:sz w:val="20"/>
              </w:rPr>
              <w:t>frequency</w:t>
            </w:r>
          </w:p>
          <w:p w:rsidR="00B92AF2" w:rsidRPr="00AE62D6" w:rsidRDefault="00B92AF2" w:rsidP="005E1982">
            <w:pPr>
              <w:jc w:val="center"/>
              <w:rPr>
                <w:rFonts w:ascii="Tahoma" w:hAnsi="Tahoma" w:cs="Tahoma"/>
                <w:b/>
                <w:sz w:val="20"/>
              </w:rPr>
            </w:pPr>
            <w:r w:rsidRPr="00AE62D6">
              <w:rPr>
                <w:rFonts w:ascii="Tahoma" w:hAnsi="Tahoma" w:cs="Tahoma"/>
                <w:b/>
                <w:sz w:val="20"/>
              </w:rPr>
              <w:t>rate</w:t>
            </w:r>
            <w:r w:rsidR="0036236B">
              <w:rPr>
                <w:rFonts w:ascii="Tahoma" w:hAnsi="Tahoma" w:cs="Tahoma"/>
                <w:b/>
                <w:sz w:val="20"/>
              </w:rPr>
              <w:t xml:space="preserve"> on all projects</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Jul to Dec 2007</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1</w:t>
            </w:r>
          </w:p>
        </w:tc>
        <w:tc>
          <w:tcPr>
            <w:tcW w:w="1191" w:type="dxa"/>
          </w:tcPr>
          <w:p w:rsidR="00B92AF2" w:rsidRDefault="00B92AF2" w:rsidP="005E1982">
            <w:pPr>
              <w:jc w:val="center"/>
            </w:pPr>
            <w:r w:rsidRPr="00AE62D6">
              <w:rPr>
                <w:rFonts w:ascii="Tahoma" w:hAnsi="Tahoma" w:cs="Tahoma"/>
                <w:sz w:val="20"/>
              </w:rPr>
              <w:t>NA</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0 (1</w:t>
            </w:r>
            <w:r w:rsidRPr="00AE62D6">
              <w:rPr>
                <w:rStyle w:val="FootnoteReference"/>
                <w:rFonts w:ascii="Tahoma" w:hAnsi="Tahoma"/>
                <w:sz w:val="20"/>
              </w:rPr>
              <w:footnoteReference w:id="3"/>
            </w:r>
            <w:r w:rsidRPr="00AE62D6">
              <w:rPr>
                <w:rFonts w:ascii="Tahoma" w:hAnsi="Tahoma" w:cs="Tahoma"/>
                <w:sz w:val="20"/>
              </w:rPr>
              <w:t>)</w:t>
            </w:r>
          </w:p>
        </w:tc>
        <w:tc>
          <w:tcPr>
            <w:tcW w:w="1191"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NA</w:t>
            </w:r>
          </w:p>
        </w:tc>
        <w:tc>
          <w:tcPr>
            <w:tcW w:w="1134" w:type="dxa"/>
            <w:shd w:val="pct10" w:color="auto" w:fill="auto"/>
            <w:vAlign w:val="center"/>
          </w:tcPr>
          <w:p w:rsidR="00B92AF2" w:rsidRPr="00AE62D6" w:rsidRDefault="00B92AF2" w:rsidP="00B92AF2">
            <w:pPr>
              <w:jc w:val="center"/>
              <w:rPr>
                <w:rFonts w:ascii="Tahoma" w:hAnsi="Tahoma" w:cs="Tahoma"/>
                <w:sz w:val="20"/>
              </w:rPr>
            </w:pPr>
            <w:r w:rsidRPr="00AE62D6">
              <w:rPr>
                <w:rFonts w:ascii="Tahoma" w:hAnsi="Tahoma" w:cs="Tahoma"/>
                <w:sz w:val="20"/>
              </w:rPr>
              <w:t>1 (1</w:t>
            </w:r>
            <w:r>
              <w:rPr>
                <w:rFonts w:ascii="Tahoma" w:hAnsi="Tahoma" w:cs="Tahoma"/>
                <w:sz w:val="20"/>
                <w:vertAlign w:val="superscript"/>
              </w:rPr>
              <w:t>3</w:t>
            </w:r>
            <w:r w:rsidRPr="00AE62D6">
              <w:rPr>
                <w:rFonts w:ascii="Tahoma" w:hAnsi="Tahoma" w:cs="Tahoma"/>
                <w:sz w:val="20"/>
              </w:rPr>
              <w:t>)</w:t>
            </w:r>
          </w:p>
        </w:tc>
        <w:tc>
          <w:tcPr>
            <w:tcW w:w="1191" w:type="dxa"/>
            <w:shd w:val="pct10" w:color="auto" w:fill="auto"/>
          </w:tcPr>
          <w:p w:rsidR="00B92AF2" w:rsidRDefault="00B92AF2" w:rsidP="005E1982">
            <w:pPr>
              <w:jc w:val="center"/>
            </w:pPr>
            <w:r w:rsidRPr="00AE62D6">
              <w:rPr>
                <w:rFonts w:ascii="Tahoma" w:hAnsi="Tahoma" w:cs="Tahoma"/>
                <w:sz w:val="20"/>
              </w:rPr>
              <w:t>NA</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Jan to Jun 2008</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0</w:t>
            </w:r>
          </w:p>
        </w:tc>
        <w:tc>
          <w:tcPr>
            <w:tcW w:w="1191" w:type="dxa"/>
          </w:tcPr>
          <w:p w:rsidR="00B92AF2" w:rsidRDefault="00B92AF2" w:rsidP="005E1982">
            <w:pPr>
              <w:jc w:val="center"/>
            </w:pPr>
            <w:r w:rsidRPr="00AE62D6">
              <w:rPr>
                <w:rFonts w:ascii="Tahoma" w:hAnsi="Tahoma" w:cs="Tahoma"/>
                <w:sz w:val="20"/>
              </w:rPr>
              <w:t>NA</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6</w:t>
            </w:r>
          </w:p>
        </w:tc>
        <w:tc>
          <w:tcPr>
            <w:tcW w:w="1191" w:type="dxa"/>
          </w:tcPr>
          <w:p w:rsidR="00B92AF2" w:rsidRDefault="00B92AF2" w:rsidP="005E1982">
            <w:pPr>
              <w:jc w:val="center"/>
            </w:pPr>
            <w:r w:rsidRPr="00AE62D6">
              <w:rPr>
                <w:rFonts w:ascii="Tahoma" w:hAnsi="Tahoma" w:cs="Tahoma"/>
                <w:sz w:val="20"/>
              </w:rPr>
              <w:t>NA</w:t>
            </w:r>
          </w:p>
        </w:tc>
        <w:tc>
          <w:tcPr>
            <w:tcW w:w="1134" w:type="dxa"/>
            <w:shd w:val="pct10" w:color="auto" w:fill="auto"/>
            <w:vAlign w:val="center"/>
          </w:tcPr>
          <w:p w:rsidR="00B92AF2" w:rsidRPr="00AE62D6" w:rsidRDefault="00B92AF2" w:rsidP="005E1982">
            <w:pPr>
              <w:jc w:val="center"/>
              <w:rPr>
                <w:rFonts w:ascii="Tahoma" w:hAnsi="Tahoma" w:cs="Tahoma"/>
                <w:sz w:val="20"/>
              </w:rPr>
            </w:pPr>
            <w:r w:rsidRPr="00AE62D6">
              <w:rPr>
                <w:rFonts w:ascii="Tahoma" w:hAnsi="Tahoma" w:cs="Tahoma"/>
                <w:sz w:val="20"/>
              </w:rPr>
              <w:t>6</w:t>
            </w:r>
          </w:p>
        </w:tc>
        <w:tc>
          <w:tcPr>
            <w:tcW w:w="1191" w:type="dxa"/>
            <w:shd w:val="pct10" w:color="auto" w:fill="auto"/>
          </w:tcPr>
          <w:p w:rsidR="00B92AF2" w:rsidRDefault="00B92AF2" w:rsidP="005E1982">
            <w:pPr>
              <w:jc w:val="center"/>
            </w:pPr>
            <w:r w:rsidRPr="00AE62D6">
              <w:rPr>
                <w:rFonts w:ascii="Tahoma" w:hAnsi="Tahoma" w:cs="Tahoma"/>
                <w:sz w:val="20"/>
              </w:rPr>
              <w:t>NA</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Jul to Dec 2008</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0</w:t>
            </w:r>
          </w:p>
        </w:tc>
        <w:tc>
          <w:tcPr>
            <w:tcW w:w="1191" w:type="dxa"/>
          </w:tcPr>
          <w:p w:rsidR="00B92AF2" w:rsidRDefault="00B92AF2" w:rsidP="005E1982">
            <w:pPr>
              <w:jc w:val="center"/>
            </w:pPr>
            <w:r w:rsidRPr="00AE62D6">
              <w:rPr>
                <w:rFonts w:ascii="Tahoma" w:hAnsi="Tahoma" w:cs="Tahoma"/>
                <w:sz w:val="20"/>
              </w:rPr>
              <w:t>NA</w:t>
            </w:r>
          </w:p>
        </w:tc>
        <w:tc>
          <w:tcPr>
            <w:tcW w:w="1134" w:type="dxa"/>
            <w:vAlign w:val="center"/>
          </w:tcPr>
          <w:p w:rsidR="00B92AF2" w:rsidRPr="00AE62D6" w:rsidRDefault="00B92AF2" w:rsidP="00B92AF2">
            <w:pPr>
              <w:spacing w:before="20" w:after="20"/>
              <w:jc w:val="center"/>
              <w:rPr>
                <w:rFonts w:ascii="Tahoma" w:hAnsi="Tahoma" w:cs="Tahoma"/>
                <w:sz w:val="20"/>
              </w:rPr>
            </w:pPr>
            <w:r w:rsidRPr="00AE62D6">
              <w:rPr>
                <w:rFonts w:ascii="Tahoma" w:hAnsi="Tahoma" w:cs="Tahoma"/>
                <w:sz w:val="20"/>
              </w:rPr>
              <w:t>4 (2</w:t>
            </w:r>
            <w:r>
              <w:rPr>
                <w:rFonts w:ascii="Tahoma" w:hAnsi="Tahoma" w:cs="Tahoma"/>
                <w:sz w:val="20"/>
                <w:vertAlign w:val="superscript"/>
              </w:rPr>
              <w:t>3</w:t>
            </w:r>
            <w:r w:rsidRPr="00AE62D6">
              <w:rPr>
                <w:rFonts w:ascii="Tahoma" w:hAnsi="Tahoma" w:cs="Tahoma"/>
                <w:sz w:val="20"/>
              </w:rPr>
              <w:t>)</w:t>
            </w:r>
          </w:p>
        </w:tc>
        <w:tc>
          <w:tcPr>
            <w:tcW w:w="1191" w:type="dxa"/>
          </w:tcPr>
          <w:p w:rsidR="00B92AF2" w:rsidRDefault="00B92AF2" w:rsidP="005E1982">
            <w:pPr>
              <w:jc w:val="center"/>
            </w:pPr>
            <w:r w:rsidRPr="00AE62D6">
              <w:rPr>
                <w:rFonts w:ascii="Tahoma" w:hAnsi="Tahoma" w:cs="Tahoma"/>
                <w:sz w:val="20"/>
              </w:rPr>
              <w:t>NA</w:t>
            </w:r>
          </w:p>
        </w:tc>
        <w:tc>
          <w:tcPr>
            <w:tcW w:w="1134" w:type="dxa"/>
            <w:shd w:val="pct10" w:color="auto" w:fill="auto"/>
            <w:vAlign w:val="center"/>
          </w:tcPr>
          <w:p w:rsidR="00B92AF2" w:rsidRPr="00AE62D6" w:rsidRDefault="00B92AF2" w:rsidP="00B92AF2">
            <w:pPr>
              <w:jc w:val="center"/>
              <w:rPr>
                <w:rFonts w:ascii="Tahoma" w:hAnsi="Tahoma" w:cs="Tahoma"/>
                <w:sz w:val="20"/>
              </w:rPr>
            </w:pPr>
            <w:r w:rsidRPr="00AE62D6">
              <w:rPr>
                <w:rFonts w:ascii="Tahoma" w:hAnsi="Tahoma" w:cs="Tahoma"/>
                <w:sz w:val="20"/>
              </w:rPr>
              <w:t>4 (2</w:t>
            </w:r>
            <w:r>
              <w:rPr>
                <w:rFonts w:ascii="Tahoma" w:hAnsi="Tahoma" w:cs="Tahoma"/>
                <w:sz w:val="20"/>
                <w:vertAlign w:val="superscript"/>
              </w:rPr>
              <w:t>3</w:t>
            </w:r>
            <w:r w:rsidRPr="00AE62D6">
              <w:rPr>
                <w:rFonts w:ascii="Tahoma" w:hAnsi="Tahoma" w:cs="Tahoma"/>
                <w:sz w:val="20"/>
              </w:rPr>
              <w:t>)</w:t>
            </w:r>
          </w:p>
        </w:tc>
        <w:tc>
          <w:tcPr>
            <w:tcW w:w="1191" w:type="dxa"/>
            <w:shd w:val="pct10" w:color="auto" w:fill="auto"/>
          </w:tcPr>
          <w:p w:rsidR="00B92AF2" w:rsidRDefault="00B92AF2" w:rsidP="005E1982">
            <w:pPr>
              <w:jc w:val="center"/>
            </w:pPr>
            <w:r w:rsidRPr="00AE62D6">
              <w:rPr>
                <w:rFonts w:ascii="Tahoma" w:hAnsi="Tahoma" w:cs="Tahoma"/>
                <w:sz w:val="20"/>
              </w:rPr>
              <w:t>NA</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Jan to Jun 2009</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1</w:t>
            </w:r>
          </w:p>
        </w:tc>
        <w:tc>
          <w:tcPr>
            <w:tcW w:w="1191" w:type="dxa"/>
          </w:tcPr>
          <w:p w:rsidR="00B92AF2" w:rsidRDefault="00B92AF2" w:rsidP="005E1982">
            <w:pPr>
              <w:jc w:val="center"/>
            </w:pPr>
            <w:r w:rsidRPr="00AE62D6">
              <w:rPr>
                <w:rFonts w:ascii="Tahoma" w:hAnsi="Tahoma" w:cs="Tahoma"/>
                <w:sz w:val="20"/>
              </w:rPr>
              <w:t>NA</w:t>
            </w:r>
          </w:p>
        </w:tc>
        <w:tc>
          <w:tcPr>
            <w:tcW w:w="1134" w:type="dxa"/>
            <w:vAlign w:val="center"/>
          </w:tcPr>
          <w:p w:rsidR="00B92AF2" w:rsidRPr="00AE62D6" w:rsidRDefault="00B92AF2" w:rsidP="00B92AF2">
            <w:pPr>
              <w:spacing w:before="20" w:after="20"/>
              <w:jc w:val="center"/>
              <w:rPr>
                <w:rFonts w:ascii="Tahoma" w:hAnsi="Tahoma" w:cs="Tahoma"/>
                <w:sz w:val="20"/>
              </w:rPr>
            </w:pPr>
            <w:r w:rsidRPr="00AE62D6">
              <w:rPr>
                <w:rFonts w:ascii="Tahoma" w:hAnsi="Tahoma" w:cs="Tahoma"/>
                <w:sz w:val="20"/>
              </w:rPr>
              <w:t>4 (2</w:t>
            </w:r>
            <w:r>
              <w:rPr>
                <w:rFonts w:ascii="Tahoma" w:hAnsi="Tahoma" w:cs="Tahoma"/>
                <w:sz w:val="20"/>
                <w:vertAlign w:val="superscript"/>
              </w:rPr>
              <w:t>3</w:t>
            </w:r>
            <w:r w:rsidRPr="00AE62D6">
              <w:rPr>
                <w:rFonts w:ascii="Tahoma" w:hAnsi="Tahoma" w:cs="Tahoma"/>
                <w:sz w:val="20"/>
              </w:rPr>
              <w:t>)</w:t>
            </w:r>
          </w:p>
        </w:tc>
        <w:tc>
          <w:tcPr>
            <w:tcW w:w="1191" w:type="dxa"/>
          </w:tcPr>
          <w:p w:rsidR="00B92AF2" w:rsidRDefault="00B92AF2" w:rsidP="005E1982">
            <w:pPr>
              <w:jc w:val="center"/>
            </w:pPr>
            <w:r w:rsidRPr="00AE62D6">
              <w:rPr>
                <w:rFonts w:ascii="Tahoma" w:hAnsi="Tahoma" w:cs="Tahoma"/>
                <w:sz w:val="20"/>
              </w:rPr>
              <w:t>NA</w:t>
            </w:r>
          </w:p>
        </w:tc>
        <w:tc>
          <w:tcPr>
            <w:tcW w:w="1134" w:type="dxa"/>
            <w:shd w:val="pct10" w:color="auto" w:fill="auto"/>
            <w:vAlign w:val="center"/>
          </w:tcPr>
          <w:p w:rsidR="00B92AF2" w:rsidRPr="00AE62D6" w:rsidRDefault="00B92AF2" w:rsidP="00B92AF2">
            <w:pPr>
              <w:jc w:val="center"/>
              <w:rPr>
                <w:rFonts w:ascii="Tahoma" w:hAnsi="Tahoma" w:cs="Tahoma"/>
                <w:sz w:val="20"/>
              </w:rPr>
            </w:pPr>
            <w:r w:rsidRPr="00AE62D6">
              <w:rPr>
                <w:rFonts w:ascii="Tahoma" w:hAnsi="Tahoma" w:cs="Tahoma"/>
                <w:sz w:val="20"/>
              </w:rPr>
              <w:t>5 (2</w:t>
            </w:r>
            <w:r>
              <w:rPr>
                <w:rFonts w:ascii="Tahoma" w:hAnsi="Tahoma" w:cs="Tahoma"/>
                <w:sz w:val="20"/>
                <w:vertAlign w:val="superscript"/>
              </w:rPr>
              <w:t>3</w:t>
            </w:r>
            <w:r w:rsidRPr="00AE62D6">
              <w:rPr>
                <w:rFonts w:ascii="Tahoma" w:hAnsi="Tahoma" w:cs="Tahoma"/>
                <w:sz w:val="20"/>
              </w:rPr>
              <w:t>)</w:t>
            </w:r>
          </w:p>
        </w:tc>
        <w:tc>
          <w:tcPr>
            <w:tcW w:w="1191" w:type="dxa"/>
            <w:shd w:val="pct10" w:color="auto" w:fill="auto"/>
          </w:tcPr>
          <w:p w:rsidR="00B92AF2" w:rsidRDefault="00B92AF2" w:rsidP="005E1982">
            <w:pPr>
              <w:jc w:val="center"/>
            </w:pPr>
            <w:r w:rsidRPr="00AE62D6">
              <w:rPr>
                <w:rFonts w:ascii="Tahoma" w:hAnsi="Tahoma" w:cs="Tahoma"/>
                <w:sz w:val="20"/>
              </w:rPr>
              <w:t>NA</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Jul to Dec 2009</w:t>
            </w:r>
          </w:p>
        </w:tc>
        <w:tc>
          <w:tcPr>
            <w:tcW w:w="1134"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0</w:t>
            </w:r>
          </w:p>
        </w:tc>
        <w:tc>
          <w:tcPr>
            <w:tcW w:w="1191"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0.00</w:t>
            </w:r>
          </w:p>
        </w:tc>
        <w:tc>
          <w:tcPr>
            <w:tcW w:w="1134" w:type="dxa"/>
            <w:vAlign w:val="center"/>
          </w:tcPr>
          <w:p w:rsidR="00B92AF2" w:rsidRPr="00AE62D6" w:rsidRDefault="00B92AF2" w:rsidP="00B92AF2">
            <w:pPr>
              <w:spacing w:before="20" w:after="20"/>
              <w:jc w:val="center"/>
              <w:rPr>
                <w:rFonts w:ascii="Tahoma" w:hAnsi="Tahoma" w:cs="Tahoma"/>
                <w:sz w:val="20"/>
              </w:rPr>
            </w:pPr>
            <w:r w:rsidRPr="00AE62D6">
              <w:rPr>
                <w:rFonts w:ascii="Tahoma" w:hAnsi="Tahoma" w:cs="Tahoma"/>
                <w:sz w:val="20"/>
              </w:rPr>
              <w:t>1(2</w:t>
            </w:r>
            <w:r>
              <w:rPr>
                <w:rFonts w:ascii="Tahoma" w:hAnsi="Tahoma" w:cs="Tahoma"/>
                <w:sz w:val="20"/>
                <w:vertAlign w:val="superscript"/>
              </w:rPr>
              <w:t>3</w:t>
            </w:r>
            <w:r w:rsidRPr="00AE62D6">
              <w:rPr>
                <w:rFonts w:ascii="Tahoma" w:hAnsi="Tahoma" w:cs="Tahoma"/>
                <w:sz w:val="20"/>
              </w:rPr>
              <w:t>)</w:t>
            </w:r>
          </w:p>
        </w:tc>
        <w:tc>
          <w:tcPr>
            <w:tcW w:w="1191" w:type="dxa"/>
            <w:vAlign w:val="center"/>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1.07</w:t>
            </w:r>
          </w:p>
        </w:tc>
        <w:tc>
          <w:tcPr>
            <w:tcW w:w="1134" w:type="dxa"/>
            <w:shd w:val="pct10" w:color="auto" w:fill="auto"/>
            <w:vAlign w:val="center"/>
          </w:tcPr>
          <w:p w:rsidR="00B92AF2" w:rsidRPr="00AE62D6" w:rsidRDefault="00B92AF2" w:rsidP="00B92AF2">
            <w:pPr>
              <w:jc w:val="center"/>
              <w:rPr>
                <w:rFonts w:ascii="Tahoma" w:hAnsi="Tahoma" w:cs="Tahoma"/>
                <w:sz w:val="20"/>
              </w:rPr>
            </w:pPr>
            <w:r w:rsidRPr="00AE62D6">
              <w:rPr>
                <w:rFonts w:ascii="Tahoma" w:hAnsi="Tahoma" w:cs="Tahoma"/>
                <w:sz w:val="20"/>
              </w:rPr>
              <w:t>1(2</w:t>
            </w:r>
            <w:r>
              <w:rPr>
                <w:rFonts w:ascii="Tahoma" w:hAnsi="Tahoma" w:cs="Tahoma"/>
                <w:sz w:val="20"/>
                <w:vertAlign w:val="superscript"/>
              </w:rPr>
              <w:t>3</w:t>
            </w:r>
            <w:r w:rsidRPr="00AE62D6">
              <w:rPr>
                <w:rFonts w:ascii="Tahoma" w:hAnsi="Tahoma" w:cs="Tahoma"/>
                <w:sz w:val="20"/>
              </w:rPr>
              <w:t>)</w:t>
            </w:r>
          </w:p>
        </w:tc>
        <w:tc>
          <w:tcPr>
            <w:tcW w:w="1191" w:type="dxa"/>
            <w:shd w:val="pct10" w:color="auto" w:fill="auto"/>
            <w:vAlign w:val="center"/>
          </w:tcPr>
          <w:p w:rsidR="00B92AF2" w:rsidRPr="00AE62D6" w:rsidRDefault="00B92AF2" w:rsidP="005E1982">
            <w:pPr>
              <w:jc w:val="center"/>
              <w:rPr>
                <w:rFonts w:ascii="Tahoma" w:hAnsi="Tahoma" w:cs="Tahoma"/>
                <w:sz w:val="20"/>
              </w:rPr>
            </w:pPr>
            <w:r w:rsidRPr="00AE62D6">
              <w:rPr>
                <w:rFonts w:ascii="Tahoma" w:hAnsi="Tahoma" w:cs="Tahoma"/>
                <w:sz w:val="20"/>
              </w:rPr>
              <w:t>0.9</w:t>
            </w:r>
            <w:r>
              <w:rPr>
                <w:rFonts w:ascii="Tahoma" w:hAnsi="Tahoma" w:cs="Tahoma"/>
                <w:sz w:val="20"/>
              </w:rPr>
              <w:t>2</w:t>
            </w:r>
          </w:p>
        </w:tc>
      </w:tr>
      <w:tr w:rsidR="00B92AF2" w:rsidRPr="00AE62D6" w:rsidTr="00B92AF2">
        <w:trPr>
          <w:jc w:val="center"/>
        </w:trPr>
        <w:tc>
          <w:tcPr>
            <w:tcW w:w="1473" w:type="dxa"/>
            <w:vAlign w:val="bottom"/>
          </w:tcPr>
          <w:p w:rsidR="00B92AF2" w:rsidRPr="00AE62D6" w:rsidRDefault="00B92AF2" w:rsidP="005E1982">
            <w:pPr>
              <w:spacing w:before="20" w:after="20"/>
              <w:jc w:val="center"/>
              <w:rPr>
                <w:rFonts w:ascii="Tahoma" w:hAnsi="Tahoma" w:cs="Tahoma"/>
                <w:sz w:val="20"/>
              </w:rPr>
            </w:pPr>
            <w:r w:rsidRPr="00AE62D6">
              <w:rPr>
                <w:rFonts w:ascii="Tahoma" w:hAnsi="Tahoma" w:cs="Tahoma"/>
                <w:sz w:val="20"/>
              </w:rPr>
              <w:t>Jan to Jun 2010</w:t>
            </w:r>
          </w:p>
        </w:tc>
        <w:tc>
          <w:tcPr>
            <w:tcW w:w="1134" w:type="dxa"/>
            <w:vAlign w:val="center"/>
          </w:tcPr>
          <w:p w:rsidR="00B92AF2" w:rsidRPr="00AE62D6" w:rsidRDefault="00B92AF2" w:rsidP="005E1982">
            <w:pPr>
              <w:spacing w:before="20" w:after="20"/>
              <w:jc w:val="center"/>
              <w:rPr>
                <w:rFonts w:ascii="Tahoma" w:hAnsi="Tahoma" w:cs="Tahoma"/>
                <w:sz w:val="20"/>
              </w:rPr>
            </w:pPr>
            <w:r>
              <w:rPr>
                <w:rFonts w:ascii="Tahoma" w:hAnsi="Tahoma" w:cs="Tahoma"/>
                <w:sz w:val="20"/>
              </w:rPr>
              <w:t>1</w:t>
            </w:r>
          </w:p>
        </w:tc>
        <w:tc>
          <w:tcPr>
            <w:tcW w:w="1191" w:type="dxa"/>
            <w:vAlign w:val="center"/>
          </w:tcPr>
          <w:p w:rsidR="00B92AF2" w:rsidRPr="00AE62D6" w:rsidRDefault="00B92AF2" w:rsidP="005E1982">
            <w:pPr>
              <w:spacing w:before="20" w:after="20"/>
              <w:jc w:val="center"/>
              <w:rPr>
                <w:rFonts w:ascii="Tahoma" w:hAnsi="Tahoma" w:cs="Tahoma"/>
                <w:sz w:val="20"/>
              </w:rPr>
            </w:pPr>
            <w:r>
              <w:rPr>
                <w:rFonts w:ascii="Tahoma" w:hAnsi="Tahoma" w:cs="Tahoma"/>
                <w:sz w:val="20"/>
              </w:rPr>
              <w:t>4.36</w:t>
            </w:r>
          </w:p>
        </w:tc>
        <w:tc>
          <w:tcPr>
            <w:tcW w:w="1134" w:type="dxa"/>
            <w:vAlign w:val="center"/>
          </w:tcPr>
          <w:p w:rsidR="00B92AF2" w:rsidRPr="00AE62D6" w:rsidRDefault="00B92AF2" w:rsidP="005E1982">
            <w:pPr>
              <w:spacing w:before="20" w:after="20"/>
              <w:jc w:val="center"/>
              <w:rPr>
                <w:rFonts w:ascii="Tahoma" w:hAnsi="Tahoma" w:cs="Tahoma"/>
                <w:sz w:val="20"/>
              </w:rPr>
            </w:pPr>
            <w:r>
              <w:rPr>
                <w:rFonts w:ascii="Tahoma" w:hAnsi="Tahoma" w:cs="Tahoma"/>
                <w:sz w:val="20"/>
              </w:rPr>
              <w:t>0</w:t>
            </w:r>
          </w:p>
        </w:tc>
        <w:tc>
          <w:tcPr>
            <w:tcW w:w="1191" w:type="dxa"/>
            <w:vAlign w:val="center"/>
          </w:tcPr>
          <w:p w:rsidR="00B92AF2" w:rsidRPr="00AE62D6" w:rsidRDefault="00B92AF2" w:rsidP="005E1982">
            <w:pPr>
              <w:spacing w:before="20" w:after="20"/>
              <w:jc w:val="center"/>
              <w:rPr>
                <w:rFonts w:ascii="Tahoma" w:hAnsi="Tahoma" w:cs="Tahoma"/>
                <w:sz w:val="20"/>
              </w:rPr>
            </w:pPr>
            <w:r>
              <w:rPr>
                <w:rFonts w:ascii="Tahoma" w:hAnsi="Tahoma" w:cs="Tahoma"/>
                <w:sz w:val="20"/>
              </w:rPr>
              <w:t>0.00</w:t>
            </w:r>
          </w:p>
        </w:tc>
        <w:tc>
          <w:tcPr>
            <w:tcW w:w="1134" w:type="dxa"/>
            <w:shd w:val="pct10" w:color="auto" w:fill="auto"/>
            <w:vAlign w:val="center"/>
          </w:tcPr>
          <w:p w:rsidR="00B92AF2" w:rsidRPr="00AE62D6" w:rsidRDefault="00B92AF2" w:rsidP="005E1982">
            <w:pPr>
              <w:jc w:val="center"/>
              <w:rPr>
                <w:rFonts w:ascii="Tahoma" w:hAnsi="Tahoma" w:cs="Tahoma"/>
                <w:sz w:val="20"/>
              </w:rPr>
            </w:pPr>
            <w:r>
              <w:rPr>
                <w:rFonts w:ascii="Tahoma" w:hAnsi="Tahoma" w:cs="Tahoma"/>
                <w:sz w:val="20"/>
              </w:rPr>
              <w:t>1</w:t>
            </w:r>
          </w:p>
        </w:tc>
        <w:tc>
          <w:tcPr>
            <w:tcW w:w="1191" w:type="dxa"/>
            <w:shd w:val="pct10" w:color="auto" w:fill="auto"/>
            <w:vAlign w:val="center"/>
          </w:tcPr>
          <w:p w:rsidR="00B92AF2" w:rsidRPr="00AE62D6" w:rsidRDefault="00B92AF2" w:rsidP="005E1982">
            <w:pPr>
              <w:jc w:val="center"/>
              <w:rPr>
                <w:rFonts w:ascii="Tahoma" w:hAnsi="Tahoma" w:cs="Tahoma"/>
                <w:sz w:val="20"/>
              </w:rPr>
            </w:pPr>
            <w:r>
              <w:rPr>
                <w:rFonts w:ascii="Tahoma" w:hAnsi="Tahoma" w:cs="Tahoma"/>
                <w:sz w:val="20"/>
              </w:rPr>
              <w:t>0.66</w:t>
            </w:r>
          </w:p>
        </w:tc>
      </w:tr>
    </w:tbl>
    <w:p w:rsidR="005E1982" w:rsidRDefault="005E1982" w:rsidP="00755A6E">
      <w:pPr>
        <w:spacing w:before="100" w:beforeAutospacing="1" w:after="120"/>
        <w:rPr>
          <w:rFonts w:ascii="Tahoma" w:hAnsi="Tahoma" w:cs="Tahoma"/>
          <w:sz w:val="22"/>
          <w:szCs w:val="22"/>
        </w:rPr>
      </w:pPr>
      <w:r>
        <w:rPr>
          <w:rFonts w:ascii="Tahoma" w:hAnsi="Tahoma" w:cs="Tahoma"/>
          <w:sz w:val="22"/>
          <w:szCs w:val="22"/>
        </w:rPr>
        <w:t>There was one Scheme project fatality and zero non-Scheme project fatalities in the latest biannual reporting period.</w:t>
      </w:r>
    </w:p>
    <w:p w:rsidR="005E1982" w:rsidRDefault="005E1982" w:rsidP="00755A6E">
      <w:pPr>
        <w:spacing w:before="100" w:beforeAutospacing="1" w:after="120"/>
        <w:rPr>
          <w:rFonts w:ascii="Tahoma" w:hAnsi="Tahoma" w:cs="Tahoma"/>
          <w:sz w:val="22"/>
          <w:szCs w:val="22"/>
        </w:rPr>
      </w:pPr>
      <w:r>
        <w:rPr>
          <w:rFonts w:ascii="Tahoma" w:hAnsi="Tahoma" w:cs="Tahoma"/>
          <w:sz w:val="22"/>
          <w:szCs w:val="22"/>
        </w:rPr>
        <w:t xml:space="preserve">It should be noted that the frequency rates for accredited companies are significantly inflated as hours for projects less than $3 million are not included even though all fatalities for these companies are included. </w:t>
      </w:r>
    </w:p>
    <w:p w:rsidR="001A2CDB" w:rsidRDefault="001A2CDB" w:rsidP="000C224A">
      <w:pPr>
        <w:pStyle w:val="Heading2"/>
      </w:pPr>
      <w:bookmarkStart w:id="12" w:name="_Toc294789913"/>
      <w:r w:rsidRPr="001A2CDB">
        <w:t>Injury Frequency Rate</w:t>
      </w:r>
      <w:bookmarkEnd w:id="12"/>
    </w:p>
    <w:p w:rsidR="005E1982" w:rsidRPr="00647029" w:rsidRDefault="005E1982" w:rsidP="005E1982">
      <w:pPr>
        <w:pStyle w:val="Heading3"/>
        <w:keepLines w:val="0"/>
        <w:tabs>
          <w:tab w:val="num" w:pos="720"/>
        </w:tabs>
        <w:spacing w:before="120" w:after="120"/>
        <w:rPr>
          <w:rStyle w:val="Heading3Char"/>
        </w:rPr>
      </w:pPr>
      <w:bookmarkStart w:id="13" w:name="_Toc275253459"/>
      <w:bookmarkStart w:id="14" w:name="_Toc294789914"/>
      <w:r w:rsidRPr="00647029">
        <w:rPr>
          <w:rStyle w:val="Heading3Char"/>
        </w:rPr>
        <w:t>Lost Time Injury Frequency Rate (LTIFR)</w:t>
      </w:r>
      <w:bookmarkEnd w:id="13"/>
      <w:bookmarkEnd w:id="14"/>
    </w:p>
    <w:p w:rsidR="005E1982" w:rsidRDefault="005E1982" w:rsidP="005E1982">
      <w:pPr>
        <w:rPr>
          <w:rFonts w:ascii="Tahoma" w:hAnsi="Tahoma" w:cs="Tahoma"/>
          <w:sz w:val="22"/>
          <w:szCs w:val="22"/>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276"/>
        <w:gridCol w:w="1276"/>
        <w:gridCol w:w="1276"/>
        <w:gridCol w:w="1276"/>
        <w:gridCol w:w="1276"/>
        <w:gridCol w:w="1276"/>
      </w:tblGrid>
      <w:tr w:rsidR="005E1982" w:rsidRPr="00AE62D6" w:rsidTr="003112E2">
        <w:trPr>
          <w:jc w:val="center"/>
        </w:trPr>
        <w:tc>
          <w:tcPr>
            <w:tcW w:w="1588" w:type="dxa"/>
            <w:noWrap/>
            <w:tcMar>
              <w:left w:w="57" w:type="dxa"/>
              <w:right w:w="57" w:type="dxa"/>
            </w:tcMar>
            <w:vAlign w:val="bottom"/>
          </w:tcPr>
          <w:p w:rsidR="005E1982" w:rsidRPr="00AE62D6" w:rsidRDefault="003112E2" w:rsidP="003112E2">
            <w:pPr>
              <w:jc w:val="center"/>
              <w:rPr>
                <w:rFonts w:ascii="Tahoma" w:hAnsi="Tahoma" w:cs="Tahoma"/>
                <w:b/>
                <w:sz w:val="20"/>
              </w:rPr>
            </w:pPr>
            <w:r>
              <w:rPr>
                <w:rFonts w:ascii="Tahoma" w:hAnsi="Tahoma" w:cs="Tahoma"/>
                <w:b/>
                <w:sz w:val="20"/>
              </w:rPr>
              <w:lastRenderedPageBreak/>
              <w:t>Period</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LTIFR </w:t>
            </w:r>
            <w:r w:rsidR="005E1982" w:rsidRPr="00AE62D6">
              <w:rPr>
                <w:rFonts w:ascii="Tahoma" w:hAnsi="Tahoma" w:cs="Tahoma"/>
                <w:b/>
                <w:sz w:val="20"/>
              </w:rPr>
              <w:t>Median</w:t>
            </w:r>
            <w:r>
              <w:rPr>
                <w:rFonts w:ascii="Tahoma" w:hAnsi="Tahoma" w:cs="Tahoma"/>
                <w:b/>
                <w:sz w:val="20"/>
              </w:rPr>
              <w:t xml:space="preserve"> on Scheme projects</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LTIFR </w:t>
            </w:r>
            <w:r w:rsidR="005E1982" w:rsidRPr="00AE62D6">
              <w:rPr>
                <w:rFonts w:ascii="Tahoma" w:hAnsi="Tahoma" w:cs="Tahoma"/>
                <w:b/>
                <w:sz w:val="20"/>
              </w:rPr>
              <w:t>Arithmetic</w:t>
            </w:r>
          </w:p>
          <w:p w:rsidR="005E1982" w:rsidRPr="00AE62D6" w:rsidRDefault="003112E2" w:rsidP="005E1982">
            <w:pPr>
              <w:jc w:val="center"/>
              <w:rPr>
                <w:rFonts w:ascii="Tahoma" w:hAnsi="Tahoma" w:cs="Tahoma"/>
                <w:b/>
                <w:sz w:val="20"/>
              </w:rPr>
            </w:pPr>
            <w:r w:rsidRPr="00AE62D6">
              <w:rPr>
                <w:rFonts w:ascii="Tahoma" w:hAnsi="Tahoma" w:cs="Tahoma"/>
                <w:b/>
                <w:sz w:val="20"/>
              </w:rPr>
              <w:t>M</w:t>
            </w:r>
            <w:r w:rsidR="005E1982" w:rsidRPr="00AE62D6">
              <w:rPr>
                <w:rFonts w:ascii="Tahoma" w:hAnsi="Tahoma" w:cs="Tahoma"/>
                <w:b/>
                <w:sz w:val="20"/>
              </w:rPr>
              <w:t>ean</w:t>
            </w:r>
            <w:r>
              <w:rPr>
                <w:rFonts w:ascii="Tahoma" w:hAnsi="Tahoma" w:cs="Tahoma"/>
                <w:b/>
                <w:sz w:val="20"/>
              </w:rPr>
              <w:t xml:space="preserve"> on Scheme projects</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LTIFR </w:t>
            </w:r>
            <w:r w:rsidR="005E1982" w:rsidRPr="00AE62D6">
              <w:rPr>
                <w:rFonts w:ascii="Tahoma" w:hAnsi="Tahoma" w:cs="Tahoma"/>
                <w:b/>
                <w:sz w:val="20"/>
              </w:rPr>
              <w:t>Winsorized</w:t>
            </w:r>
          </w:p>
          <w:p w:rsidR="005E1982" w:rsidRPr="00AE62D6" w:rsidRDefault="003112E2" w:rsidP="005E1982">
            <w:pPr>
              <w:jc w:val="center"/>
              <w:rPr>
                <w:rFonts w:ascii="Tahoma" w:hAnsi="Tahoma" w:cs="Tahoma"/>
                <w:b/>
                <w:sz w:val="20"/>
              </w:rPr>
            </w:pPr>
            <w:r w:rsidRPr="00AE62D6">
              <w:rPr>
                <w:rFonts w:ascii="Tahoma" w:hAnsi="Tahoma" w:cs="Tahoma"/>
                <w:b/>
                <w:sz w:val="20"/>
              </w:rPr>
              <w:t>M</w:t>
            </w:r>
            <w:r w:rsidR="005E1982" w:rsidRPr="00AE62D6">
              <w:rPr>
                <w:rFonts w:ascii="Tahoma" w:hAnsi="Tahoma" w:cs="Tahoma"/>
                <w:b/>
                <w:sz w:val="20"/>
              </w:rPr>
              <w:t>ean</w:t>
            </w:r>
            <w:r>
              <w:rPr>
                <w:rFonts w:ascii="Tahoma" w:hAnsi="Tahoma" w:cs="Tahoma"/>
                <w:b/>
                <w:sz w:val="20"/>
              </w:rPr>
              <w:t xml:space="preserve"> on Scheme projects</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LTIFR </w:t>
            </w:r>
            <w:r w:rsidR="005E1982" w:rsidRPr="00AE62D6">
              <w:rPr>
                <w:rFonts w:ascii="Tahoma" w:hAnsi="Tahoma" w:cs="Tahoma"/>
                <w:b/>
                <w:sz w:val="20"/>
              </w:rPr>
              <w:t>Median</w:t>
            </w:r>
            <w:r>
              <w:rPr>
                <w:rFonts w:ascii="Tahoma" w:hAnsi="Tahoma" w:cs="Tahoma"/>
                <w:b/>
                <w:sz w:val="20"/>
              </w:rPr>
              <w:t xml:space="preserve"> on Non-Scheme projects</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LTIFR </w:t>
            </w:r>
            <w:r w:rsidR="005E1982" w:rsidRPr="00AE62D6">
              <w:rPr>
                <w:rFonts w:ascii="Tahoma" w:hAnsi="Tahoma" w:cs="Tahoma"/>
                <w:b/>
                <w:sz w:val="20"/>
              </w:rPr>
              <w:t>Arithmetic</w:t>
            </w:r>
          </w:p>
          <w:p w:rsidR="005E1982" w:rsidRPr="00AE62D6" w:rsidRDefault="003112E2" w:rsidP="005E1982">
            <w:pPr>
              <w:jc w:val="center"/>
              <w:rPr>
                <w:rFonts w:ascii="Tahoma" w:hAnsi="Tahoma" w:cs="Tahoma"/>
                <w:b/>
                <w:sz w:val="20"/>
              </w:rPr>
            </w:pPr>
            <w:r w:rsidRPr="00AE62D6">
              <w:rPr>
                <w:rFonts w:ascii="Tahoma" w:hAnsi="Tahoma" w:cs="Tahoma"/>
                <w:b/>
                <w:sz w:val="20"/>
              </w:rPr>
              <w:t>M</w:t>
            </w:r>
            <w:r w:rsidR="005E1982" w:rsidRPr="00AE62D6">
              <w:rPr>
                <w:rFonts w:ascii="Tahoma" w:hAnsi="Tahoma" w:cs="Tahoma"/>
                <w:b/>
                <w:sz w:val="20"/>
              </w:rPr>
              <w:t>ean</w:t>
            </w:r>
            <w:r>
              <w:rPr>
                <w:rFonts w:ascii="Tahoma" w:hAnsi="Tahoma" w:cs="Tahoma"/>
                <w:b/>
                <w:sz w:val="20"/>
              </w:rPr>
              <w:t xml:space="preserve"> on Non-Scheme projects</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LTIFR </w:t>
            </w:r>
            <w:r w:rsidR="005E1982" w:rsidRPr="00AE62D6">
              <w:rPr>
                <w:rFonts w:ascii="Tahoma" w:hAnsi="Tahoma" w:cs="Tahoma"/>
                <w:b/>
                <w:sz w:val="20"/>
              </w:rPr>
              <w:t>Winsorized</w:t>
            </w:r>
          </w:p>
          <w:p w:rsidR="005E1982" w:rsidRPr="00AE62D6" w:rsidRDefault="003112E2" w:rsidP="005E1982">
            <w:pPr>
              <w:jc w:val="center"/>
              <w:rPr>
                <w:rFonts w:ascii="Tahoma" w:hAnsi="Tahoma" w:cs="Tahoma"/>
                <w:b/>
                <w:sz w:val="20"/>
              </w:rPr>
            </w:pPr>
            <w:r w:rsidRPr="00AE62D6">
              <w:rPr>
                <w:rFonts w:ascii="Tahoma" w:hAnsi="Tahoma" w:cs="Tahoma"/>
                <w:b/>
                <w:sz w:val="20"/>
              </w:rPr>
              <w:t>M</w:t>
            </w:r>
            <w:r w:rsidR="005E1982" w:rsidRPr="00AE62D6">
              <w:rPr>
                <w:rFonts w:ascii="Tahoma" w:hAnsi="Tahoma" w:cs="Tahoma"/>
                <w:b/>
                <w:sz w:val="20"/>
              </w:rPr>
              <w:t>ean</w:t>
            </w:r>
            <w:r>
              <w:rPr>
                <w:rFonts w:ascii="Tahoma" w:hAnsi="Tahoma" w:cs="Tahoma"/>
                <w:b/>
                <w:sz w:val="20"/>
              </w:rPr>
              <w:t xml:space="preserve"> on Non-Scheme projects</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2007</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6.94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4.04</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4.65</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10.06</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7.52</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2008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9.24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8.72</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4.95</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10.41</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9.05</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7.44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6.21</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4.65</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12.22</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7.36</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2009</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12.86</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10.35</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3.50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11.54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6.10</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2009</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9.36</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7.68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3.00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11.</w:t>
            </w:r>
            <w:r>
              <w:rPr>
                <w:rFonts w:ascii="Tahoma" w:hAnsi="Tahoma" w:cs="Tahoma"/>
                <w:sz w:val="20"/>
              </w:rPr>
              <w:t>61</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8.2</w:t>
            </w:r>
            <w:r>
              <w:rPr>
                <w:rFonts w:ascii="Tahoma" w:hAnsi="Tahoma" w:cs="Tahoma"/>
                <w:sz w:val="20"/>
              </w:rPr>
              <w:t>8</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2010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21.99</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3</w:t>
            </w:r>
            <w:r>
              <w:rPr>
                <w:rFonts w:ascii="Tahoma" w:hAnsi="Tahoma" w:cs="Tahoma"/>
                <w:sz w:val="20"/>
              </w:rPr>
              <w:t>.21</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3.7</w:t>
            </w:r>
            <w:r>
              <w:rPr>
                <w:rFonts w:ascii="Tahoma" w:hAnsi="Tahoma" w:cs="Tahoma"/>
                <w:sz w:val="20"/>
              </w:rPr>
              <w:t>3</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11.34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8.</w:t>
            </w:r>
            <w:r>
              <w:rPr>
                <w:rFonts w:ascii="Tahoma" w:hAnsi="Tahoma" w:cs="Tahoma"/>
                <w:sz w:val="20"/>
              </w:rPr>
              <w:t>6</w:t>
            </w:r>
            <w:r w:rsidRPr="00AE62D6">
              <w:rPr>
                <w:rFonts w:ascii="Tahoma" w:hAnsi="Tahoma" w:cs="Tahoma"/>
                <w:sz w:val="20"/>
              </w:rPr>
              <w:t>1</w:t>
            </w:r>
          </w:p>
        </w:tc>
      </w:tr>
    </w:tbl>
    <w:p w:rsidR="005E1982" w:rsidRPr="00521D21" w:rsidRDefault="005E1982" w:rsidP="00755A6E">
      <w:pPr>
        <w:spacing w:before="100" w:beforeAutospacing="1" w:after="120"/>
        <w:rPr>
          <w:rFonts w:ascii="Tahoma" w:hAnsi="Tahoma" w:cs="Tahoma"/>
          <w:sz w:val="22"/>
          <w:szCs w:val="22"/>
        </w:rPr>
      </w:pPr>
      <w:r>
        <w:rPr>
          <w:rFonts w:ascii="Tahoma" w:hAnsi="Tahoma" w:cs="Tahoma"/>
          <w:sz w:val="22"/>
          <w:szCs w:val="22"/>
        </w:rPr>
        <w:t>The mean LTIFR for Scheme projects for the June 2010 biannual reporting period increased significantly compared with the corresponding period for the previous year, while the mean LTIFR for non-Scheme projects remained stable.</w:t>
      </w:r>
    </w:p>
    <w:p w:rsidR="005E1982" w:rsidRPr="00B97FCD" w:rsidRDefault="005E1982" w:rsidP="00755A6E">
      <w:pPr>
        <w:spacing w:before="100" w:beforeAutospacing="1" w:after="120"/>
        <w:rPr>
          <w:rFonts w:ascii="Tahoma" w:hAnsi="Tahoma" w:cs="Tahoma"/>
          <w:sz w:val="22"/>
          <w:szCs w:val="22"/>
        </w:rPr>
      </w:pPr>
      <w:r w:rsidRPr="00B97FCD">
        <w:rPr>
          <w:rFonts w:ascii="Tahoma" w:hAnsi="Tahoma" w:cs="Tahoma"/>
          <w:sz w:val="22"/>
          <w:szCs w:val="22"/>
        </w:rPr>
        <w:t xml:space="preserve">The median LTIFR for Scheme projects has remained at zero </w:t>
      </w:r>
      <w:r>
        <w:rPr>
          <w:rFonts w:ascii="Tahoma" w:hAnsi="Tahoma" w:cs="Tahoma"/>
          <w:sz w:val="22"/>
          <w:szCs w:val="22"/>
        </w:rPr>
        <w:t xml:space="preserve">for all </w:t>
      </w:r>
      <w:r w:rsidRPr="00B97FCD">
        <w:rPr>
          <w:rFonts w:ascii="Tahoma" w:hAnsi="Tahoma" w:cs="Tahoma"/>
          <w:sz w:val="22"/>
          <w:szCs w:val="22"/>
        </w:rPr>
        <w:t xml:space="preserve">biannual reporting periods, while the median LTIFR for non-Scheme projects </w:t>
      </w:r>
      <w:r>
        <w:rPr>
          <w:rFonts w:ascii="Tahoma" w:hAnsi="Tahoma" w:cs="Tahoma"/>
          <w:sz w:val="22"/>
          <w:szCs w:val="22"/>
        </w:rPr>
        <w:t>in</w:t>
      </w:r>
      <w:r w:rsidRPr="00B97FCD">
        <w:rPr>
          <w:rFonts w:ascii="Tahoma" w:hAnsi="Tahoma" w:cs="Tahoma"/>
          <w:sz w:val="22"/>
          <w:szCs w:val="22"/>
        </w:rPr>
        <w:t xml:space="preserve">creased in the </w:t>
      </w:r>
      <w:r>
        <w:rPr>
          <w:rFonts w:ascii="Tahoma" w:hAnsi="Tahoma" w:cs="Tahoma"/>
          <w:sz w:val="22"/>
          <w:szCs w:val="22"/>
        </w:rPr>
        <w:t>June 2010 period</w:t>
      </w:r>
      <w:r w:rsidRPr="00B97FCD">
        <w:rPr>
          <w:rFonts w:ascii="Tahoma" w:hAnsi="Tahoma" w:cs="Tahoma"/>
          <w:sz w:val="22"/>
          <w:szCs w:val="22"/>
        </w:rPr>
        <w:t xml:space="preserve"> </w:t>
      </w:r>
      <w:r>
        <w:rPr>
          <w:rFonts w:ascii="Tahoma" w:hAnsi="Tahoma" w:cs="Tahoma"/>
          <w:sz w:val="22"/>
          <w:szCs w:val="22"/>
        </w:rPr>
        <w:t>compared to the June 2009 period</w:t>
      </w:r>
      <w:r w:rsidRPr="00B97FCD">
        <w:rPr>
          <w:rFonts w:ascii="Tahoma" w:hAnsi="Tahoma" w:cs="Tahoma"/>
          <w:sz w:val="22"/>
          <w:szCs w:val="22"/>
        </w:rPr>
        <w:t>.</w:t>
      </w:r>
    </w:p>
    <w:p w:rsidR="005E1982" w:rsidRDefault="005E1982" w:rsidP="00755A6E">
      <w:pPr>
        <w:spacing w:before="100" w:beforeAutospacing="1" w:after="120"/>
        <w:rPr>
          <w:rFonts w:ascii="Tahoma" w:hAnsi="Tahoma" w:cs="Tahoma"/>
          <w:sz w:val="22"/>
          <w:szCs w:val="22"/>
        </w:rPr>
      </w:pPr>
      <w:r w:rsidRPr="006B4E60">
        <w:rPr>
          <w:rFonts w:ascii="Tahoma" w:hAnsi="Tahoma" w:cs="Tahoma"/>
          <w:sz w:val="22"/>
          <w:szCs w:val="22"/>
        </w:rPr>
        <w:t xml:space="preserve">As both Scheme and non-Scheme projects </w:t>
      </w:r>
      <w:r>
        <w:rPr>
          <w:rFonts w:ascii="Tahoma" w:hAnsi="Tahoma" w:cs="Tahoma"/>
          <w:sz w:val="22"/>
          <w:szCs w:val="22"/>
        </w:rPr>
        <w:t xml:space="preserve">may </w:t>
      </w:r>
      <w:r w:rsidRPr="006B4E60">
        <w:rPr>
          <w:rFonts w:ascii="Tahoma" w:hAnsi="Tahoma" w:cs="Tahoma"/>
          <w:sz w:val="22"/>
          <w:szCs w:val="22"/>
        </w:rPr>
        <w:t>ha</w:t>
      </w:r>
      <w:r>
        <w:rPr>
          <w:rFonts w:ascii="Tahoma" w:hAnsi="Tahoma" w:cs="Tahoma"/>
          <w:sz w:val="22"/>
          <w:szCs w:val="22"/>
        </w:rPr>
        <w:t>ve a few very</w:t>
      </w:r>
      <w:r w:rsidRPr="006B4E60">
        <w:rPr>
          <w:rFonts w:ascii="Tahoma" w:hAnsi="Tahoma" w:cs="Tahoma"/>
          <w:sz w:val="22"/>
          <w:szCs w:val="22"/>
        </w:rPr>
        <w:t xml:space="preserve"> high LTIFR values</w:t>
      </w:r>
      <w:r>
        <w:rPr>
          <w:rFonts w:ascii="Tahoma" w:hAnsi="Tahoma" w:cs="Tahoma"/>
          <w:sz w:val="22"/>
          <w:szCs w:val="22"/>
        </w:rPr>
        <w:t xml:space="preserve"> (outliers)</w:t>
      </w:r>
      <w:r>
        <w:rPr>
          <w:rStyle w:val="FootnoteReference"/>
          <w:rFonts w:ascii="Tahoma" w:hAnsi="Tahoma"/>
          <w:sz w:val="22"/>
          <w:szCs w:val="22"/>
        </w:rPr>
        <w:footnoteReference w:id="4"/>
      </w:r>
      <w:r w:rsidRPr="006B4E60">
        <w:rPr>
          <w:rFonts w:ascii="Tahoma" w:hAnsi="Tahoma" w:cs="Tahoma"/>
          <w:sz w:val="22"/>
          <w:szCs w:val="22"/>
        </w:rPr>
        <w:t>, the Winsorized mean</w:t>
      </w:r>
      <w:r>
        <w:rPr>
          <w:rFonts w:ascii="Tahoma" w:hAnsi="Tahoma" w:cs="Tahoma"/>
          <w:sz w:val="22"/>
          <w:szCs w:val="22"/>
        </w:rPr>
        <w:t xml:space="preserve"> </w:t>
      </w:r>
      <w:r w:rsidRPr="005D4F83">
        <w:rPr>
          <w:rFonts w:ascii="Tahoma" w:hAnsi="Tahoma" w:cs="Tahoma"/>
          <w:sz w:val="22"/>
          <w:szCs w:val="22"/>
        </w:rPr>
        <w:t>(see Glossary)</w:t>
      </w:r>
      <w:r w:rsidRPr="006B4E60">
        <w:rPr>
          <w:rFonts w:ascii="Tahoma" w:hAnsi="Tahoma" w:cs="Tahoma"/>
          <w:sz w:val="22"/>
          <w:szCs w:val="22"/>
        </w:rPr>
        <w:t xml:space="preserve"> </w:t>
      </w:r>
      <w:r>
        <w:rPr>
          <w:rFonts w:ascii="Tahoma" w:hAnsi="Tahoma" w:cs="Tahoma"/>
          <w:sz w:val="22"/>
          <w:szCs w:val="22"/>
        </w:rPr>
        <w:t>is</w:t>
      </w:r>
      <w:r w:rsidRPr="006B4E60">
        <w:rPr>
          <w:rFonts w:ascii="Tahoma" w:hAnsi="Tahoma" w:cs="Tahoma"/>
          <w:sz w:val="22"/>
          <w:szCs w:val="22"/>
        </w:rPr>
        <w:t xml:space="preserve"> also calculated as it is regarded as a more robust estimator of the central tendency because it is less sensitive to outliers.</w:t>
      </w:r>
      <w:r>
        <w:rPr>
          <w:rFonts w:ascii="Tahoma" w:hAnsi="Tahoma" w:cs="Tahoma"/>
          <w:sz w:val="22"/>
          <w:szCs w:val="22"/>
        </w:rPr>
        <w:t xml:space="preserve"> The Winsorized mean for Scheme projects for the current period was the lowest yet recorded (3.21), while for non-Scheme projects the Winsorized mean increased compared to the June 2009 period.</w:t>
      </w:r>
    </w:p>
    <w:p w:rsidR="005A0F7D" w:rsidRDefault="005A0F7D" w:rsidP="00755A6E">
      <w:pPr>
        <w:spacing w:before="100" w:beforeAutospacing="1" w:after="120"/>
        <w:rPr>
          <w:rFonts w:ascii="Tahoma" w:hAnsi="Tahoma" w:cs="Tahoma"/>
          <w:sz w:val="22"/>
          <w:szCs w:val="22"/>
        </w:rPr>
      </w:pPr>
      <w:r>
        <w:rPr>
          <w:rFonts w:ascii="Tahoma" w:hAnsi="Tahoma" w:cs="Tahoma"/>
          <w:sz w:val="22"/>
          <w:szCs w:val="22"/>
        </w:rPr>
        <w:t>For the June 2010 period, around 68 per cent of all accredited contractors undertaking Scheme projects reported no LTI’s, while around 88 per cent were below the mean LTIFR for Scheme projects (Chart 2).</w:t>
      </w:r>
    </w:p>
    <w:p w:rsidR="005E1982" w:rsidRDefault="005A0F7D" w:rsidP="00755A6E">
      <w:pPr>
        <w:spacing w:before="100" w:beforeAutospacing="1" w:after="120"/>
        <w:rPr>
          <w:rFonts w:ascii="Tahoma" w:hAnsi="Tahoma" w:cs="Tahoma"/>
          <w:sz w:val="22"/>
          <w:szCs w:val="22"/>
        </w:rPr>
      </w:pPr>
      <w:r>
        <w:rPr>
          <w:rFonts w:ascii="Tahoma" w:hAnsi="Tahoma" w:cs="Tahoma"/>
          <w:sz w:val="22"/>
          <w:szCs w:val="22"/>
        </w:rPr>
        <w:t>For the same period, around 38 per cent of all accredited contractors undertaking non-Scheme projects reported no LTI’s, while around 68 per cent were below the mean LTIFR for non-Scheme projects (Chart 3).</w:t>
      </w:r>
    </w:p>
    <w:p w:rsidR="006A0880" w:rsidRDefault="00EA079B" w:rsidP="006A0880">
      <w:pPr>
        <w:spacing w:before="100" w:beforeAutospacing="1" w:after="120"/>
        <w:rPr>
          <w:rFonts w:ascii="Tahoma" w:hAnsi="Tahoma" w:cs="Tahoma"/>
          <w:sz w:val="22"/>
          <w:szCs w:val="22"/>
        </w:rPr>
      </w:pPr>
      <w:r>
        <w:rPr>
          <w:rFonts w:ascii="Tahoma" w:hAnsi="Tahoma" w:cs="Tahoma"/>
          <w:noProof/>
          <w:sz w:val="22"/>
          <w:szCs w:val="22"/>
        </w:rPr>
        <w:lastRenderedPageBreak/>
        <w:drawing>
          <wp:inline distT="0" distB="0" distL="0" distR="0">
            <wp:extent cx="2571750" cy="2847975"/>
            <wp:effectExtent l="19050" t="0" r="0" b="0"/>
            <wp:docPr id="5" name="Picture 2" descr="Line Graph showing the LTIFR of Scheme projects for the June 2010 period. The X-axis represents the percentile, the Y-Axis the LTIFR.&#10;&#10;The mean LTIFR is represented by a straight horizontal line at approximately 23 on the y axis. The Percentile line begins on the y axis at over 100 and intersects the mean at approximately 10. This line reaches zero at approximately the 32nd percentil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571750" cy="2847975"/>
                    </a:xfrm>
                    <a:prstGeom prst="rect">
                      <a:avLst/>
                    </a:prstGeom>
                    <a:noFill/>
                    <a:ln w="9525">
                      <a:noFill/>
                      <a:miter lim="800000"/>
                      <a:headEnd/>
                      <a:tailEnd/>
                    </a:ln>
                  </pic:spPr>
                </pic:pic>
              </a:graphicData>
            </a:graphic>
          </wp:inline>
        </w:drawing>
      </w:r>
      <w:r w:rsidR="006A0880">
        <w:rPr>
          <w:rFonts w:ascii="Tahoma" w:hAnsi="Tahoma" w:cs="Tahoma"/>
          <w:noProof/>
          <w:sz w:val="22"/>
          <w:szCs w:val="22"/>
        </w:rPr>
        <w:drawing>
          <wp:inline distT="0" distB="0" distL="0" distR="0">
            <wp:extent cx="2527300" cy="2847975"/>
            <wp:effectExtent l="19050" t="0" r="6350" b="0"/>
            <wp:docPr id="9" name="Picture 3" descr="Line Graph showing the LTIFR of non-Scheme projects for the June 2010 period. The X-axis represents the percentile, the Y-Axis the LTIFR.&#10;&#10;The mean LTIFR is represented by a straight horizontal line at approximately 12 on the y axis. The Percentile line begins on the y axis at approximately 90 and intersects the mean at approximately 33. This line reaches zero at approximately the 62nd perce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2527300" cy="2847975"/>
                    </a:xfrm>
                    <a:prstGeom prst="rect">
                      <a:avLst/>
                    </a:prstGeom>
                    <a:noFill/>
                    <a:ln w="9525">
                      <a:noFill/>
                      <a:miter lim="800000"/>
                      <a:headEnd/>
                      <a:tailEnd/>
                    </a:ln>
                  </pic:spPr>
                </pic:pic>
              </a:graphicData>
            </a:graphic>
          </wp:inline>
        </w:drawing>
      </w:r>
    </w:p>
    <w:p w:rsidR="00F84096" w:rsidRDefault="00F84096" w:rsidP="006A0880">
      <w:pPr>
        <w:spacing w:before="100" w:beforeAutospacing="1" w:after="120"/>
        <w:rPr>
          <w:rFonts w:ascii="Tahoma" w:hAnsi="Tahoma" w:cs="Tahoma"/>
          <w:sz w:val="22"/>
          <w:szCs w:val="22"/>
        </w:rPr>
      </w:pPr>
    </w:p>
    <w:p w:rsidR="000005CA" w:rsidRDefault="000005CA" w:rsidP="006A0880">
      <w:pPr>
        <w:spacing w:before="100" w:beforeAutospacing="1" w:after="120"/>
        <w:rPr>
          <w:rFonts w:ascii="Tahoma" w:hAnsi="Tahoma" w:cs="Tahoma"/>
          <w:sz w:val="22"/>
          <w:szCs w:val="22"/>
        </w:rPr>
      </w:pPr>
    </w:p>
    <w:p w:rsidR="00F1628F" w:rsidRDefault="00F1628F" w:rsidP="006A0880">
      <w:pPr>
        <w:spacing w:before="100" w:beforeAutospacing="1" w:after="120"/>
        <w:rPr>
          <w:rFonts w:ascii="Tahoma" w:hAnsi="Tahoma" w:cs="Tahoma"/>
          <w:sz w:val="22"/>
          <w:szCs w:val="22"/>
        </w:rPr>
      </w:pPr>
    </w:p>
    <w:p w:rsidR="00F1628F" w:rsidRDefault="00F1628F" w:rsidP="006A0880">
      <w:pPr>
        <w:spacing w:before="100" w:beforeAutospacing="1" w:after="120"/>
        <w:rPr>
          <w:rFonts w:ascii="Tahoma" w:hAnsi="Tahoma" w:cs="Tahoma"/>
          <w:sz w:val="22"/>
          <w:szCs w:val="22"/>
        </w:rPr>
      </w:pPr>
    </w:p>
    <w:p w:rsidR="00F1628F" w:rsidRDefault="00F1628F" w:rsidP="006A0880">
      <w:pPr>
        <w:spacing w:before="100" w:beforeAutospacing="1" w:after="120"/>
        <w:rPr>
          <w:rFonts w:ascii="Tahoma" w:hAnsi="Tahoma" w:cs="Tahoma"/>
          <w:sz w:val="22"/>
          <w:szCs w:val="22"/>
        </w:rPr>
      </w:pPr>
    </w:p>
    <w:p w:rsidR="00DF1579" w:rsidRPr="00DF1579" w:rsidRDefault="005E1982" w:rsidP="00DF1579">
      <w:pPr>
        <w:pStyle w:val="Heading3"/>
        <w:keepLines w:val="0"/>
        <w:tabs>
          <w:tab w:val="num" w:pos="720"/>
        </w:tabs>
        <w:spacing w:before="120" w:after="120"/>
      </w:pPr>
      <w:bookmarkStart w:id="15" w:name="_Toc275253460"/>
      <w:bookmarkStart w:id="16" w:name="_Toc294789915"/>
      <w:r w:rsidRPr="00647029">
        <w:rPr>
          <w:rStyle w:val="Heading3Char"/>
        </w:rPr>
        <w:t>Medically Treated Injury Frequency Rate (MTIFR)</w:t>
      </w:r>
      <w:bookmarkEnd w:id="15"/>
      <w:bookmarkEnd w:id="16"/>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276"/>
        <w:gridCol w:w="1276"/>
        <w:gridCol w:w="1276"/>
        <w:gridCol w:w="1276"/>
        <w:gridCol w:w="1276"/>
        <w:gridCol w:w="1276"/>
      </w:tblGrid>
      <w:tr w:rsidR="005E1982" w:rsidRPr="00AE62D6" w:rsidTr="003112E2">
        <w:trPr>
          <w:jc w:val="center"/>
        </w:trPr>
        <w:tc>
          <w:tcPr>
            <w:tcW w:w="1588" w:type="dxa"/>
            <w:noWrap/>
            <w:tcMar>
              <w:left w:w="57" w:type="dxa"/>
              <w:right w:w="57" w:type="dxa"/>
            </w:tcMar>
            <w:vAlign w:val="bottom"/>
          </w:tcPr>
          <w:p w:rsidR="005E1982" w:rsidRPr="00AE62D6" w:rsidRDefault="003112E2" w:rsidP="003112E2">
            <w:pPr>
              <w:jc w:val="center"/>
              <w:rPr>
                <w:rFonts w:ascii="Tahoma" w:hAnsi="Tahoma" w:cs="Tahoma"/>
                <w:b/>
                <w:sz w:val="20"/>
              </w:rPr>
            </w:pPr>
            <w:r>
              <w:rPr>
                <w:rFonts w:ascii="Tahoma" w:hAnsi="Tahoma" w:cs="Tahoma"/>
                <w:b/>
                <w:sz w:val="20"/>
              </w:rPr>
              <w:t>Period</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MTIFR </w:t>
            </w:r>
            <w:r w:rsidR="005E1982" w:rsidRPr="00AE62D6">
              <w:rPr>
                <w:rFonts w:ascii="Tahoma" w:hAnsi="Tahoma" w:cs="Tahoma"/>
                <w:b/>
                <w:sz w:val="20"/>
              </w:rPr>
              <w:t>Median</w:t>
            </w:r>
            <w:r>
              <w:rPr>
                <w:rFonts w:ascii="Tahoma" w:hAnsi="Tahoma" w:cs="Tahoma"/>
                <w:b/>
                <w:sz w:val="20"/>
              </w:rPr>
              <w:t xml:space="preserve"> on Scheme projects</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MTIFR </w:t>
            </w:r>
            <w:r w:rsidR="005E1982" w:rsidRPr="00AE62D6">
              <w:rPr>
                <w:rFonts w:ascii="Tahoma" w:hAnsi="Tahoma" w:cs="Tahoma"/>
                <w:b/>
                <w:sz w:val="20"/>
              </w:rPr>
              <w:t>Arithmetic</w:t>
            </w:r>
          </w:p>
          <w:p w:rsidR="005E1982" w:rsidRPr="00AE62D6" w:rsidRDefault="003112E2" w:rsidP="005E1982">
            <w:pPr>
              <w:jc w:val="center"/>
              <w:rPr>
                <w:rFonts w:ascii="Tahoma" w:hAnsi="Tahoma" w:cs="Tahoma"/>
                <w:b/>
                <w:sz w:val="20"/>
              </w:rPr>
            </w:pPr>
            <w:r w:rsidRPr="00AE62D6">
              <w:rPr>
                <w:rFonts w:ascii="Tahoma" w:hAnsi="Tahoma" w:cs="Tahoma"/>
                <w:b/>
                <w:sz w:val="20"/>
              </w:rPr>
              <w:t>M</w:t>
            </w:r>
            <w:r w:rsidR="005E1982" w:rsidRPr="00AE62D6">
              <w:rPr>
                <w:rFonts w:ascii="Tahoma" w:hAnsi="Tahoma" w:cs="Tahoma"/>
                <w:b/>
                <w:sz w:val="20"/>
              </w:rPr>
              <w:t>ean</w:t>
            </w:r>
            <w:r>
              <w:rPr>
                <w:rFonts w:ascii="Tahoma" w:hAnsi="Tahoma" w:cs="Tahoma"/>
                <w:b/>
                <w:sz w:val="20"/>
              </w:rPr>
              <w:t xml:space="preserve"> on Scheme projects</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MTIFR </w:t>
            </w:r>
            <w:r w:rsidR="005E1982" w:rsidRPr="00AE62D6">
              <w:rPr>
                <w:rFonts w:ascii="Tahoma" w:hAnsi="Tahoma" w:cs="Tahoma"/>
                <w:b/>
                <w:sz w:val="20"/>
              </w:rPr>
              <w:t>Winsorized</w:t>
            </w:r>
          </w:p>
          <w:p w:rsidR="005E1982" w:rsidRPr="00AE62D6" w:rsidRDefault="003112E2" w:rsidP="005E1982">
            <w:pPr>
              <w:jc w:val="center"/>
              <w:rPr>
                <w:rFonts w:ascii="Tahoma" w:hAnsi="Tahoma" w:cs="Tahoma"/>
                <w:b/>
                <w:sz w:val="20"/>
              </w:rPr>
            </w:pPr>
            <w:r w:rsidRPr="00AE62D6">
              <w:rPr>
                <w:rFonts w:ascii="Tahoma" w:hAnsi="Tahoma" w:cs="Tahoma"/>
                <w:b/>
                <w:sz w:val="20"/>
              </w:rPr>
              <w:t>M</w:t>
            </w:r>
            <w:r w:rsidR="005E1982" w:rsidRPr="00AE62D6">
              <w:rPr>
                <w:rFonts w:ascii="Tahoma" w:hAnsi="Tahoma" w:cs="Tahoma"/>
                <w:b/>
                <w:sz w:val="20"/>
              </w:rPr>
              <w:t>ean</w:t>
            </w:r>
            <w:r>
              <w:rPr>
                <w:rFonts w:ascii="Tahoma" w:hAnsi="Tahoma" w:cs="Tahoma"/>
                <w:b/>
                <w:sz w:val="20"/>
              </w:rPr>
              <w:t xml:space="preserve"> on Scheme projects</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MTIFR </w:t>
            </w:r>
            <w:r w:rsidR="005E1982" w:rsidRPr="00AE62D6">
              <w:rPr>
                <w:rFonts w:ascii="Tahoma" w:hAnsi="Tahoma" w:cs="Tahoma"/>
                <w:b/>
                <w:sz w:val="20"/>
              </w:rPr>
              <w:t>Median</w:t>
            </w:r>
            <w:r>
              <w:rPr>
                <w:rFonts w:ascii="Tahoma" w:hAnsi="Tahoma" w:cs="Tahoma"/>
                <w:b/>
                <w:sz w:val="20"/>
              </w:rPr>
              <w:t xml:space="preserve"> on Non-Scheme projects</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MTIFR </w:t>
            </w:r>
            <w:r w:rsidR="005E1982" w:rsidRPr="00AE62D6">
              <w:rPr>
                <w:rFonts w:ascii="Tahoma" w:hAnsi="Tahoma" w:cs="Tahoma"/>
                <w:b/>
                <w:sz w:val="20"/>
              </w:rPr>
              <w:t>Arithmetic</w:t>
            </w:r>
          </w:p>
          <w:p w:rsidR="005E1982" w:rsidRPr="00AE62D6" w:rsidRDefault="003112E2" w:rsidP="005E1982">
            <w:pPr>
              <w:jc w:val="center"/>
              <w:rPr>
                <w:rFonts w:ascii="Tahoma" w:hAnsi="Tahoma" w:cs="Tahoma"/>
                <w:b/>
                <w:sz w:val="20"/>
              </w:rPr>
            </w:pPr>
            <w:r w:rsidRPr="00AE62D6">
              <w:rPr>
                <w:rFonts w:ascii="Tahoma" w:hAnsi="Tahoma" w:cs="Tahoma"/>
                <w:b/>
                <w:sz w:val="20"/>
              </w:rPr>
              <w:t>M</w:t>
            </w:r>
            <w:r w:rsidR="005E1982" w:rsidRPr="00AE62D6">
              <w:rPr>
                <w:rFonts w:ascii="Tahoma" w:hAnsi="Tahoma" w:cs="Tahoma"/>
                <w:b/>
                <w:sz w:val="20"/>
              </w:rPr>
              <w:t>ean</w:t>
            </w:r>
            <w:r>
              <w:rPr>
                <w:rFonts w:ascii="Tahoma" w:hAnsi="Tahoma" w:cs="Tahoma"/>
                <w:b/>
                <w:sz w:val="20"/>
              </w:rPr>
              <w:t xml:space="preserve"> on Non-Scheme projects</w:t>
            </w:r>
          </w:p>
        </w:tc>
        <w:tc>
          <w:tcPr>
            <w:tcW w:w="1276" w:type="dxa"/>
            <w:noWrap/>
            <w:tcMar>
              <w:left w:w="57" w:type="dxa"/>
              <w:right w:w="57" w:type="dxa"/>
            </w:tcMar>
            <w:vAlign w:val="bottom"/>
          </w:tcPr>
          <w:p w:rsidR="005E1982" w:rsidRPr="00AE62D6" w:rsidRDefault="003112E2" w:rsidP="005E1982">
            <w:pPr>
              <w:jc w:val="center"/>
              <w:rPr>
                <w:rFonts w:ascii="Tahoma" w:hAnsi="Tahoma" w:cs="Tahoma"/>
                <w:b/>
                <w:sz w:val="20"/>
              </w:rPr>
            </w:pPr>
            <w:r>
              <w:rPr>
                <w:rFonts w:ascii="Tahoma" w:hAnsi="Tahoma" w:cs="Tahoma"/>
                <w:b/>
                <w:sz w:val="20"/>
              </w:rPr>
              <w:t xml:space="preserve">MTIFR </w:t>
            </w:r>
            <w:r w:rsidR="005E1982" w:rsidRPr="00AE62D6">
              <w:rPr>
                <w:rFonts w:ascii="Tahoma" w:hAnsi="Tahoma" w:cs="Tahoma"/>
                <w:b/>
                <w:sz w:val="20"/>
              </w:rPr>
              <w:t>Winsorized</w:t>
            </w:r>
          </w:p>
          <w:p w:rsidR="005E1982" w:rsidRPr="00AE62D6" w:rsidRDefault="003112E2" w:rsidP="005E1982">
            <w:pPr>
              <w:jc w:val="center"/>
              <w:rPr>
                <w:rFonts w:ascii="Tahoma" w:hAnsi="Tahoma" w:cs="Tahoma"/>
                <w:b/>
                <w:sz w:val="20"/>
              </w:rPr>
            </w:pPr>
            <w:r w:rsidRPr="00AE62D6">
              <w:rPr>
                <w:rFonts w:ascii="Tahoma" w:hAnsi="Tahoma" w:cs="Tahoma"/>
                <w:b/>
                <w:sz w:val="20"/>
              </w:rPr>
              <w:t>M</w:t>
            </w:r>
            <w:r w:rsidR="005E1982" w:rsidRPr="00AE62D6">
              <w:rPr>
                <w:rFonts w:ascii="Tahoma" w:hAnsi="Tahoma" w:cs="Tahoma"/>
                <w:b/>
                <w:sz w:val="20"/>
              </w:rPr>
              <w:t>ean</w:t>
            </w:r>
            <w:r>
              <w:rPr>
                <w:rFonts w:ascii="Tahoma" w:hAnsi="Tahoma" w:cs="Tahoma"/>
                <w:b/>
                <w:sz w:val="20"/>
              </w:rPr>
              <w:t xml:space="preserve"> on Non-Scheme projects</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2007</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12.06</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9.53</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19.90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26.23</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23.32</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lastRenderedPageBreak/>
              <w:t>Jan to Jun 2008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18.06</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16.29</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19.00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29.39</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24.36</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2.78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21.79</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14.50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13.18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21.10</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16.67</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2009</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8.58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33.93</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22.78</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14.32</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26.82</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17.21</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Jul to Dec 2009</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13.04</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21.84</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16.62</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18.</w:t>
            </w:r>
            <w:r>
              <w:rPr>
                <w:rFonts w:ascii="Tahoma" w:hAnsi="Tahoma" w:cs="Tahoma"/>
                <w:sz w:val="20"/>
              </w:rPr>
              <w:t>17</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38.</w:t>
            </w:r>
            <w:r>
              <w:rPr>
                <w:rFonts w:ascii="Tahoma" w:hAnsi="Tahoma" w:cs="Tahoma"/>
                <w:sz w:val="20"/>
              </w:rPr>
              <w:t>5</w:t>
            </w:r>
            <w:r w:rsidRPr="00AE62D6">
              <w:rPr>
                <w:rFonts w:ascii="Tahoma" w:hAnsi="Tahoma" w:cs="Tahoma"/>
                <w:sz w:val="20"/>
              </w:rPr>
              <w:t>1</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sidRPr="00AE62D6">
              <w:rPr>
                <w:rFonts w:ascii="Tahoma" w:hAnsi="Tahoma" w:cs="Tahoma"/>
                <w:sz w:val="20"/>
              </w:rPr>
              <w:t>28.7</w:t>
            </w:r>
            <w:r>
              <w:rPr>
                <w:rFonts w:ascii="Tahoma" w:hAnsi="Tahoma" w:cs="Tahoma"/>
                <w:sz w:val="20"/>
              </w:rPr>
              <w:t>3</w:t>
            </w:r>
          </w:p>
        </w:tc>
      </w:tr>
      <w:tr w:rsidR="005E1982" w:rsidRPr="00AE62D6" w:rsidTr="003112E2">
        <w:trPr>
          <w:jc w:val="center"/>
        </w:trPr>
        <w:tc>
          <w:tcPr>
            <w:tcW w:w="1588"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Jan to Jun 2010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0.00</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34.67</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Pr>
                <w:rFonts w:ascii="Tahoma" w:hAnsi="Tahoma" w:cs="Tahoma"/>
                <w:sz w:val="20"/>
              </w:rPr>
              <w:t>16.95</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sidRPr="00AE62D6">
              <w:rPr>
                <w:rFonts w:ascii="Tahoma" w:hAnsi="Tahoma" w:cs="Tahoma"/>
                <w:sz w:val="20"/>
              </w:rPr>
              <w:t>21.</w:t>
            </w:r>
            <w:r>
              <w:rPr>
                <w:rFonts w:ascii="Tahoma" w:hAnsi="Tahoma" w:cs="Tahoma"/>
                <w:sz w:val="20"/>
              </w:rPr>
              <w:t>03</w:t>
            </w:r>
          </w:p>
        </w:tc>
        <w:tc>
          <w:tcPr>
            <w:tcW w:w="1276" w:type="dxa"/>
            <w:noWrap/>
            <w:tcMar>
              <w:left w:w="57" w:type="dxa"/>
              <w:right w:w="57" w:type="dxa"/>
            </w:tcMar>
            <w:vAlign w:val="bottom"/>
          </w:tcPr>
          <w:p w:rsidR="005E1982" w:rsidRPr="00AE62D6" w:rsidRDefault="005E1982" w:rsidP="005E1982">
            <w:pPr>
              <w:spacing w:before="20" w:after="20"/>
              <w:jc w:val="center"/>
              <w:rPr>
                <w:rFonts w:ascii="Tahoma" w:hAnsi="Tahoma" w:cs="Tahoma"/>
                <w:sz w:val="20"/>
              </w:rPr>
            </w:pPr>
            <w:r>
              <w:rPr>
                <w:rFonts w:ascii="Tahoma" w:hAnsi="Tahoma" w:cs="Tahoma"/>
                <w:sz w:val="20"/>
              </w:rPr>
              <w:t>40.15</w:t>
            </w:r>
          </w:p>
        </w:tc>
        <w:tc>
          <w:tcPr>
            <w:tcW w:w="1276" w:type="dxa"/>
            <w:noWrap/>
            <w:tcMar>
              <w:left w:w="57" w:type="dxa"/>
              <w:right w:w="57" w:type="dxa"/>
            </w:tcMar>
            <w:vAlign w:val="bottom"/>
          </w:tcPr>
          <w:p w:rsidR="005E1982" w:rsidRPr="00AE62D6" w:rsidRDefault="005E1982" w:rsidP="005E1982">
            <w:pPr>
              <w:jc w:val="center"/>
              <w:rPr>
                <w:rFonts w:ascii="Tahoma" w:hAnsi="Tahoma" w:cs="Tahoma"/>
                <w:sz w:val="20"/>
              </w:rPr>
            </w:pPr>
            <w:r>
              <w:rPr>
                <w:rFonts w:ascii="Tahoma" w:hAnsi="Tahoma" w:cs="Tahoma"/>
                <w:sz w:val="20"/>
              </w:rPr>
              <w:t>28.45</w:t>
            </w:r>
          </w:p>
        </w:tc>
      </w:tr>
    </w:tbl>
    <w:p w:rsidR="005E1982" w:rsidRDefault="005E1982" w:rsidP="00755A6E">
      <w:pPr>
        <w:spacing w:before="100" w:beforeAutospacing="1" w:after="120"/>
        <w:rPr>
          <w:rFonts w:ascii="Tahoma" w:hAnsi="Tahoma" w:cs="Tahoma"/>
          <w:sz w:val="22"/>
          <w:szCs w:val="22"/>
        </w:rPr>
      </w:pPr>
      <w:r>
        <w:rPr>
          <w:rFonts w:ascii="Tahoma" w:hAnsi="Tahoma" w:cs="Tahoma"/>
          <w:sz w:val="22"/>
          <w:szCs w:val="22"/>
        </w:rPr>
        <w:t>Between the June 2009 and June 2010 reporting periods, Scheme median MTIFR decreased significantly although the mean remained relatively constant, while all non-Scheme project MTIFR averages increased significantly due to some very high MTIFR values.</w:t>
      </w:r>
    </w:p>
    <w:p w:rsidR="005A0F7D" w:rsidRDefault="005A0F7D" w:rsidP="00755A6E">
      <w:pPr>
        <w:spacing w:before="100" w:beforeAutospacing="1" w:after="120"/>
        <w:rPr>
          <w:rFonts w:ascii="Tahoma" w:hAnsi="Tahoma" w:cs="Tahoma"/>
          <w:sz w:val="22"/>
          <w:szCs w:val="22"/>
        </w:rPr>
      </w:pPr>
      <w:r>
        <w:rPr>
          <w:rFonts w:ascii="Tahoma" w:hAnsi="Tahoma" w:cs="Tahoma"/>
          <w:sz w:val="22"/>
          <w:szCs w:val="22"/>
        </w:rPr>
        <w:t>For the June 2010 period, around 52 per cent of all accredited contractors undertaking Scheme projects reported no MTI’s, while around 77 per cent were below the mean MTIFR for Scheme projects (Chart 4).</w:t>
      </w:r>
    </w:p>
    <w:p w:rsidR="006A0880" w:rsidRDefault="005A0F7D" w:rsidP="00755A6E">
      <w:pPr>
        <w:spacing w:before="100" w:beforeAutospacing="1" w:after="120"/>
        <w:rPr>
          <w:rFonts w:ascii="Tahoma" w:hAnsi="Tahoma" w:cs="Tahoma"/>
          <w:sz w:val="22"/>
          <w:szCs w:val="22"/>
        </w:rPr>
      </w:pPr>
      <w:r w:rsidRPr="003B69B6">
        <w:rPr>
          <w:rFonts w:ascii="Tahoma" w:hAnsi="Tahoma" w:cs="Tahoma"/>
          <w:sz w:val="22"/>
          <w:szCs w:val="22"/>
        </w:rPr>
        <w:t>For the same period, around 2</w:t>
      </w:r>
      <w:r>
        <w:rPr>
          <w:rFonts w:ascii="Tahoma" w:hAnsi="Tahoma" w:cs="Tahoma"/>
          <w:sz w:val="22"/>
          <w:szCs w:val="22"/>
        </w:rPr>
        <w:t>5</w:t>
      </w:r>
      <w:r w:rsidRPr="003B69B6">
        <w:rPr>
          <w:rFonts w:ascii="Tahoma" w:hAnsi="Tahoma" w:cs="Tahoma"/>
          <w:sz w:val="22"/>
          <w:szCs w:val="22"/>
        </w:rPr>
        <w:t xml:space="preserve"> per cent of all accredited contractors undertaking non-Scheme projects reported no MTI’s, while around </w:t>
      </w:r>
      <w:r>
        <w:rPr>
          <w:rFonts w:ascii="Tahoma" w:hAnsi="Tahoma" w:cs="Tahoma"/>
          <w:sz w:val="22"/>
          <w:szCs w:val="22"/>
        </w:rPr>
        <w:t>72</w:t>
      </w:r>
      <w:r w:rsidRPr="003B69B6">
        <w:rPr>
          <w:rFonts w:ascii="Tahoma" w:hAnsi="Tahoma" w:cs="Tahoma"/>
          <w:sz w:val="22"/>
          <w:szCs w:val="22"/>
        </w:rPr>
        <w:t> per cent were below the mean MTIFR for non-Scheme projects (Chart 5).</w:t>
      </w:r>
    </w:p>
    <w:p w:rsidR="005E1982" w:rsidRDefault="006A0880" w:rsidP="00F84096">
      <w:pPr>
        <w:spacing w:before="100" w:beforeAutospacing="1" w:after="120"/>
        <w:rPr>
          <w:rFonts w:ascii="Tahoma" w:hAnsi="Tahoma" w:cs="Tahoma"/>
          <w:sz w:val="22"/>
          <w:szCs w:val="22"/>
        </w:rPr>
      </w:pPr>
      <w:r>
        <w:rPr>
          <w:rFonts w:ascii="Tahoma" w:hAnsi="Tahoma" w:cs="Tahoma"/>
          <w:noProof/>
          <w:sz w:val="22"/>
          <w:szCs w:val="22"/>
        </w:rPr>
        <w:lastRenderedPageBreak/>
        <w:drawing>
          <wp:inline distT="0" distB="0" distL="0" distR="0">
            <wp:extent cx="2526665" cy="2800350"/>
            <wp:effectExtent l="19050" t="0" r="6985" b="0"/>
            <wp:docPr id="10" name="Picture 4" descr="Line Graph showing the MTIFR of Scheme projects for the June 2010 period. The X-axis represents the percentile, the Y-Axis the MTIFR.&#10;&#10;The mean MTIFR is represented by a straight horizontal line at approximately 35 on the y axis. The Percentile line begins on the y axis at over 100 and intersects the mean at approximately 23. This line reaches zero at approximately the 48th perce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526665" cy="2800350"/>
                    </a:xfrm>
                    <a:prstGeom prst="rect">
                      <a:avLst/>
                    </a:prstGeom>
                    <a:noFill/>
                    <a:ln w="9525">
                      <a:noFill/>
                      <a:miter lim="800000"/>
                      <a:headEnd/>
                      <a:tailEnd/>
                    </a:ln>
                  </pic:spPr>
                </pic:pic>
              </a:graphicData>
            </a:graphic>
          </wp:inline>
        </w:drawing>
      </w:r>
      <w:r w:rsidR="00B53A8E">
        <w:rPr>
          <w:rFonts w:ascii="Tahoma" w:hAnsi="Tahoma" w:cs="Tahoma"/>
          <w:noProof/>
          <w:sz w:val="22"/>
          <w:szCs w:val="22"/>
        </w:rPr>
        <w:drawing>
          <wp:inline distT="0" distB="0" distL="0" distR="0">
            <wp:extent cx="2526665" cy="2800350"/>
            <wp:effectExtent l="19050" t="0" r="6985" b="0"/>
            <wp:docPr id="14" name="Picture 5" descr="Line Graph showing the MTIFR of non-Scheme projects for the June 2010 period. The X-axis represents the percentile, the Y-Axis the MTIFR.&#10;&#10;The mean MTIFR is represented by a straight horizontal line at approximately 40 on the y axis. The Percentile line begins on the y axis at over 100 and intersects the mean at approximately 28. This line reaches zero at approximately the 75th perce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526665" cy="2800350"/>
                    </a:xfrm>
                    <a:prstGeom prst="rect">
                      <a:avLst/>
                    </a:prstGeom>
                    <a:noFill/>
                    <a:ln w="9525">
                      <a:noFill/>
                      <a:miter lim="800000"/>
                      <a:headEnd/>
                      <a:tailEnd/>
                    </a:ln>
                  </pic:spPr>
                </pic:pic>
              </a:graphicData>
            </a:graphic>
          </wp:inline>
        </w:drawing>
      </w:r>
    </w:p>
    <w:p w:rsidR="001A2CDB" w:rsidRPr="00DF1579" w:rsidRDefault="001A2CDB" w:rsidP="000C224A">
      <w:pPr>
        <w:pStyle w:val="Heading2"/>
      </w:pPr>
      <w:bookmarkStart w:id="17" w:name="_Toc294789916"/>
      <w:r w:rsidRPr="00DF1579">
        <w:t>Profile of Injuries</w:t>
      </w:r>
      <w:bookmarkEnd w:id="17"/>
    </w:p>
    <w:p w:rsidR="005E1982" w:rsidRPr="0028196C" w:rsidRDefault="005E1982" w:rsidP="005E1982">
      <w:pPr>
        <w:spacing w:before="100" w:beforeAutospacing="1" w:after="120"/>
        <w:rPr>
          <w:rFonts w:ascii="Tahoma" w:hAnsi="Tahoma" w:cs="Tahoma"/>
          <w:sz w:val="22"/>
          <w:szCs w:val="22"/>
        </w:rPr>
      </w:pPr>
      <w:r w:rsidRPr="0028196C">
        <w:rPr>
          <w:rFonts w:ascii="Tahoma" w:hAnsi="Tahoma" w:cs="Tahoma"/>
          <w:sz w:val="22"/>
          <w:szCs w:val="22"/>
        </w:rPr>
        <w:t xml:space="preserve">Accredited contractors are required to report lost time incidents based on the mechanism of incident classification groups contained in the </w:t>
      </w:r>
      <w:r w:rsidRPr="00B10F7C">
        <w:rPr>
          <w:rStyle w:val="Emphasis"/>
        </w:rPr>
        <w:t>Type of Occurrence Classification System, Version 3.1</w:t>
      </w:r>
      <w:r w:rsidRPr="0028196C">
        <w:rPr>
          <w:rFonts w:ascii="Tahoma" w:hAnsi="Tahoma" w:cs="Tahoma"/>
          <w:sz w:val="22"/>
          <w:szCs w:val="22"/>
        </w:rPr>
        <w:t xml:space="preserve"> (TOOCS3.1) published by Safe Work Australia.</w:t>
      </w:r>
    </w:p>
    <w:p w:rsidR="005E1982" w:rsidRDefault="005E1982" w:rsidP="005E1982">
      <w:pPr>
        <w:spacing w:before="100" w:beforeAutospacing="1" w:after="120"/>
        <w:rPr>
          <w:rFonts w:ascii="Tahoma" w:hAnsi="Tahoma" w:cs="Tahoma"/>
          <w:sz w:val="22"/>
          <w:szCs w:val="22"/>
        </w:rPr>
      </w:pPr>
      <w:r w:rsidRPr="0028196C">
        <w:rPr>
          <w:rFonts w:ascii="Tahoma" w:hAnsi="Tahoma" w:cs="Tahoma"/>
          <w:sz w:val="22"/>
          <w:szCs w:val="22"/>
        </w:rPr>
        <w:t xml:space="preserve">The </w:t>
      </w:r>
      <w:r w:rsidRPr="00B10F7C">
        <w:rPr>
          <w:rStyle w:val="Emphasis"/>
        </w:rPr>
        <w:t>mechanism of incident</w:t>
      </w:r>
      <w:r w:rsidRPr="0028196C">
        <w:rPr>
          <w:rFonts w:ascii="Tahoma" w:hAnsi="Tahoma" w:cs="Tahoma"/>
          <w:sz w:val="22"/>
          <w:szCs w:val="22"/>
        </w:rPr>
        <w:t xml:space="preserve"> classification is intended to identify the overall action, exposure or event that best describes the circumstances that resulted in the most serious injury or disease.</w:t>
      </w:r>
      <w:r>
        <w:rPr>
          <w:rFonts w:ascii="Tahoma" w:hAnsi="Tahoma" w:cs="Tahoma"/>
          <w:sz w:val="22"/>
          <w:szCs w:val="22"/>
        </w:rPr>
        <w:t xml:space="preserve"> Accredited contractors report at the major group classification level (see Glossary).</w:t>
      </w:r>
    </w:p>
    <w:p w:rsidR="005E1982" w:rsidRPr="002841D1" w:rsidRDefault="005E1982" w:rsidP="00755A6E">
      <w:pPr>
        <w:spacing w:before="100" w:beforeAutospacing="1" w:after="120"/>
        <w:rPr>
          <w:rFonts w:ascii="Tahoma" w:hAnsi="Tahoma" w:cs="Tahoma"/>
          <w:sz w:val="22"/>
          <w:szCs w:val="22"/>
        </w:rPr>
      </w:pPr>
      <w:r w:rsidRPr="002841D1">
        <w:rPr>
          <w:rFonts w:ascii="Tahoma" w:hAnsi="Tahoma" w:cs="Tahoma"/>
          <w:sz w:val="22"/>
          <w:szCs w:val="22"/>
        </w:rPr>
        <w:lastRenderedPageBreak/>
        <w:t>For the June 2010 reporting period, 592 incidents were reported by 97 accredited contractors compared to 624 incidents by 92 accredited contractors in the June 2009 reporting period, a decrease of 5 per cent in the number of incidents.</w:t>
      </w:r>
    </w:p>
    <w:p w:rsidR="00B92AF2" w:rsidRPr="00755A6E" w:rsidRDefault="00B92AF2" w:rsidP="00755A6E">
      <w:pPr>
        <w:rPr>
          <w:rFonts w:ascii="Tahoma" w:hAnsi="Tahoma" w:cs="Tahoma"/>
          <w:sz w:val="22"/>
          <w:szCs w:val="22"/>
        </w:rPr>
      </w:pPr>
      <w:r w:rsidRPr="00755A6E">
        <w:rPr>
          <w:rFonts w:ascii="Tahoma" w:hAnsi="Tahoma" w:cs="Tahoma"/>
          <w:sz w:val="22"/>
          <w:szCs w:val="22"/>
        </w:rPr>
        <w:t>The top three mechanism of incident groups accounted for 74.8 per cent of all incidents for the January – June 2010 reporting period.  The breakdown for these three groups is:</w:t>
      </w:r>
    </w:p>
    <w:p w:rsidR="00B92AF2" w:rsidRPr="00B92AF2" w:rsidRDefault="00B92AF2" w:rsidP="00B92AF2">
      <w:pPr>
        <w:pStyle w:val="ListParagraph"/>
        <w:ind w:left="568"/>
        <w:rPr>
          <w:rFonts w:ascii="Tahoma" w:hAnsi="Tahoma" w:cs="Tahoma"/>
          <w:sz w:val="22"/>
          <w:szCs w:val="22"/>
        </w:rPr>
      </w:pPr>
    </w:p>
    <w:p w:rsidR="00B92AF2" w:rsidRPr="00755A6E" w:rsidRDefault="00B92AF2" w:rsidP="00755A6E">
      <w:pPr>
        <w:rPr>
          <w:rFonts w:ascii="Tahoma" w:hAnsi="Tahoma" w:cs="Tahoma"/>
          <w:sz w:val="22"/>
          <w:szCs w:val="22"/>
        </w:rPr>
      </w:pPr>
      <w:r w:rsidRPr="00755A6E">
        <w:rPr>
          <w:rFonts w:ascii="Tahoma" w:hAnsi="Tahoma" w:cs="Tahoma"/>
          <w:sz w:val="22"/>
          <w:szCs w:val="22"/>
        </w:rPr>
        <w:t>26.7 per cent – Group 4 (body stressing);</w:t>
      </w:r>
    </w:p>
    <w:p w:rsidR="00B92AF2" w:rsidRPr="00755A6E" w:rsidRDefault="00B92AF2" w:rsidP="00755A6E">
      <w:pPr>
        <w:rPr>
          <w:rFonts w:ascii="Tahoma" w:hAnsi="Tahoma" w:cs="Tahoma"/>
          <w:sz w:val="22"/>
          <w:szCs w:val="22"/>
        </w:rPr>
      </w:pPr>
      <w:r w:rsidRPr="00755A6E">
        <w:rPr>
          <w:rFonts w:ascii="Tahoma" w:hAnsi="Tahoma" w:cs="Tahoma"/>
          <w:sz w:val="22"/>
          <w:szCs w:val="22"/>
        </w:rPr>
        <w:t>26.0 per cent – Group 0 (falls, trips and slips of a person);</w:t>
      </w:r>
    </w:p>
    <w:p w:rsidR="00B92AF2" w:rsidRPr="00755A6E" w:rsidRDefault="00B92AF2" w:rsidP="00755A6E">
      <w:pPr>
        <w:rPr>
          <w:rFonts w:ascii="Tahoma" w:hAnsi="Tahoma" w:cs="Tahoma"/>
          <w:sz w:val="22"/>
          <w:szCs w:val="22"/>
        </w:rPr>
      </w:pPr>
      <w:r w:rsidRPr="00755A6E">
        <w:rPr>
          <w:rFonts w:ascii="Tahoma" w:hAnsi="Tahoma" w:cs="Tahoma"/>
          <w:sz w:val="22"/>
          <w:szCs w:val="22"/>
        </w:rPr>
        <w:t>22.1 per cent – Group 2 (being hit by moving objects).</w:t>
      </w:r>
    </w:p>
    <w:p w:rsidR="00B53A8E" w:rsidRDefault="005E1982" w:rsidP="00755A6E">
      <w:pPr>
        <w:spacing w:before="100" w:beforeAutospacing="1" w:after="120"/>
        <w:rPr>
          <w:rFonts w:ascii="Tahoma" w:hAnsi="Tahoma" w:cs="Tahoma"/>
          <w:sz w:val="22"/>
          <w:szCs w:val="22"/>
        </w:rPr>
      </w:pPr>
      <w:r w:rsidRPr="002841D1">
        <w:rPr>
          <w:rFonts w:ascii="Tahoma" w:hAnsi="Tahoma" w:cs="Tahoma"/>
          <w:sz w:val="22"/>
          <w:szCs w:val="22"/>
        </w:rPr>
        <w:t xml:space="preserve">Group 9 – Vehicle incidents and other had the largest variation </w:t>
      </w:r>
      <w:r>
        <w:rPr>
          <w:rFonts w:ascii="Tahoma" w:hAnsi="Tahoma" w:cs="Tahoma"/>
          <w:sz w:val="22"/>
          <w:szCs w:val="22"/>
        </w:rPr>
        <w:t xml:space="preserve">in incidents </w:t>
      </w:r>
      <w:r w:rsidRPr="002841D1">
        <w:rPr>
          <w:rFonts w:ascii="Tahoma" w:hAnsi="Tahoma" w:cs="Tahoma"/>
          <w:sz w:val="22"/>
          <w:szCs w:val="22"/>
        </w:rPr>
        <w:t>with a decrease of 34.7</w:t>
      </w:r>
      <w:r>
        <w:rPr>
          <w:rFonts w:ascii="Tahoma" w:hAnsi="Tahoma" w:cs="Tahoma"/>
          <w:sz w:val="22"/>
          <w:szCs w:val="22"/>
        </w:rPr>
        <w:t> </w:t>
      </w:r>
      <w:r w:rsidRPr="002841D1">
        <w:rPr>
          <w:rFonts w:ascii="Tahoma" w:hAnsi="Tahoma" w:cs="Tahoma"/>
          <w:sz w:val="22"/>
          <w:szCs w:val="22"/>
        </w:rPr>
        <w:t>per</w:t>
      </w:r>
      <w:r>
        <w:rPr>
          <w:rFonts w:ascii="Tahoma" w:hAnsi="Tahoma" w:cs="Tahoma"/>
          <w:sz w:val="22"/>
          <w:szCs w:val="22"/>
        </w:rPr>
        <w:t> </w:t>
      </w:r>
      <w:r w:rsidRPr="002841D1">
        <w:rPr>
          <w:rFonts w:ascii="Tahoma" w:hAnsi="Tahoma" w:cs="Tahoma"/>
          <w:sz w:val="22"/>
          <w:szCs w:val="22"/>
        </w:rPr>
        <w:t>cent compared to the June 2009 period, while Group 2 – Being hit by moving objects increased 22.4</w:t>
      </w:r>
      <w:r>
        <w:rPr>
          <w:rFonts w:ascii="Tahoma" w:hAnsi="Tahoma" w:cs="Tahoma"/>
          <w:sz w:val="22"/>
          <w:szCs w:val="22"/>
        </w:rPr>
        <w:t> </w:t>
      </w:r>
      <w:r w:rsidRPr="002841D1">
        <w:rPr>
          <w:rFonts w:ascii="Tahoma" w:hAnsi="Tahoma" w:cs="Tahoma"/>
          <w:sz w:val="22"/>
          <w:szCs w:val="22"/>
        </w:rPr>
        <w:t>per</w:t>
      </w:r>
      <w:r>
        <w:rPr>
          <w:rFonts w:ascii="Tahoma" w:hAnsi="Tahoma" w:cs="Tahoma"/>
          <w:sz w:val="22"/>
          <w:szCs w:val="22"/>
        </w:rPr>
        <w:t> </w:t>
      </w:r>
      <w:r w:rsidRPr="002841D1">
        <w:rPr>
          <w:rFonts w:ascii="Tahoma" w:hAnsi="Tahoma" w:cs="Tahoma"/>
          <w:sz w:val="22"/>
          <w:szCs w:val="22"/>
        </w:rPr>
        <w:t>cent.</w:t>
      </w:r>
    </w:p>
    <w:p w:rsidR="005E1982" w:rsidRPr="00F84096" w:rsidRDefault="00B53A8E" w:rsidP="00F84096">
      <w:pPr>
        <w:spacing w:before="100" w:beforeAutospacing="1" w:after="120"/>
        <w:rPr>
          <w:rFonts w:ascii="Tahoma" w:hAnsi="Tahoma" w:cs="Tahoma"/>
          <w:sz w:val="22"/>
          <w:szCs w:val="22"/>
        </w:rPr>
      </w:pPr>
      <w:r>
        <w:rPr>
          <w:rFonts w:ascii="Tahoma" w:hAnsi="Tahoma" w:cs="Tahoma"/>
          <w:noProof/>
          <w:sz w:val="22"/>
          <w:szCs w:val="22"/>
        </w:rPr>
        <w:drawing>
          <wp:inline distT="0" distB="0" distL="0" distR="0">
            <wp:extent cx="5276850" cy="3200400"/>
            <wp:effectExtent l="19050" t="0" r="0" b="0"/>
            <wp:docPr id="15" name="Picture 6" descr="Pie Chart demonstrating the mechanism of incident for the June 2010 period.&#10;Group 0 - Falls, trips and slips of a person  26%&#10;Group 1 - Hitting objects with a part of the body  15.4%&#10;Group 2 - Being hit by moving objects  21.1%&#10;Group 4 - Body stressing  26.7%&#10;Group 9 - Vehicle incidents and other  5.4%&#10;Group 3, 5, 6, 7 and 8  4.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5276850" cy="3200400"/>
                    </a:xfrm>
                    <a:prstGeom prst="rect">
                      <a:avLst/>
                    </a:prstGeom>
                    <a:noFill/>
                    <a:ln w="9525">
                      <a:noFill/>
                      <a:miter lim="800000"/>
                      <a:headEnd/>
                      <a:tailEnd/>
                    </a:ln>
                  </pic:spPr>
                </pic:pic>
              </a:graphicData>
            </a:graphic>
          </wp:inline>
        </w:drawing>
      </w:r>
    </w:p>
    <w:p w:rsidR="001A2CDB" w:rsidRPr="00DF1579" w:rsidRDefault="001A2CDB" w:rsidP="000C224A">
      <w:pPr>
        <w:pStyle w:val="Heading2"/>
      </w:pPr>
      <w:bookmarkStart w:id="18" w:name="_Toc294789917"/>
      <w:r w:rsidRPr="00DF1579">
        <w:t>High risk Construction Work</w:t>
      </w:r>
      <w:bookmarkEnd w:id="18"/>
    </w:p>
    <w:p w:rsidR="005E1982" w:rsidRDefault="005E1982" w:rsidP="005E1982">
      <w:pPr>
        <w:spacing w:before="100" w:beforeAutospacing="1" w:after="120"/>
        <w:rPr>
          <w:rFonts w:ascii="Tahoma" w:hAnsi="Tahoma" w:cs="Tahoma"/>
          <w:sz w:val="22"/>
          <w:szCs w:val="22"/>
        </w:rPr>
      </w:pPr>
      <w:r>
        <w:rPr>
          <w:rFonts w:ascii="Tahoma" w:hAnsi="Tahoma" w:cs="Tahoma"/>
          <w:sz w:val="22"/>
          <w:szCs w:val="22"/>
        </w:rPr>
        <w:t xml:space="preserve">Accredited contractors are required to report if they performed any </w:t>
      </w:r>
      <w:r w:rsidRPr="00B10F7C">
        <w:rPr>
          <w:rStyle w:val="Emphasis"/>
        </w:rPr>
        <w:t>‘high-risk construction work’</w:t>
      </w:r>
      <w:r>
        <w:rPr>
          <w:rFonts w:ascii="Tahoma" w:hAnsi="Tahoma" w:cs="Tahoma"/>
          <w:sz w:val="22"/>
          <w:szCs w:val="22"/>
        </w:rPr>
        <w:t xml:space="preserve"> as described in the </w:t>
      </w:r>
      <w:r w:rsidRPr="00B10F7C">
        <w:rPr>
          <w:rStyle w:val="Emphasis"/>
        </w:rPr>
        <w:t xml:space="preserve">National Standard For Construction Work </w:t>
      </w:r>
      <w:r>
        <w:rPr>
          <w:rFonts w:ascii="Tahoma" w:hAnsi="Tahoma" w:cs="Tahoma"/>
          <w:sz w:val="22"/>
          <w:szCs w:val="22"/>
        </w:rPr>
        <w:t>[NOHSC:1016 (2005)] published by Safe Work Australia and indicate whether any such work resulted in an injury or near miss event that required the accredited contractor to notify the relevant OHS authority (under the OHS legislation covering notifiable incidents) in the jurisdiction in which the project was undertaken.</w:t>
      </w:r>
    </w:p>
    <w:p w:rsidR="009B5D74" w:rsidRDefault="005E1982" w:rsidP="00755A6E">
      <w:pPr>
        <w:spacing w:before="100" w:beforeAutospacing="1" w:after="120"/>
        <w:rPr>
          <w:rFonts w:ascii="Tahoma" w:hAnsi="Tahoma" w:cs="Tahoma"/>
          <w:color w:val="000000"/>
          <w:sz w:val="22"/>
          <w:szCs w:val="22"/>
        </w:rPr>
      </w:pPr>
      <w:r w:rsidRPr="0097712A">
        <w:rPr>
          <w:rFonts w:ascii="Tahoma" w:hAnsi="Tahoma" w:cs="Tahoma"/>
          <w:sz w:val="22"/>
          <w:szCs w:val="22"/>
        </w:rPr>
        <w:t xml:space="preserve">The objective of this national standard is to protect persons from the hazards associated with construction work. </w:t>
      </w:r>
      <w:r w:rsidRPr="0097712A">
        <w:rPr>
          <w:rFonts w:ascii="Tahoma" w:hAnsi="Tahoma" w:cs="Tahoma"/>
          <w:color w:val="000000"/>
          <w:sz w:val="22"/>
          <w:szCs w:val="22"/>
        </w:rPr>
        <w:t>It assigns responsibilities to individuals to identify these hazards and either eliminate them</w:t>
      </w:r>
      <w:r>
        <w:rPr>
          <w:rFonts w:ascii="Tahoma" w:hAnsi="Tahoma" w:cs="Tahoma"/>
          <w:color w:val="000000"/>
          <w:sz w:val="22"/>
          <w:szCs w:val="22"/>
        </w:rPr>
        <w:t>,</w:t>
      </w:r>
      <w:r w:rsidRPr="0097712A">
        <w:rPr>
          <w:rFonts w:ascii="Tahoma" w:hAnsi="Tahoma" w:cs="Tahoma"/>
          <w:color w:val="000000"/>
          <w:sz w:val="22"/>
          <w:szCs w:val="22"/>
        </w:rPr>
        <w:t xml:space="preserve"> or where this is not reasonably </w:t>
      </w:r>
      <w:r w:rsidRPr="0097712A">
        <w:rPr>
          <w:rFonts w:ascii="Tahoma" w:hAnsi="Tahoma" w:cs="Tahoma"/>
          <w:color w:val="000000"/>
          <w:sz w:val="22"/>
          <w:szCs w:val="22"/>
        </w:rPr>
        <w:lastRenderedPageBreak/>
        <w:t>practicable, minimise the risks they pose. There are 19 hazards that have been identified as high-risk construction work</w:t>
      </w:r>
      <w:r>
        <w:rPr>
          <w:rFonts w:ascii="Tahoma" w:hAnsi="Tahoma" w:cs="Tahoma"/>
          <w:color w:val="000000"/>
          <w:sz w:val="22"/>
          <w:szCs w:val="22"/>
        </w:rPr>
        <w:t xml:space="preserve"> (see Glossary)</w:t>
      </w:r>
      <w:r w:rsidRPr="0097712A">
        <w:rPr>
          <w:rFonts w:ascii="Tahoma" w:hAnsi="Tahoma" w:cs="Tahoma"/>
          <w:color w:val="000000"/>
          <w:sz w:val="22"/>
          <w:szCs w:val="22"/>
        </w:rPr>
        <w:t>.</w:t>
      </w:r>
    </w:p>
    <w:p w:rsidR="005E1982" w:rsidRPr="009B5D74" w:rsidRDefault="009B5D74" w:rsidP="00755A6E">
      <w:pPr>
        <w:spacing w:before="100" w:beforeAutospacing="1" w:after="120"/>
        <w:rPr>
          <w:rFonts w:ascii="Tahoma" w:hAnsi="Tahoma" w:cs="Tahoma"/>
          <w:color w:val="000000"/>
          <w:sz w:val="22"/>
          <w:szCs w:val="22"/>
        </w:rPr>
      </w:pPr>
      <w:r>
        <w:rPr>
          <w:rFonts w:ascii="Tahoma" w:hAnsi="Tahoma" w:cs="Tahoma"/>
          <w:noProof/>
          <w:color w:val="000000"/>
          <w:sz w:val="22"/>
          <w:szCs w:val="22"/>
        </w:rPr>
        <w:drawing>
          <wp:inline distT="0" distB="0" distL="0" distR="0">
            <wp:extent cx="5267325" cy="2771775"/>
            <wp:effectExtent l="19050" t="0" r="9525" b="0"/>
            <wp:docPr id="16" name="Picture 7" descr="Pie Chart demonstrating High risk construction work notifiable incidents for the June 2010 period&#10;Category 1 - construction work where there is a risk of a person falling two metres or more  21.7%&#10;Category 3 - construction work involving demolition  1.9%&#10;Category 10 - construction work on or near pressurised gas distribution mains and consumer piping  2.4%&#10;Category 12 - construction work on or near energised electrical installations and services  19.8%&#10;Category 15 - construction work on or adjacent to roadways or railways used by road or rail traffic  4.8%&#10;Category 16 - work on construction sites where there is any movement of powered mobile plant  34.3%&#10;Categories 2, 4 - 9, 11, 13 - 14 and 17 – 19  15.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267325" cy="2771775"/>
                    </a:xfrm>
                    <a:prstGeom prst="rect">
                      <a:avLst/>
                    </a:prstGeom>
                    <a:noFill/>
                    <a:ln w="9525">
                      <a:noFill/>
                      <a:miter lim="800000"/>
                      <a:headEnd/>
                      <a:tailEnd/>
                    </a:ln>
                  </pic:spPr>
                </pic:pic>
              </a:graphicData>
            </a:graphic>
          </wp:inline>
        </w:drawing>
      </w:r>
    </w:p>
    <w:p w:rsidR="005E1982" w:rsidRPr="00403CE3" w:rsidRDefault="005E1982" w:rsidP="005E1982">
      <w:pPr>
        <w:numPr>
          <w:ilvl w:val="0"/>
          <w:numId w:val="16"/>
        </w:numPr>
        <w:spacing w:before="100" w:beforeAutospacing="1" w:after="120"/>
        <w:rPr>
          <w:rFonts w:ascii="Tahoma" w:hAnsi="Tahoma" w:cs="Tahoma"/>
          <w:sz w:val="22"/>
          <w:szCs w:val="22"/>
        </w:rPr>
      </w:pPr>
      <w:r w:rsidRPr="00403CE3">
        <w:rPr>
          <w:rFonts w:ascii="Tahoma" w:hAnsi="Tahoma" w:cs="Tahoma"/>
          <w:sz w:val="22"/>
          <w:szCs w:val="22"/>
        </w:rPr>
        <w:t xml:space="preserve">There were </w:t>
      </w:r>
      <w:r>
        <w:rPr>
          <w:rFonts w:ascii="Tahoma" w:hAnsi="Tahoma" w:cs="Tahoma"/>
          <w:sz w:val="22"/>
          <w:szCs w:val="22"/>
        </w:rPr>
        <w:t>207</w:t>
      </w:r>
      <w:r w:rsidRPr="00403CE3">
        <w:rPr>
          <w:rFonts w:ascii="Tahoma" w:hAnsi="Tahoma" w:cs="Tahoma"/>
          <w:sz w:val="22"/>
          <w:szCs w:val="22"/>
        </w:rPr>
        <w:t xml:space="preserve"> notifiable incidents reported by </w:t>
      </w:r>
      <w:r>
        <w:rPr>
          <w:rFonts w:ascii="Tahoma" w:hAnsi="Tahoma" w:cs="Tahoma"/>
          <w:sz w:val="22"/>
          <w:szCs w:val="22"/>
        </w:rPr>
        <w:t>51</w:t>
      </w:r>
      <w:r w:rsidRPr="00403CE3">
        <w:rPr>
          <w:rFonts w:ascii="Tahoma" w:hAnsi="Tahoma" w:cs="Tahoma"/>
          <w:sz w:val="22"/>
          <w:szCs w:val="22"/>
        </w:rPr>
        <w:t xml:space="preserve"> accredited contractors to the relevant jurisdiction OHS authority for the </w:t>
      </w:r>
      <w:r>
        <w:rPr>
          <w:rFonts w:ascii="Tahoma" w:hAnsi="Tahoma" w:cs="Tahoma"/>
          <w:sz w:val="22"/>
          <w:szCs w:val="22"/>
        </w:rPr>
        <w:t>June</w:t>
      </w:r>
      <w:r w:rsidRPr="00403CE3">
        <w:rPr>
          <w:rFonts w:ascii="Tahoma" w:hAnsi="Tahoma" w:cs="Tahoma"/>
          <w:sz w:val="22"/>
          <w:szCs w:val="22"/>
        </w:rPr>
        <w:t> 20</w:t>
      </w:r>
      <w:r>
        <w:rPr>
          <w:rFonts w:ascii="Tahoma" w:hAnsi="Tahoma" w:cs="Tahoma"/>
          <w:sz w:val="22"/>
          <w:szCs w:val="22"/>
        </w:rPr>
        <w:t>10</w:t>
      </w:r>
      <w:r w:rsidRPr="00403CE3">
        <w:rPr>
          <w:rFonts w:ascii="Tahoma" w:hAnsi="Tahoma" w:cs="Tahoma"/>
          <w:sz w:val="22"/>
          <w:szCs w:val="22"/>
        </w:rPr>
        <w:t xml:space="preserve"> reporting period, compared to </w:t>
      </w:r>
      <w:r>
        <w:rPr>
          <w:rFonts w:ascii="Tahoma" w:hAnsi="Tahoma" w:cs="Tahoma"/>
          <w:sz w:val="22"/>
          <w:szCs w:val="22"/>
        </w:rPr>
        <w:t>240</w:t>
      </w:r>
      <w:r w:rsidRPr="00403CE3">
        <w:rPr>
          <w:rFonts w:ascii="Tahoma" w:hAnsi="Tahoma" w:cs="Tahoma"/>
          <w:sz w:val="22"/>
          <w:szCs w:val="22"/>
        </w:rPr>
        <w:t xml:space="preserve"> notifiable incidents by </w:t>
      </w:r>
      <w:r>
        <w:rPr>
          <w:rFonts w:ascii="Tahoma" w:hAnsi="Tahoma" w:cs="Tahoma"/>
          <w:sz w:val="22"/>
          <w:szCs w:val="22"/>
        </w:rPr>
        <w:t>49</w:t>
      </w:r>
      <w:r w:rsidRPr="00403CE3">
        <w:rPr>
          <w:rFonts w:ascii="Tahoma" w:hAnsi="Tahoma" w:cs="Tahoma"/>
          <w:sz w:val="22"/>
          <w:szCs w:val="22"/>
        </w:rPr>
        <w:t xml:space="preserve"> accredited contractors in the </w:t>
      </w:r>
      <w:r>
        <w:rPr>
          <w:rFonts w:ascii="Tahoma" w:hAnsi="Tahoma" w:cs="Tahoma"/>
          <w:sz w:val="22"/>
          <w:szCs w:val="22"/>
        </w:rPr>
        <w:t>June</w:t>
      </w:r>
      <w:r w:rsidRPr="00403CE3">
        <w:rPr>
          <w:rFonts w:ascii="Tahoma" w:hAnsi="Tahoma" w:cs="Tahoma"/>
          <w:sz w:val="22"/>
          <w:szCs w:val="22"/>
        </w:rPr>
        <w:t> 200</w:t>
      </w:r>
      <w:r>
        <w:rPr>
          <w:rFonts w:ascii="Tahoma" w:hAnsi="Tahoma" w:cs="Tahoma"/>
          <w:sz w:val="22"/>
          <w:szCs w:val="22"/>
        </w:rPr>
        <w:t>9</w:t>
      </w:r>
      <w:r w:rsidRPr="00403CE3">
        <w:rPr>
          <w:rFonts w:ascii="Tahoma" w:hAnsi="Tahoma" w:cs="Tahoma"/>
          <w:sz w:val="22"/>
          <w:szCs w:val="22"/>
        </w:rPr>
        <w:t xml:space="preserve"> period</w:t>
      </w:r>
      <w:r>
        <w:rPr>
          <w:rFonts w:ascii="Tahoma" w:hAnsi="Tahoma" w:cs="Tahoma"/>
          <w:sz w:val="22"/>
          <w:szCs w:val="22"/>
        </w:rPr>
        <w:t xml:space="preserve">. It should be noted that with the number of accredited contractors reporting increasing from 146 in the June 2009 period to 184 in the June 2010 period, </w:t>
      </w:r>
      <w:r w:rsidRPr="003A038E">
        <w:rPr>
          <w:rStyle w:val="Strong"/>
        </w:rPr>
        <w:t>the number of notifiable incidents has fallen significantly in relative terms.</w:t>
      </w:r>
    </w:p>
    <w:p w:rsidR="005E1982" w:rsidRPr="00403CE3" w:rsidRDefault="005E1982" w:rsidP="005E1982">
      <w:pPr>
        <w:numPr>
          <w:ilvl w:val="0"/>
          <w:numId w:val="16"/>
        </w:numPr>
        <w:spacing w:before="100" w:beforeAutospacing="1" w:after="120"/>
        <w:rPr>
          <w:rFonts w:ascii="Tahoma" w:hAnsi="Tahoma" w:cs="Tahoma"/>
          <w:sz w:val="22"/>
          <w:szCs w:val="22"/>
        </w:rPr>
      </w:pPr>
      <w:r w:rsidRPr="00403CE3">
        <w:rPr>
          <w:rFonts w:ascii="Tahoma" w:hAnsi="Tahoma" w:cs="Tahoma"/>
          <w:sz w:val="22"/>
          <w:szCs w:val="22"/>
        </w:rPr>
        <w:t>The top three notifiable incidents accounted for 7</w:t>
      </w:r>
      <w:r>
        <w:rPr>
          <w:rFonts w:ascii="Tahoma" w:hAnsi="Tahoma" w:cs="Tahoma"/>
          <w:sz w:val="22"/>
          <w:szCs w:val="22"/>
        </w:rPr>
        <w:t>5.8</w:t>
      </w:r>
      <w:r w:rsidRPr="00403CE3">
        <w:rPr>
          <w:rFonts w:ascii="Tahoma" w:hAnsi="Tahoma" w:cs="Tahoma"/>
          <w:sz w:val="22"/>
          <w:szCs w:val="22"/>
        </w:rPr>
        <w:t xml:space="preserve"> per cent of all incidents for the </w:t>
      </w:r>
      <w:r>
        <w:rPr>
          <w:rFonts w:ascii="Tahoma" w:hAnsi="Tahoma" w:cs="Tahoma"/>
          <w:sz w:val="22"/>
          <w:szCs w:val="22"/>
        </w:rPr>
        <w:t>June</w:t>
      </w:r>
      <w:r w:rsidRPr="00403CE3">
        <w:rPr>
          <w:rFonts w:ascii="Tahoma" w:hAnsi="Tahoma" w:cs="Tahoma"/>
          <w:sz w:val="22"/>
          <w:szCs w:val="22"/>
        </w:rPr>
        <w:t> 20</w:t>
      </w:r>
      <w:r>
        <w:rPr>
          <w:rFonts w:ascii="Tahoma" w:hAnsi="Tahoma" w:cs="Tahoma"/>
          <w:sz w:val="22"/>
          <w:szCs w:val="22"/>
        </w:rPr>
        <w:t>10</w:t>
      </w:r>
      <w:r w:rsidRPr="00403CE3">
        <w:rPr>
          <w:rFonts w:ascii="Tahoma" w:hAnsi="Tahoma" w:cs="Tahoma"/>
          <w:sz w:val="22"/>
          <w:szCs w:val="22"/>
        </w:rPr>
        <w:t xml:space="preserve"> period compared to </w:t>
      </w:r>
      <w:r>
        <w:rPr>
          <w:rFonts w:ascii="Tahoma" w:hAnsi="Tahoma" w:cs="Tahoma"/>
          <w:sz w:val="22"/>
          <w:szCs w:val="22"/>
        </w:rPr>
        <w:t>61.3</w:t>
      </w:r>
      <w:r w:rsidRPr="00403CE3">
        <w:rPr>
          <w:rFonts w:ascii="Tahoma" w:hAnsi="Tahoma" w:cs="Tahoma"/>
          <w:sz w:val="22"/>
          <w:szCs w:val="22"/>
        </w:rPr>
        <w:t xml:space="preserve"> per cent in the </w:t>
      </w:r>
      <w:r>
        <w:rPr>
          <w:rFonts w:ascii="Tahoma" w:hAnsi="Tahoma" w:cs="Tahoma"/>
          <w:sz w:val="22"/>
          <w:szCs w:val="22"/>
        </w:rPr>
        <w:t>June</w:t>
      </w:r>
      <w:r w:rsidRPr="00403CE3">
        <w:rPr>
          <w:rFonts w:ascii="Tahoma" w:hAnsi="Tahoma" w:cs="Tahoma"/>
          <w:sz w:val="22"/>
          <w:szCs w:val="22"/>
        </w:rPr>
        <w:t> 200</w:t>
      </w:r>
      <w:r>
        <w:rPr>
          <w:rFonts w:ascii="Tahoma" w:hAnsi="Tahoma" w:cs="Tahoma"/>
          <w:sz w:val="22"/>
          <w:szCs w:val="22"/>
        </w:rPr>
        <w:t>9</w:t>
      </w:r>
      <w:r w:rsidRPr="00403CE3">
        <w:rPr>
          <w:rFonts w:ascii="Tahoma" w:hAnsi="Tahoma" w:cs="Tahoma"/>
          <w:sz w:val="22"/>
          <w:szCs w:val="22"/>
        </w:rPr>
        <w:t xml:space="preserve"> period.</w:t>
      </w:r>
    </w:p>
    <w:p w:rsidR="001272A9" w:rsidRDefault="005E1982" w:rsidP="001272A9">
      <w:pPr>
        <w:numPr>
          <w:ilvl w:val="0"/>
          <w:numId w:val="16"/>
        </w:numPr>
        <w:spacing w:before="100" w:beforeAutospacing="1" w:after="120"/>
        <w:rPr>
          <w:rFonts w:ascii="Tahoma" w:hAnsi="Tahoma" w:cs="Tahoma"/>
          <w:sz w:val="22"/>
          <w:szCs w:val="22"/>
        </w:rPr>
      </w:pPr>
      <w:r w:rsidRPr="001770BF">
        <w:rPr>
          <w:rFonts w:ascii="Tahoma" w:hAnsi="Tahoma" w:cs="Tahoma"/>
          <w:sz w:val="22"/>
          <w:szCs w:val="22"/>
        </w:rPr>
        <w:t xml:space="preserve">Work on construction sites where there is any movement of powered mobile plant was the most common incident </w:t>
      </w:r>
      <w:r>
        <w:rPr>
          <w:rFonts w:ascii="Tahoma" w:hAnsi="Tahoma" w:cs="Tahoma"/>
          <w:sz w:val="22"/>
          <w:szCs w:val="22"/>
        </w:rPr>
        <w:t>(34.3 per cent) an increase of 8.5 percentage points compared to June 2009</w:t>
      </w:r>
      <w:r w:rsidRPr="001770BF">
        <w:rPr>
          <w:rFonts w:ascii="Tahoma" w:hAnsi="Tahoma" w:cs="Tahoma"/>
          <w:sz w:val="22"/>
          <w:szCs w:val="22"/>
        </w:rPr>
        <w:t xml:space="preserve">; followed by </w:t>
      </w:r>
      <w:r w:rsidRPr="002841D1">
        <w:rPr>
          <w:rFonts w:ascii="Tahoma" w:hAnsi="Tahoma" w:cs="Tahoma"/>
          <w:sz w:val="22"/>
          <w:szCs w:val="22"/>
        </w:rPr>
        <w:t>construction work where there is a risk of a person falling two metres or more</w:t>
      </w:r>
      <w:r w:rsidRPr="001770BF">
        <w:rPr>
          <w:rFonts w:ascii="Tahoma" w:hAnsi="Tahoma" w:cs="Tahoma"/>
          <w:sz w:val="22"/>
          <w:szCs w:val="22"/>
        </w:rPr>
        <w:t xml:space="preserve"> (2</w:t>
      </w:r>
      <w:r>
        <w:rPr>
          <w:rFonts w:ascii="Tahoma" w:hAnsi="Tahoma" w:cs="Tahoma"/>
          <w:sz w:val="22"/>
          <w:szCs w:val="22"/>
        </w:rPr>
        <w:t>1.7</w:t>
      </w:r>
      <w:r w:rsidRPr="001770BF">
        <w:rPr>
          <w:rFonts w:ascii="Tahoma" w:hAnsi="Tahoma" w:cs="Tahoma"/>
          <w:sz w:val="22"/>
          <w:szCs w:val="22"/>
        </w:rPr>
        <w:t> per cent</w:t>
      </w:r>
      <w:r>
        <w:rPr>
          <w:rFonts w:ascii="Tahoma" w:hAnsi="Tahoma" w:cs="Tahoma"/>
          <w:sz w:val="22"/>
          <w:szCs w:val="22"/>
        </w:rPr>
        <w:t>)</w:t>
      </w:r>
      <w:r w:rsidRPr="001770BF">
        <w:rPr>
          <w:rFonts w:ascii="Tahoma" w:hAnsi="Tahoma" w:cs="Tahoma"/>
          <w:sz w:val="22"/>
          <w:szCs w:val="22"/>
        </w:rPr>
        <w:t xml:space="preserve"> </w:t>
      </w:r>
      <w:r>
        <w:rPr>
          <w:rFonts w:ascii="Tahoma" w:hAnsi="Tahoma" w:cs="Tahoma"/>
          <w:sz w:val="22"/>
          <w:szCs w:val="22"/>
        </w:rPr>
        <w:t>an increase of 8.8 percentage points compared to June 2009.</w:t>
      </w:r>
    </w:p>
    <w:p w:rsidR="00F84096" w:rsidRDefault="00F84096" w:rsidP="00F84096">
      <w:pPr>
        <w:spacing w:before="100" w:beforeAutospacing="1" w:after="120"/>
        <w:ind w:left="714"/>
        <w:rPr>
          <w:rFonts w:ascii="Tahoma" w:hAnsi="Tahoma" w:cs="Tahoma"/>
          <w:sz w:val="22"/>
          <w:szCs w:val="22"/>
        </w:rPr>
      </w:pPr>
    </w:p>
    <w:p w:rsidR="00F84096" w:rsidRDefault="00F84096" w:rsidP="00F84096">
      <w:pPr>
        <w:spacing w:before="100" w:beforeAutospacing="1" w:after="120"/>
        <w:ind w:left="714"/>
        <w:rPr>
          <w:rFonts w:ascii="Tahoma" w:hAnsi="Tahoma" w:cs="Tahoma"/>
          <w:sz w:val="22"/>
          <w:szCs w:val="22"/>
        </w:rPr>
      </w:pPr>
    </w:p>
    <w:p w:rsidR="00F84096" w:rsidRDefault="00F84096" w:rsidP="00F84096">
      <w:pPr>
        <w:spacing w:before="100" w:beforeAutospacing="1" w:after="120"/>
        <w:ind w:left="714"/>
        <w:rPr>
          <w:rFonts w:ascii="Tahoma" w:hAnsi="Tahoma" w:cs="Tahoma"/>
          <w:sz w:val="22"/>
          <w:szCs w:val="22"/>
        </w:rPr>
      </w:pPr>
    </w:p>
    <w:p w:rsidR="00F84096" w:rsidRDefault="00F84096" w:rsidP="00F84096">
      <w:pPr>
        <w:spacing w:before="100" w:beforeAutospacing="1" w:after="120"/>
        <w:ind w:left="714"/>
        <w:rPr>
          <w:rFonts w:ascii="Tahoma" w:hAnsi="Tahoma" w:cs="Tahoma"/>
          <w:sz w:val="22"/>
          <w:szCs w:val="22"/>
        </w:rPr>
      </w:pPr>
    </w:p>
    <w:p w:rsidR="000005CA" w:rsidRDefault="000005CA" w:rsidP="00F84096">
      <w:pPr>
        <w:spacing w:before="100" w:beforeAutospacing="1" w:after="120"/>
        <w:ind w:left="714"/>
        <w:rPr>
          <w:rFonts w:ascii="Tahoma" w:hAnsi="Tahoma" w:cs="Tahoma"/>
          <w:sz w:val="22"/>
          <w:szCs w:val="22"/>
        </w:rPr>
      </w:pPr>
    </w:p>
    <w:p w:rsidR="000005CA" w:rsidRPr="001272A9" w:rsidRDefault="000005CA" w:rsidP="00F84096">
      <w:pPr>
        <w:spacing w:before="100" w:beforeAutospacing="1" w:after="120"/>
        <w:ind w:left="714"/>
        <w:rPr>
          <w:rFonts w:ascii="Tahoma" w:hAnsi="Tahoma" w:cs="Tahoma"/>
          <w:sz w:val="22"/>
          <w:szCs w:val="22"/>
        </w:rPr>
      </w:pPr>
    </w:p>
    <w:p w:rsidR="001A2CDB" w:rsidRDefault="001A2CDB" w:rsidP="000C224A">
      <w:pPr>
        <w:pStyle w:val="Heading1"/>
      </w:pPr>
      <w:bookmarkStart w:id="19" w:name="_Toc294789918"/>
      <w:r w:rsidRPr="001A2CDB">
        <w:t>Workers’ Compensation</w:t>
      </w:r>
      <w:bookmarkEnd w:id="19"/>
    </w:p>
    <w:p w:rsidR="00754897" w:rsidRPr="00754897" w:rsidRDefault="00754897" w:rsidP="00754897"/>
    <w:tbl>
      <w:tblPr>
        <w:tblW w:w="6571" w:type="pct"/>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1210"/>
        <w:gridCol w:w="1068"/>
        <w:gridCol w:w="1138"/>
        <w:gridCol w:w="1138"/>
        <w:gridCol w:w="1131"/>
        <w:gridCol w:w="1131"/>
        <w:gridCol w:w="1131"/>
        <w:gridCol w:w="1131"/>
        <w:gridCol w:w="1062"/>
      </w:tblGrid>
      <w:tr w:rsidR="007A54F7" w:rsidRPr="00AE62D6" w:rsidTr="007A54F7">
        <w:tc>
          <w:tcPr>
            <w:tcW w:w="473" w:type="pct"/>
          </w:tcPr>
          <w:p w:rsidR="005A0F7D" w:rsidRPr="007A54F7" w:rsidRDefault="005A0F7D" w:rsidP="005E1982">
            <w:pPr>
              <w:rPr>
                <w:rFonts w:ascii="Tahoma" w:hAnsi="Tahoma" w:cs="Tahoma"/>
                <w:b/>
                <w:sz w:val="18"/>
                <w:szCs w:val="18"/>
              </w:rPr>
            </w:pPr>
          </w:p>
        </w:tc>
        <w:tc>
          <w:tcPr>
            <w:tcW w:w="540" w:type="pct"/>
            <w:vAlign w:val="bottom"/>
          </w:tcPr>
          <w:p w:rsidR="005A0F7D" w:rsidRPr="007A54F7" w:rsidRDefault="005A0F7D" w:rsidP="005832CE">
            <w:pPr>
              <w:jc w:val="center"/>
              <w:rPr>
                <w:rFonts w:ascii="Tahoma" w:hAnsi="Tahoma" w:cs="Tahoma"/>
                <w:b/>
                <w:sz w:val="18"/>
                <w:szCs w:val="18"/>
              </w:rPr>
            </w:pPr>
            <w:r w:rsidRPr="007A54F7">
              <w:rPr>
                <w:rFonts w:ascii="Tahoma" w:hAnsi="Tahoma" w:cs="Tahoma"/>
                <w:b/>
                <w:sz w:val="18"/>
                <w:szCs w:val="18"/>
              </w:rPr>
              <w:t>Period</w:t>
            </w:r>
          </w:p>
        </w:tc>
        <w:tc>
          <w:tcPr>
            <w:tcW w:w="477" w:type="pct"/>
            <w:vAlign w:val="center"/>
          </w:tcPr>
          <w:p w:rsidR="005A0F7D" w:rsidRPr="007A54F7" w:rsidRDefault="007A54F7" w:rsidP="005E1982">
            <w:pPr>
              <w:jc w:val="center"/>
              <w:rPr>
                <w:rFonts w:ascii="Tahoma" w:hAnsi="Tahoma" w:cs="Tahoma"/>
                <w:b/>
                <w:sz w:val="18"/>
                <w:szCs w:val="18"/>
              </w:rPr>
            </w:pPr>
            <w:r w:rsidRPr="007A54F7">
              <w:rPr>
                <w:rFonts w:ascii="Tahoma" w:hAnsi="Tahoma" w:cs="Tahoma"/>
                <w:b/>
                <w:sz w:val="18"/>
                <w:szCs w:val="18"/>
              </w:rPr>
              <w:t xml:space="preserve">Mean premium rate </w:t>
            </w:r>
            <w:r w:rsidR="005A0F7D" w:rsidRPr="007A54F7">
              <w:rPr>
                <w:rFonts w:ascii="Tahoma" w:hAnsi="Tahoma" w:cs="Tahoma"/>
                <w:b/>
                <w:sz w:val="18"/>
                <w:szCs w:val="18"/>
              </w:rPr>
              <w:t>ACT</w:t>
            </w:r>
            <w:r>
              <w:rPr>
                <w:rFonts w:ascii="Tahoma" w:hAnsi="Tahoma" w:cs="Tahoma"/>
                <w:b/>
                <w:sz w:val="18"/>
                <w:szCs w:val="18"/>
              </w:rPr>
              <w:t xml:space="preserve"> </w:t>
            </w:r>
            <w:r w:rsidRPr="007A54F7">
              <w:rPr>
                <w:rFonts w:ascii="Tahoma" w:hAnsi="Tahoma" w:cs="Tahoma"/>
                <w:b/>
                <w:sz w:val="18"/>
                <w:szCs w:val="18"/>
              </w:rPr>
              <w:t>%</w:t>
            </w:r>
          </w:p>
        </w:tc>
        <w:tc>
          <w:tcPr>
            <w:tcW w:w="508" w:type="pct"/>
            <w:vAlign w:val="center"/>
          </w:tcPr>
          <w:p w:rsidR="005A0F7D" w:rsidRPr="007A54F7" w:rsidRDefault="007A54F7" w:rsidP="005E1982">
            <w:pPr>
              <w:jc w:val="center"/>
              <w:rPr>
                <w:rFonts w:ascii="Tahoma" w:hAnsi="Tahoma" w:cs="Tahoma"/>
                <w:b/>
                <w:sz w:val="18"/>
                <w:szCs w:val="18"/>
              </w:rPr>
            </w:pPr>
            <w:r w:rsidRPr="007A54F7">
              <w:rPr>
                <w:rFonts w:ascii="Tahoma" w:hAnsi="Tahoma" w:cs="Tahoma"/>
                <w:b/>
                <w:sz w:val="18"/>
                <w:szCs w:val="18"/>
              </w:rPr>
              <w:t xml:space="preserve">Mean premium rate </w:t>
            </w:r>
            <w:r w:rsidR="005A0F7D" w:rsidRPr="007A54F7">
              <w:rPr>
                <w:rFonts w:ascii="Tahoma" w:hAnsi="Tahoma" w:cs="Tahoma"/>
                <w:b/>
                <w:sz w:val="18"/>
                <w:szCs w:val="18"/>
              </w:rPr>
              <w:t>NSW</w:t>
            </w:r>
            <w:r>
              <w:rPr>
                <w:rFonts w:ascii="Tahoma" w:hAnsi="Tahoma" w:cs="Tahoma"/>
                <w:b/>
                <w:sz w:val="18"/>
                <w:szCs w:val="18"/>
              </w:rPr>
              <w:t xml:space="preserve"> </w:t>
            </w:r>
            <w:r w:rsidRPr="007A54F7">
              <w:rPr>
                <w:rFonts w:ascii="Tahoma" w:hAnsi="Tahoma" w:cs="Tahoma"/>
                <w:b/>
                <w:sz w:val="18"/>
                <w:szCs w:val="18"/>
              </w:rPr>
              <w:t>%</w:t>
            </w:r>
          </w:p>
        </w:tc>
        <w:tc>
          <w:tcPr>
            <w:tcW w:w="508" w:type="pct"/>
            <w:vAlign w:val="center"/>
          </w:tcPr>
          <w:p w:rsidR="005A0F7D" w:rsidRPr="007A54F7" w:rsidRDefault="007A54F7" w:rsidP="005E1982">
            <w:pPr>
              <w:jc w:val="center"/>
              <w:rPr>
                <w:rFonts w:ascii="Tahoma" w:hAnsi="Tahoma" w:cs="Tahoma"/>
                <w:b/>
                <w:sz w:val="18"/>
                <w:szCs w:val="18"/>
              </w:rPr>
            </w:pPr>
            <w:r w:rsidRPr="007A54F7">
              <w:rPr>
                <w:rFonts w:ascii="Tahoma" w:hAnsi="Tahoma" w:cs="Tahoma"/>
                <w:b/>
                <w:sz w:val="18"/>
                <w:szCs w:val="18"/>
              </w:rPr>
              <w:t xml:space="preserve">Mean premium rate </w:t>
            </w:r>
            <w:r w:rsidR="005A0F7D" w:rsidRPr="007A54F7">
              <w:rPr>
                <w:rFonts w:ascii="Tahoma" w:hAnsi="Tahoma" w:cs="Tahoma"/>
                <w:b/>
                <w:sz w:val="18"/>
                <w:szCs w:val="18"/>
              </w:rPr>
              <w:t>NT</w:t>
            </w:r>
            <w:r>
              <w:rPr>
                <w:rFonts w:ascii="Tahoma" w:hAnsi="Tahoma" w:cs="Tahoma"/>
                <w:b/>
                <w:sz w:val="18"/>
                <w:szCs w:val="18"/>
              </w:rPr>
              <w:t xml:space="preserve"> </w:t>
            </w:r>
            <w:r w:rsidRPr="007A54F7">
              <w:rPr>
                <w:rFonts w:ascii="Tahoma" w:hAnsi="Tahoma" w:cs="Tahoma"/>
                <w:b/>
                <w:sz w:val="18"/>
                <w:szCs w:val="18"/>
              </w:rPr>
              <w:t>%</w:t>
            </w:r>
          </w:p>
        </w:tc>
        <w:tc>
          <w:tcPr>
            <w:tcW w:w="505" w:type="pct"/>
            <w:vAlign w:val="center"/>
          </w:tcPr>
          <w:p w:rsidR="005A0F7D" w:rsidRPr="007A54F7" w:rsidRDefault="007A54F7" w:rsidP="005E1982">
            <w:pPr>
              <w:jc w:val="center"/>
              <w:rPr>
                <w:rFonts w:ascii="Tahoma" w:hAnsi="Tahoma" w:cs="Tahoma"/>
                <w:b/>
                <w:sz w:val="18"/>
                <w:szCs w:val="18"/>
              </w:rPr>
            </w:pPr>
            <w:r w:rsidRPr="007A54F7">
              <w:rPr>
                <w:rFonts w:ascii="Tahoma" w:hAnsi="Tahoma" w:cs="Tahoma"/>
                <w:b/>
                <w:sz w:val="18"/>
                <w:szCs w:val="18"/>
              </w:rPr>
              <w:t xml:space="preserve">Mean premium rate </w:t>
            </w:r>
            <w:r w:rsidR="005A0F7D" w:rsidRPr="007A54F7">
              <w:rPr>
                <w:rFonts w:ascii="Tahoma" w:hAnsi="Tahoma" w:cs="Tahoma"/>
                <w:b/>
                <w:sz w:val="18"/>
                <w:szCs w:val="18"/>
              </w:rPr>
              <w:t>QLD</w:t>
            </w:r>
            <w:r>
              <w:rPr>
                <w:rFonts w:ascii="Tahoma" w:hAnsi="Tahoma" w:cs="Tahoma"/>
                <w:b/>
                <w:sz w:val="18"/>
                <w:szCs w:val="18"/>
              </w:rPr>
              <w:t xml:space="preserve"> </w:t>
            </w:r>
            <w:r w:rsidRPr="007A54F7">
              <w:rPr>
                <w:rFonts w:ascii="Tahoma" w:hAnsi="Tahoma" w:cs="Tahoma"/>
                <w:b/>
                <w:sz w:val="18"/>
                <w:szCs w:val="18"/>
              </w:rPr>
              <w:t>%</w:t>
            </w:r>
          </w:p>
        </w:tc>
        <w:tc>
          <w:tcPr>
            <w:tcW w:w="505" w:type="pct"/>
            <w:vAlign w:val="center"/>
          </w:tcPr>
          <w:p w:rsidR="005A0F7D" w:rsidRPr="007A54F7" w:rsidRDefault="007A54F7" w:rsidP="005E1982">
            <w:pPr>
              <w:jc w:val="center"/>
              <w:rPr>
                <w:rFonts w:ascii="Tahoma" w:hAnsi="Tahoma" w:cs="Tahoma"/>
                <w:b/>
                <w:sz w:val="18"/>
                <w:szCs w:val="18"/>
              </w:rPr>
            </w:pPr>
            <w:r w:rsidRPr="007A54F7">
              <w:rPr>
                <w:rFonts w:ascii="Tahoma" w:hAnsi="Tahoma" w:cs="Tahoma"/>
                <w:b/>
                <w:sz w:val="18"/>
                <w:szCs w:val="18"/>
              </w:rPr>
              <w:t xml:space="preserve">Mean premium rate </w:t>
            </w:r>
            <w:r w:rsidR="005A0F7D" w:rsidRPr="007A54F7">
              <w:rPr>
                <w:rFonts w:ascii="Tahoma" w:hAnsi="Tahoma" w:cs="Tahoma"/>
                <w:b/>
                <w:sz w:val="18"/>
                <w:szCs w:val="18"/>
              </w:rPr>
              <w:t>SA</w:t>
            </w:r>
            <w:r>
              <w:rPr>
                <w:rFonts w:ascii="Tahoma" w:hAnsi="Tahoma" w:cs="Tahoma"/>
                <w:b/>
                <w:sz w:val="18"/>
                <w:szCs w:val="18"/>
              </w:rPr>
              <w:t xml:space="preserve"> </w:t>
            </w:r>
            <w:r w:rsidRPr="007A54F7">
              <w:rPr>
                <w:rFonts w:ascii="Tahoma" w:hAnsi="Tahoma" w:cs="Tahoma"/>
                <w:b/>
                <w:sz w:val="18"/>
                <w:szCs w:val="18"/>
              </w:rPr>
              <w:t>%</w:t>
            </w:r>
          </w:p>
        </w:tc>
        <w:tc>
          <w:tcPr>
            <w:tcW w:w="505" w:type="pct"/>
            <w:vAlign w:val="center"/>
          </w:tcPr>
          <w:p w:rsidR="005A0F7D" w:rsidRPr="007A54F7" w:rsidRDefault="007A54F7" w:rsidP="005E1982">
            <w:pPr>
              <w:jc w:val="center"/>
              <w:rPr>
                <w:rFonts w:ascii="Tahoma" w:hAnsi="Tahoma" w:cs="Tahoma"/>
                <w:b/>
                <w:sz w:val="18"/>
                <w:szCs w:val="18"/>
              </w:rPr>
            </w:pPr>
            <w:r w:rsidRPr="007A54F7">
              <w:rPr>
                <w:rFonts w:ascii="Tahoma" w:hAnsi="Tahoma" w:cs="Tahoma"/>
                <w:b/>
                <w:sz w:val="18"/>
                <w:szCs w:val="18"/>
              </w:rPr>
              <w:t xml:space="preserve">Mean premium rate </w:t>
            </w:r>
            <w:r w:rsidR="005A0F7D" w:rsidRPr="007A54F7">
              <w:rPr>
                <w:rFonts w:ascii="Tahoma" w:hAnsi="Tahoma" w:cs="Tahoma"/>
                <w:b/>
                <w:sz w:val="18"/>
                <w:szCs w:val="18"/>
              </w:rPr>
              <w:t>TAS</w:t>
            </w:r>
            <w:r>
              <w:rPr>
                <w:rFonts w:ascii="Tahoma" w:hAnsi="Tahoma" w:cs="Tahoma"/>
                <w:b/>
                <w:sz w:val="18"/>
                <w:szCs w:val="18"/>
              </w:rPr>
              <w:t xml:space="preserve"> </w:t>
            </w:r>
            <w:r w:rsidRPr="007A54F7">
              <w:rPr>
                <w:rFonts w:ascii="Tahoma" w:hAnsi="Tahoma" w:cs="Tahoma"/>
                <w:b/>
                <w:sz w:val="18"/>
                <w:szCs w:val="18"/>
              </w:rPr>
              <w:t>%</w:t>
            </w:r>
          </w:p>
        </w:tc>
        <w:tc>
          <w:tcPr>
            <w:tcW w:w="505" w:type="pct"/>
            <w:vAlign w:val="center"/>
          </w:tcPr>
          <w:p w:rsidR="005A0F7D" w:rsidRPr="007A54F7" w:rsidRDefault="007A54F7" w:rsidP="005E1982">
            <w:pPr>
              <w:jc w:val="center"/>
              <w:rPr>
                <w:rFonts w:ascii="Tahoma" w:hAnsi="Tahoma" w:cs="Tahoma"/>
                <w:b/>
                <w:sz w:val="18"/>
                <w:szCs w:val="18"/>
              </w:rPr>
            </w:pPr>
            <w:r w:rsidRPr="007A54F7">
              <w:rPr>
                <w:rFonts w:ascii="Tahoma" w:hAnsi="Tahoma" w:cs="Tahoma"/>
                <w:b/>
                <w:sz w:val="18"/>
                <w:szCs w:val="18"/>
              </w:rPr>
              <w:t xml:space="preserve">Mean premium rate </w:t>
            </w:r>
            <w:r w:rsidR="005A0F7D" w:rsidRPr="007A54F7">
              <w:rPr>
                <w:rFonts w:ascii="Tahoma" w:hAnsi="Tahoma" w:cs="Tahoma"/>
                <w:b/>
                <w:sz w:val="18"/>
                <w:szCs w:val="18"/>
              </w:rPr>
              <w:t>VIC</w:t>
            </w:r>
            <w:r>
              <w:rPr>
                <w:rFonts w:ascii="Tahoma" w:hAnsi="Tahoma" w:cs="Tahoma"/>
                <w:b/>
                <w:sz w:val="18"/>
                <w:szCs w:val="18"/>
              </w:rPr>
              <w:t xml:space="preserve"> </w:t>
            </w:r>
            <w:r w:rsidRPr="007A54F7">
              <w:rPr>
                <w:rFonts w:ascii="Tahoma" w:hAnsi="Tahoma" w:cs="Tahoma"/>
                <w:b/>
                <w:sz w:val="18"/>
                <w:szCs w:val="18"/>
              </w:rPr>
              <w:t>%</w:t>
            </w:r>
          </w:p>
        </w:tc>
        <w:tc>
          <w:tcPr>
            <w:tcW w:w="474" w:type="pct"/>
            <w:vAlign w:val="center"/>
          </w:tcPr>
          <w:p w:rsidR="005A0F7D" w:rsidRPr="007A54F7" w:rsidRDefault="007A54F7" w:rsidP="005E1982">
            <w:pPr>
              <w:jc w:val="center"/>
              <w:rPr>
                <w:rFonts w:ascii="Tahoma" w:hAnsi="Tahoma" w:cs="Tahoma"/>
                <w:b/>
                <w:sz w:val="18"/>
                <w:szCs w:val="18"/>
              </w:rPr>
            </w:pPr>
            <w:r w:rsidRPr="007A54F7">
              <w:rPr>
                <w:rFonts w:ascii="Tahoma" w:hAnsi="Tahoma" w:cs="Tahoma"/>
                <w:b/>
                <w:sz w:val="18"/>
                <w:szCs w:val="18"/>
              </w:rPr>
              <w:t xml:space="preserve">Mean premium rate </w:t>
            </w:r>
            <w:r w:rsidR="005A0F7D" w:rsidRPr="007A54F7">
              <w:rPr>
                <w:rFonts w:ascii="Tahoma" w:hAnsi="Tahoma" w:cs="Tahoma"/>
                <w:b/>
                <w:sz w:val="18"/>
                <w:szCs w:val="18"/>
              </w:rPr>
              <w:t>WA</w:t>
            </w:r>
            <w:r>
              <w:rPr>
                <w:rFonts w:ascii="Tahoma" w:hAnsi="Tahoma" w:cs="Tahoma"/>
                <w:b/>
                <w:sz w:val="18"/>
                <w:szCs w:val="18"/>
              </w:rPr>
              <w:t xml:space="preserve"> </w:t>
            </w:r>
            <w:r w:rsidRPr="007A54F7">
              <w:rPr>
                <w:rFonts w:ascii="Tahoma" w:hAnsi="Tahoma" w:cs="Tahoma"/>
                <w:b/>
                <w:sz w:val="18"/>
                <w:szCs w:val="18"/>
              </w:rPr>
              <w:t>%</w:t>
            </w:r>
          </w:p>
        </w:tc>
      </w:tr>
      <w:tr w:rsidR="007A54F7" w:rsidRPr="00AE62D6" w:rsidTr="007A54F7">
        <w:tc>
          <w:tcPr>
            <w:tcW w:w="473" w:type="pct"/>
            <w:vMerge w:val="restart"/>
            <w:shd w:val="pct10" w:color="auto" w:fill="auto"/>
            <w:vAlign w:val="center"/>
          </w:tcPr>
          <w:p w:rsidR="005A0F7D" w:rsidRPr="007A54F7" w:rsidRDefault="005A0F7D" w:rsidP="005A0F7D">
            <w:pPr>
              <w:jc w:val="center"/>
              <w:rPr>
                <w:rFonts w:ascii="Tahoma" w:hAnsi="Tahoma" w:cs="Tahoma"/>
                <w:sz w:val="18"/>
                <w:szCs w:val="18"/>
              </w:rPr>
            </w:pPr>
            <w:r w:rsidRPr="007A54F7">
              <w:rPr>
                <w:rFonts w:ascii="Tahoma" w:hAnsi="Tahoma" w:cs="Tahoma"/>
                <w:sz w:val="18"/>
                <w:szCs w:val="18"/>
              </w:rPr>
              <w:t>Accredited companies</w:t>
            </w:r>
          </w:p>
        </w:tc>
        <w:tc>
          <w:tcPr>
            <w:tcW w:w="540" w:type="pct"/>
            <w:shd w:val="pct10" w:color="auto" w:fill="auto"/>
            <w:vAlign w:val="bottom"/>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Jul to Dec 2007</w:t>
            </w:r>
          </w:p>
        </w:tc>
        <w:tc>
          <w:tcPr>
            <w:tcW w:w="477"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5.589</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3.069</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2.675</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1.346</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2.940</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3.098</w:t>
            </w:r>
          </w:p>
        </w:tc>
        <w:tc>
          <w:tcPr>
            <w:tcW w:w="474"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2.496</w:t>
            </w:r>
          </w:p>
        </w:tc>
      </w:tr>
      <w:tr w:rsidR="007A54F7" w:rsidRPr="00AE62D6" w:rsidTr="007A54F7">
        <w:tc>
          <w:tcPr>
            <w:tcW w:w="473" w:type="pct"/>
            <w:vMerge/>
            <w:shd w:val="pct10" w:color="auto" w:fill="auto"/>
          </w:tcPr>
          <w:p w:rsidR="005A0F7D" w:rsidRPr="007A54F7" w:rsidRDefault="005A0F7D" w:rsidP="005E1982">
            <w:pPr>
              <w:jc w:val="center"/>
              <w:rPr>
                <w:rFonts w:ascii="Tahoma" w:hAnsi="Tahoma" w:cs="Tahoma"/>
                <w:sz w:val="18"/>
                <w:szCs w:val="18"/>
              </w:rPr>
            </w:pPr>
          </w:p>
        </w:tc>
        <w:tc>
          <w:tcPr>
            <w:tcW w:w="540" w:type="pct"/>
            <w:shd w:val="pct10" w:color="auto" w:fill="auto"/>
            <w:vAlign w:val="bottom"/>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Jan to Jun 2008</w:t>
            </w:r>
          </w:p>
        </w:tc>
        <w:tc>
          <w:tcPr>
            <w:tcW w:w="477"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4.962</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3.508</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2.355</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1.438</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3.037</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2.054</w:t>
            </w:r>
          </w:p>
        </w:tc>
        <w:tc>
          <w:tcPr>
            <w:tcW w:w="474"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3.348</w:t>
            </w:r>
          </w:p>
        </w:tc>
      </w:tr>
      <w:tr w:rsidR="007A54F7" w:rsidRPr="00AE62D6" w:rsidTr="007A54F7">
        <w:tc>
          <w:tcPr>
            <w:tcW w:w="473" w:type="pct"/>
            <w:vMerge/>
            <w:shd w:val="pct10" w:color="auto" w:fill="auto"/>
          </w:tcPr>
          <w:p w:rsidR="005A0F7D" w:rsidRPr="007A54F7" w:rsidRDefault="005A0F7D" w:rsidP="005E1982">
            <w:pPr>
              <w:jc w:val="center"/>
              <w:rPr>
                <w:rFonts w:ascii="Tahoma" w:hAnsi="Tahoma" w:cs="Tahoma"/>
                <w:sz w:val="18"/>
                <w:szCs w:val="18"/>
              </w:rPr>
            </w:pPr>
          </w:p>
        </w:tc>
        <w:tc>
          <w:tcPr>
            <w:tcW w:w="540" w:type="pct"/>
            <w:shd w:val="pct10" w:color="auto" w:fill="auto"/>
            <w:vAlign w:val="bottom"/>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Jul to Dec 2008</w:t>
            </w:r>
          </w:p>
        </w:tc>
        <w:tc>
          <w:tcPr>
            <w:tcW w:w="477"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4.274</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3.106</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2.261</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1.568</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3.750</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1.087</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2.297</w:t>
            </w:r>
          </w:p>
        </w:tc>
        <w:tc>
          <w:tcPr>
            <w:tcW w:w="474"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2.066</w:t>
            </w:r>
          </w:p>
        </w:tc>
      </w:tr>
      <w:tr w:rsidR="007A54F7" w:rsidRPr="00AE62D6" w:rsidTr="007A54F7">
        <w:tc>
          <w:tcPr>
            <w:tcW w:w="473" w:type="pct"/>
            <w:vMerge/>
            <w:shd w:val="pct10" w:color="auto" w:fill="auto"/>
          </w:tcPr>
          <w:p w:rsidR="005A0F7D" w:rsidRPr="007A54F7" w:rsidRDefault="005A0F7D" w:rsidP="005E1982">
            <w:pPr>
              <w:jc w:val="center"/>
              <w:rPr>
                <w:rFonts w:ascii="Tahoma" w:hAnsi="Tahoma" w:cs="Tahoma"/>
                <w:sz w:val="18"/>
                <w:szCs w:val="18"/>
              </w:rPr>
            </w:pPr>
          </w:p>
        </w:tc>
        <w:tc>
          <w:tcPr>
            <w:tcW w:w="540" w:type="pct"/>
            <w:shd w:val="pct10" w:color="auto" w:fill="auto"/>
            <w:vAlign w:val="bottom"/>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Jan to Jun 2009</w:t>
            </w:r>
          </w:p>
        </w:tc>
        <w:tc>
          <w:tcPr>
            <w:tcW w:w="477"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3.742</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2.811</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1.973</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1.117</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3.832</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1.155</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2.289</w:t>
            </w:r>
          </w:p>
        </w:tc>
        <w:tc>
          <w:tcPr>
            <w:tcW w:w="474"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2.342</w:t>
            </w:r>
          </w:p>
        </w:tc>
      </w:tr>
      <w:tr w:rsidR="007A54F7" w:rsidRPr="00AE62D6" w:rsidTr="007A54F7">
        <w:tc>
          <w:tcPr>
            <w:tcW w:w="473" w:type="pct"/>
            <w:vMerge/>
            <w:shd w:val="pct10" w:color="auto" w:fill="auto"/>
          </w:tcPr>
          <w:p w:rsidR="005A0F7D" w:rsidRPr="007A54F7" w:rsidRDefault="005A0F7D" w:rsidP="005E1982">
            <w:pPr>
              <w:jc w:val="center"/>
              <w:rPr>
                <w:rFonts w:ascii="Tahoma" w:hAnsi="Tahoma" w:cs="Tahoma"/>
                <w:sz w:val="18"/>
                <w:szCs w:val="18"/>
              </w:rPr>
            </w:pPr>
          </w:p>
        </w:tc>
        <w:tc>
          <w:tcPr>
            <w:tcW w:w="540" w:type="pct"/>
            <w:shd w:val="pct10" w:color="auto" w:fill="auto"/>
            <w:vAlign w:val="bottom"/>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Jul to Dec 2009</w:t>
            </w:r>
          </w:p>
        </w:tc>
        <w:tc>
          <w:tcPr>
            <w:tcW w:w="477"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3.849</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3.351</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2.376</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1.424</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3.695</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1.302</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2.202</w:t>
            </w:r>
          </w:p>
        </w:tc>
        <w:tc>
          <w:tcPr>
            <w:tcW w:w="474"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1.948</w:t>
            </w:r>
          </w:p>
        </w:tc>
      </w:tr>
      <w:tr w:rsidR="007A54F7" w:rsidRPr="00AE62D6" w:rsidTr="007A54F7">
        <w:tc>
          <w:tcPr>
            <w:tcW w:w="473" w:type="pct"/>
            <w:vMerge/>
            <w:shd w:val="pct10" w:color="auto" w:fill="auto"/>
          </w:tcPr>
          <w:p w:rsidR="005A0F7D" w:rsidRPr="007A54F7" w:rsidRDefault="005A0F7D" w:rsidP="005E1982">
            <w:pPr>
              <w:jc w:val="center"/>
              <w:rPr>
                <w:rFonts w:ascii="Tahoma" w:hAnsi="Tahoma" w:cs="Tahoma"/>
                <w:sz w:val="18"/>
                <w:szCs w:val="18"/>
              </w:rPr>
            </w:pPr>
          </w:p>
        </w:tc>
        <w:tc>
          <w:tcPr>
            <w:tcW w:w="540" w:type="pct"/>
            <w:shd w:val="pct10" w:color="auto" w:fill="auto"/>
            <w:vAlign w:val="bottom"/>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Jan to Jun 2010</w:t>
            </w:r>
          </w:p>
        </w:tc>
        <w:tc>
          <w:tcPr>
            <w:tcW w:w="477"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3.521</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2.975</w:t>
            </w:r>
          </w:p>
        </w:tc>
        <w:tc>
          <w:tcPr>
            <w:tcW w:w="508"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2.372</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1.316</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3.560</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1.475</w:t>
            </w:r>
          </w:p>
        </w:tc>
        <w:tc>
          <w:tcPr>
            <w:tcW w:w="505"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2.270</w:t>
            </w:r>
          </w:p>
        </w:tc>
        <w:tc>
          <w:tcPr>
            <w:tcW w:w="474" w:type="pct"/>
            <w:shd w:val="pct10" w:color="auto" w:fill="auto"/>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1.731</w:t>
            </w:r>
          </w:p>
        </w:tc>
      </w:tr>
      <w:tr w:rsidR="007A54F7" w:rsidRPr="00AE62D6" w:rsidTr="007A54F7">
        <w:tc>
          <w:tcPr>
            <w:tcW w:w="473" w:type="pct"/>
          </w:tcPr>
          <w:p w:rsidR="005A0F7D" w:rsidRPr="007A54F7" w:rsidRDefault="005A0F7D" w:rsidP="005E1982">
            <w:pPr>
              <w:jc w:val="center"/>
              <w:rPr>
                <w:rFonts w:ascii="Tahoma" w:hAnsi="Tahoma" w:cs="Tahoma"/>
                <w:sz w:val="18"/>
                <w:szCs w:val="18"/>
              </w:rPr>
            </w:pPr>
          </w:p>
        </w:tc>
        <w:tc>
          <w:tcPr>
            <w:tcW w:w="540" w:type="pct"/>
            <w:vAlign w:val="bottom"/>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House construction June 2009</w:t>
            </w:r>
            <w:bookmarkStart w:id="20" w:name="_Ref338322058"/>
            <w:r w:rsidRPr="007A54F7">
              <w:rPr>
                <w:rStyle w:val="FootnoteReference"/>
                <w:rFonts w:ascii="Tahoma" w:hAnsi="Tahoma"/>
                <w:sz w:val="18"/>
                <w:szCs w:val="18"/>
              </w:rPr>
              <w:footnoteReference w:id="5"/>
            </w:r>
            <w:bookmarkEnd w:id="20"/>
          </w:p>
        </w:tc>
        <w:tc>
          <w:tcPr>
            <w:tcW w:w="477"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NA</w:t>
            </w:r>
          </w:p>
        </w:tc>
        <w:tc>
          <w:tcPr>
            <w:tcW w:w="508"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5.169</w:t>
            </w:r>
          </w:p>
        </w:tc>
        <w:tc>
          <w:tcPr>
            <w:tcW w:w="508"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NA</w:t>
            </w:r>
          </w:p>
        </w:tc>
        <w:tc>
          <w:tcPr>
            <w:tcW w:w="505"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2.333</w:t>
            </w:r>
          </w:p>
        </w:tc>
        <w:tc>
          <w:tcPr>
            <w:tcW w:w="505"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3.3</w:t>
            </w:r>
          </w:p>
        </w:tc>
        <w:tc>
          <w:tcPr>
            <w:tcW w:w="505"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3.52</w:t>
            </w:r>
          </w:p>
        </w:tc>
        <w:tc>
          <w:tcPr>
            <w:tcW w:w="505"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1.945</w:t>
            </w:r>
          </w:p>
        </w:tc>
        <w:tc>
          <w:tcPr>
            <w:tcW w:w="474"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1.17</w:t>
            </w:r>
          </w:p>
        </w:tc>
      </w:tr>
      <w:tr w:rsidR="007A54F7" w:rsidRPr="00AE62D6" w:rsidTr="007A54F7">
        <w:tc>
          <w:tcPr>
            <w:tcW w:w="473" w:type="pct"/>
          </w:tcPr>
          <w:p w:rsidR="005A0F7D" w:rsidRPr="007A54F7" w:rsidRDefault="005A0F7D" w:rsidP="005E1982">
            <w:pPr>
              <w:jc w:val="center"/>
              <w:rPr>
                <w:rFonts w:ascii="Tahoma" w:hAnsi="Tahoma" w:cs="Tahoma"/>
                <w:sz w:val="18"/>
                <w:szCs w:val="18"/>
              </w:rPr>
            </w:pPr>
          </w:p>
        </w:tc>
        <w:tc>
          <w:tcPr>
            <w:tcW w:w="540" w:type="pct"/>
            <w:vAlign w:val="bottom"/>
          </w:tcPr>
          <w:p w:rsidR="005A0F7D" w:rsidRPr="007A54F7" w:rsidRDefault="005A0F7D" w:rsidP="000005CA">
            <w:pPr>
              <w:jc w:val="center"/>
              <w:rPr>
                <w:rFonts w:ascii="Tahoma" w:hAnsi="Tahoma" w:cs="Tahoma"/>
                <w:sz w:val="18"/>
                <w:szCs w:val="18"/>
              </w:rPr>
            </w:pPr>
            <w:r w:rsidRPr="007A54F7">
              <w:rPr>
                <w:rFonts w:ascii="Tahoma" w:hAnsi="Tahoma" w:cs="Tahoma"/>
                <w:sz w:val="18"/>
                <w:szCs w:val="18"/>
              </w:rPr>
              <w:t>Non-residential construction June 2009</w:t>
            </w:r>
            <w:r w:rsidR="000005CA">
              <w:rPr>
                <w:rFonts w:ascii="Tahoma" w:hAnsi="Tahoma" w:cs="Tahoma"/>
                <w:sz w:val="18"/>
                <w:szCs w:val="18"/>
                <w:vertAlign w:val="superscript"/>
              </w:rPr>
              <w:fldChar w:fldCharType="begin"/>
            </w:r>
            <w:r w:rsidR="000005CA">
              <w:rPr>
                <w:rFonts w:ascii="Tahoma" w:hAnsi="Tahoma" w:cs="Tahoma"/>
                <w:sz w:val="18"/>
                <w:szCs w:val="18"/>
                <w:vertAlign w:val="superscript"/>
              </w:rPr>
              <w:instrText xml:space="preserve"> NOTEREF _Ref338322058 \h </w:instrText>
            </w:r>
            <w:r w:rsidR="000005CA">
              <w:rPr>
                <w:rFonts w:ascii="Tahoma" w:hAnsi="Tahoma" w:cs="Tahoma"/>
                <w:sz w:val="18"/>
                <w:szCs w:val="18"/>
                <w:vertAlign w:val="superscript"/>
              </w:rPr>
            </w:r>
            <w:r w:rsidR="000005CA">
              <w:rPr>
                <w:rFonts w:ascii="Tahoma" w:hAnsi="Tahoma" w:cs="Tahoma"/>
                <w:sz w:val="18"/>
                <w:szCs w:val="18"/>
                <w:vertAlign w:val="superscript"/>
              </w:rPr>
              <w:fldChar w:fldCharType="separate"/>
            </w:r>
            <w:r w:rsidR="000005CA">
              <w:rPr>
                <w:rFonts w:ascii="Tahoma" w:hAnsi="Tahoma" w:cs="Tahoma"/>
                <w:sz w:val="18"/>
                <w:szCs w:val="18"/>
                <w:vertAlign w:val="superscript"/>
              </w:rPr>
              <w:t>5</w:t>
            </w:r>
            <w:r w:rsidR="000005CA">
              <w:rPr>
                <w:rFonts w:ascii="Tahoma" w:hAnsi="Tahoma" w:cs="Tahoma"/>
                <w:sz w:val="18"/>
                <w:szCs w:val="18"/>
                <w:vertAlign w:val="superscript"/>
              </w:rPr>
              <w:fldChar w:fldCharType="end"/>
            </w:r>
          </w:p>
        </w:tc>
        <w:tc>
          <w:tcPr>
            <w:tcW w:w="477"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NA</w:t>
            </w:r>
          </w:p>
        </w:tc>
        <w:tc>
          <w:tcPr>
            <w:tcW w:w="508"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4.028</w:t>
            </w:r>
          </w:p>
        </w:tc>
        <w:tc>
          <w:tcPr>
            <w:tcW w:w="508"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NA</w:t>
            </w:r>
          </w:p>
        </w:tc>
        <w:tc>
          <w:tcPr>
            <w:tcW w:w="505"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2.333</w:t>
            </w:r>
          </w:p>
        </w:tc>
        <w:tc>
          <w:tcPr>
            <w:tcW w:w="505"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3.4</w:t>
            </w:r>
          </w:p>
        </w:tc>
        <w:tc>
          <w:tcPr>
            <w:tcW w:w="505"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3.52</w:t>
            </w:r>
          </w:p>
        </w:tc>
        <w:tc>
          <w:tcPr>
            <w:tcW w:w="505"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2.651</w:t>
            </w:r>
          </w:p>
        </w:tc>
        <w:tc>
          <w:tcPr>
            <w:tcW w:w="474" w:type="pct"/>
            <w:vAlign w:val="center"/>
          </w:tcPr>
          <w:p w:rsidR="005A0F7D" w:rsidRPr="007A54F7" w:rsidRDefault="005A0F7D" w:rsidP="005E1982">
            <w:pPr>
              <w:jc w:val="center"/>
              <w:rPr>
                <w:rFonts w:ascii="Tahoma" w:hAnsi="Tahoma" w:cs="Tahoma"/>
                <w:sz w:val="18"/>
                <w:szCs w:val="18"/>
              </w:rPr>
            </w:pPr>
            <w:r w:rsidRPr="007A54F7">
              <w:rPr>
                <w:rFonts w:ascii="Tahoma" w:hAnsi="Tahoma" w:cs="Tahoma"/>
                <w:sz w:val="18"/>
                <w:szCs w:val="18"/>
              </w:rPr>
              <w:t>2.32</w:t>
            </w:r>
          </w:p>
        </w:tc>
      </w:tr>
    </w:tbl>
    <w:p w:rsidR="005E1982" w:rsidRPr="00403CE3" w:rsidRDefault="005E1982" w:rsidP="005E1982">
      <w:pPr>
        <w:numPr>
          <w:ilvl w:val="0"/>
          <w:numId w:val="17"/>
        </w:numPr>
        <w:spacing w:before="100" w:beforeAutospacing="1" w:after="120"/>
        <w:ind w:left="714" w:hanging="357"/>
        <w:rPr>
          <w:rFonts w:ascii="Tahoma" w:hAnsi="Tahoma" w:cs="Tahoma"/>
          <w:sz w:val="22"/>
          <w:szCs w:val="22"/>
        </w:rPr>
      </w:pPr>
      <w:r w:rsidRPr="00403CE3">
        <w:rPr>
          <w:rFonts w:ascii="Tahoma" w:hAnsi="Tahoma" w:cs="Tahoma"/>
          <w:sz w:val="22"/>
          <w:szCs w:val="22"/>
        </w:rPr>
        <w:t xml:space="preserve">Between the </w:t>
      </w:r>
      <w:r>
        <w:rPr>
          <w:rFonts w:ascii="Tahoma" w:hAnsi="Tahoma" w:cs="Tahoma"/>
          <w:sz w:val="22"/>
          <w:szCs w:val="22"/>
        </w:rPr>
        <w:t>June 2009</w:t>
      </w:r>
      <w:r w:rsidRPr="00403CE3">
        <w:rPr>
          <w:rFonts w:ascii="Tahoma" w:hAnsi="Tahoma" w:cs="Tahoma"/>
          <w:sz w:val="22"/>
          <w:szCs w:val="22"/>
        </w:rPr>
        <w:t xml:space="preserve"> and the </w:t>
      </w:r>
      <w:r>
        <w:rPr>
          <w:rFonts w:ascii="Tahoma" w:hAnsi="Tahoma" w:cs="Tahoma"/>
          <w:sz w:val="22"/>
          <w:szCs w:val="22"/>
        </w:rPr>
        <w:t>June</w:t>
      </w:r>
      <w:r w:rsidRPr="00403CE3">
        <w:rPr>
          <w:rFonts w:ascii="Tahoma" w:hAnsi="Tahoma" w:cs="Tahoma"/>
          <w:sz w:val="22"/>
          <w:szCs w:val="22"/>
        </w:rPr>
        <w:t> 20</w:t>
      </w:r>
      <w:r>
        <w:rPr>
          <w:rFonts w:ascii="Tahoma" w:hAnsi="Tahoma" w:cs="Tahoma"/>
          <w:sz w:val="22"/>
          <w:szCs w:val="22"/>
        </w:rPr>
        <w:t>10</w:t>
      </w:r>
      <w:r w:rsidRPr="00403CE3">
        <w:rPr>
          <w:rFonts w:ascii="Tahoma" w:hAnsi="Tahoma" w:cs="Tahoma"/>
          <w:sz w:val="22"/>
          <w:szCs w:val="22"/>
        </w:rPr>
        <w:t xml:space="preserve"> reporting periods, the mean premium rates for accredited contractors increased for New South Wales, Northern Territory</w:t>
      </w:r>
      <w:r>
        <w:rPr>
          <w:rFonts w:ascii="Tahoma" w:hAnsi="Tahoma" w:cs="Tahoma"/>
          <w:sz w:val="22"/>
          <w:szCs w:val="22"/>
        </w:rPr>
        <w:t>,</w:t>
      </w:r>
      <w:r w:rsidRPr="00403CE3">
        <w:rPr>
          <w:rFonts w:ascii="Tahoma" w:hAnsi="Tahoma" w:cs="Tahoma"/>
          <w:sz w:val="22"/>
          <w:szCs w:val="22"/>
        </w:rPr>
        <w:t xml:space="preserve"> </w:t>
      </w:r>
      <w:r>
        <w:rPr>
          <w:rFonts w:ascii="Tahoma" w:hAnsi="Tahoma" w:cs="Tahoma"/>
          <w:sz w:val="22"/>
          <w:szCs w:val="22"/>
        </w:rPr>
        <w:t>Queensland and Tasmania</w:t>
      </w:r>
      <w:r w:rsidRPr="00403CE3">
        <w:rPr>
          <w:rFonts w:ascii="Tahoma" w:hAnsi="Tahoma" w:cs="Tahoma"/>
          <w:sz w:val="22"/>
          <w:szCs w:val="22"/>
        </w:rPr>
        <w:t xml:space="preserve">; and decreased for </w:t>
      </w:r>
      <w:r>
        <w:rPr>
          <w:rFonts w:ascii="Tahoma" w:hAnsi="Tahoma" w:cs="Tahoma"/>
          <w:sz w:val="22"/>
          <w:szCs w:val="22"/>
        </w:rPr>
        <w:t xml:space="preserve">the Australian Capital Territory, </w:t>
      </w:r>
      <w:r w:rsidRPr="00403CE3">
        <w:rPr>
          <w:rFonts w:ascii="Tahoma" w:hAnsi="Tahoma" w:cs="Tahoma"/>
          <w:sz w:val="22"/>
          <w:szCs w:val="22"/>
        </w:rPr>
        <w:t>South Australia, Victoria and Western Australia.</w:t>
      </w:r>
    </w:p>
    <w:p w:rsidR="005E1982" w:rsidRDefault="005E1982" w:rsidP="005E1982">
      <w:pPr>
        <w:numPr>
          <w:ilvl w:val="0"/>
          <w:numId w:val="17"/>
        </w:numPr>
        <w:spacing w:before="100" w:beforeAutospacing="1" w:after="120"/>
        <w:ind w:left="714" w:hanging="357"/>
        <w:rPr>
          <w:rFonts w:ascii="Tahoma" w:hAnsi="Tahoma" w:cs="Tahoma"/>
          <w:sz w:val="22"/>
          <w:szCs w:val="22"/>
        </w:rPr>
      </w:pPr>
      <w:r w:rsidRPr="00393896">
        <w:rPr>
          <w:rFonts w:ascii="Tahoma" w:hAnsi="Tahoma" w:cs="Tahoma"/>
          <w:sz w:val="22"/>
          <w:szCs w:val="22"/>
        </w:rPr>
        <w:t xml:space="preserve">For comparative purposes, the latest available premium rates for house construction and non-residential construction across most jurisdictions have been included. At </w:t>
      </w:r>
      <w:r>
        <w:rPr>
          <w:rFonts w:ascii="Tahoma" w:hAnsi="Tahoma" w:cs="Tahoma"/>
          <w:sz w:val="22"/>
          <w:szCs w:val="22"/>
        </w:rPr>
        <w:t>30 June</w:t>
      </w:r>
      <w:r w:rsidRPr="00393896">
        <w:rPr>
          <w:rFonts w:ascii="Tahoma" w:hAnsi="Tahoma" w:cs="Tahoma"/>
          <w:sz w:val="22"/>
          <w:szCs w:val="22"/>
        </w:rPr>
        <w:t xml:space="preserve"> 2009, the mean premium rates for accredited contractors were below those for the non-residential construction industry, except </w:t>
      </w:r>
      <w:r>
        <w:rPr>
          <w:rFonts w:ascii="Tahoma" w:hAnsi="Tahoma" w:cs="Tahoma"/>
          <w:sz w:val="22"/>
          <w:szCs w:val="22"/>
        </w:rPr>
        <w:t>South</w:t>
      </w:r>
      <w:r w:rsidRPr="00393896">
        <w:rPr>
          <w:rFonts w:ascii="Tahoma" w:hAnsi="Tahoma" w:cs="Tahoma"/>
          <w:sz w:val="22"/>
          <w:szCs w:val="22"/>
        </w:rPr>
        <w:t xml:space="preserve"> Australia</w:t>
      </w:r>
      <w:r>
        <w:rPr>
          <w:rFonts w:ascii="Tahoma" w:hAnsi="Tahoma" w:cs="Tahoma"/>
          <w:sz w:val="22"/>
          <w:szCs w:val="22"/>
        </w:rPr>
        <w:t xml:space="preserve"> and Western Australia</w:t>
      </w:r>
      <w:r w:rsidRPr="00393896">
        <w:rPr>
          <w:rFonts w:ascii="Tahoma" w:hAnsi="Tahoma" w:cs="Tahoma"/>
          <w:sz w:val="22"/>
          <w:szCs w:val="22"/>
        </w:rPr>
        <w:t xml:space="preserve">; and also below those for house construction except </w:t>
      </w:r>
      <w:r>
        <w:rPr>
          <w:rFonts w:ascii="Tahoma" w:hAnsi="Tahoma" w:cs="Tahoma"/>
          <w:sz w:val="22"/>
          <w:szCs w:val="22"/>
        </w:rPr>
        <w:t xml:space="preserve">South Australia, </w:t>
      </w:r>
      <w:r w:rsidRPr="00393896">
        <w:rPr>
          <w:rFonts w:ascii="Tahoma" w:hAnsi="Tahoma" w:cs="Tahoma"/>
          <w:sz w:val="22"/>
          <w:szCs w:val="22"/>
        </w:rPr>
        <w:t>Victoria and Western Australia.</w:t>
      </w:r>
    </w:p>
    <w:p w:rsidR="001A2CDB" w:rsidRPr="001A2CDB" w:rsidRDefault="001A2CDB" w:rsidP="000C224A">
      <w:pPr>
        <w:pStyle w:val="Heading1"/>
      </w:pPr>
      <w:bookmarkStart w:id="21" w:name="_Toc294789919"/>
      <w:r w:rsidRPr="001A2CDB">
        <w:t>Positive Performance Indicators</w:t>
      </w:r>
      <w:bookmarkEnd w:id="21"/>
    </w:p>
    <w:p w:rsidR="005E1982" w:rsidRDefault="005E1982" w:rsidP="001272A9">
      <w:pPr>
        <w:spacing w:before="100" w:beforeAutospacing="1" w:after="120"/>
        <w:rPr>
          <w:rFonts w:ascii="Tahoma" w:hAnsi="Tahoma" w:cs="Tahoma"/>
          <w:sz w:val="22"/>
          <w:szCs w:val="22"/>
        </w:rPr>
      </w:pPr>
      <w:r w:rsidRPr="006276C1">
        <w:rPr>
          <w:rFonts w:ascii="Tahoma" w:hAnsi="Tahoma" w:cs="Tahoma"/>
          <w:sz w:val="22"/>
          <w:szCs w:val="22"/>
        </w:rPr>
        <w:t xml:space="preserve">Positive </w:t>
      </w:r>
      <w:r>
        <w:rPr>
          <w:rFonts w:ascii="Tahoma" w:hAnsi="Tahoma" w:cs="Tahoma"/>
          <w:sz w:val="22"/>
          <w:szCs w:val="22"/>
        </w:rPr>
        <w:t>p</w:t>
      </w:r>
      <w:r w:rsidRPr="006276C1">
        <w:rPr>
          <w:rFonts w:ascii="Tahoma" w:hAnsi="Tahoma" w:cs="Tahoma"/>
          <w:sz w:val="22"/>
          <w:szCs w:val="22"/>
        </w:rPr>
        <w:t xml:space="preserve">erformance </w:t>
      </w:r>
      <w:r>
        <w:rPr>
          <w:rFonts w:ascii="Tahoma" w:hAnsi="Tahoma" w:cs="Tahoma"/>
          <w:sz w:val="22"/>
          <w:szCs w:val="22"/>
        </w:rPr>
        <w:t>i</w:t>
      </w:r>
      <w:r w:rsidRPr="006276C1">
        <w:rPr>
          <w:rFonts w:ascii="Tahoma" w:hAnsi="Tahoma" w:cs="Tahoma"/>
          <w:sz w:val="22"/>
          <w:szCs w:val="22"/>
        </w:rPr>
        <w:t>ndicators (PPI</w:t>
      </w:r>
      <w:r>
        <w:rPr>
          <w:rFonts w:ascii="Tahoma" w:hAnsi="Tahoma" w:cs="Tahoma"/>
          <w:sz w:val="22"/>
          <w:szCs w:val="22"/>
        </w:rPr>
        <w:t>s</w:t>
      </w:r>
      <w:r w:rsidRPr="006276C1">
        <w:rPr>
          <w:rFonts w:ascii="Tahoma" w:hAnsi="Tahoma" w:cs="Tahoma"/>
          <w:sz w:val="22"/>
          <w:szCs w:val="22"/>
        </w:rPr>
        <w:t xml:space="preserve">) are measures </w:t>
      </w:r>
      <w:r>
        <w:rPr>
          <w:rFonts w:ascii="Tahoma" w:hAnsi="Tahoma" w:cs="Tahoma"/>
          <w:sz w:val="22"/>
          <w:szCs w:val="22"/>
        </w:rPr>
        <w:t xml:space="preserve">of actions or initiatives introduced to prevent workplace injury and disease. Accredited contractors report details of PPIs, as well as details of any peer or industry recognition for </w:t>
      </w:r>
      <w:r>
        <w:rPr>
          <w:rFonts w:ascii="Tahoma" w:hAnsi="Tahoma" w:cs="Tahoma"/>
          <w:sz w:val="22"/>
          <w:szCs w:val="22"/>
        </w:rPr>
        <w:lastRenderedPageBreak/>
        <w:t>OHS performance, and details of any key OHS initiatives implemented during the reporting period.</w:t>
      </w:r>
    </w:p>
    <w:p w:rsidR="005E1982" w:rsidRDefault="005E1982" w:rsidP="005E1982">
      <w:pPr>
        <w:spacing w:before="100" w:beforeAutospacing="1" w:after="120"/>
        <w:rPr>
          <w:rFonts w:ascii="Tahoma" w:hAnsi="Tahoma" w:cs="Tahoma"/>
          <w:sz w:val="22"/>
          <w:szCs w:val="22"/>
        </w:rPr>
      </w:pPr>
      <w:r>
        <w:rPr>
          <w:rFonts w:ascii="Tahoma" w:hAnsi="Tahoma" w:cs="Tahoma"/>
          <w:sz w:val="22"/>
          <w:szCs w:val="22"/>
        </w:rPr>
        <w:t>Examples of these indicators, recognition and initiatives for the June 2009 reporting period are provided below. It is important to note that information on PPIs is provided as free text so the response percentage is likely to understate the number of contractors that implement these PPIs.</w:t>
      </w:r>
    </w:p>
    <w:p w:rsidR="005E1982" w:rsidRPr="00CC2D17" w:rsidRDefault="005E1982" w:rsidP="005E1982">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2552"/>
      </w:tblGrid>
      <w:tr w:rsidR="005E1982" w:rsidTr="005E1982">
        <w:tc>
          <w:tcPr>
            <w:tcW w:w="5778" w:type="dxa"/>
          </w:tcPr>
          <w:p w:rsidR="005E1982" w:rsidRPr="003A038E" w:rsidRDefault="005E1982" w:rsidP="003A038E">
            <w:pPr>
              <w:rPr>
                <w:rFonts w:ascii="Tahoma" w:hAnsi="Tahoma" w:cs="Tahoma"/>
                <w:b/>
                <w:sz w:val="20"/>
                <w:szCs w:val="20"/>
              </w:rPr>
            </w:pPr>
            <w:r w:rsidRPr="003A038E">
              <w:rPr>
                <w:rFonts w:ascii="Tahoma" w:hAnsi="Tahoma" w:cs="Tahoma"/>
                <w:b/>
                <w:sz w:val="20"/>
                <w:szCs w:val="20"/>
              </w:rPr>
              <w:t>Positive performance indicators</w:t>
            </w:r>
          </w:p>
        </w:tc>
        <w:tc>
          <w:tcPr>
            <w:tcW w:w="2552" w:type="dxa"/>
          </w:tcPr>
          <w:p w:rsidR="005E1982" w:rsidRPr="003A038E" w:rsidRDefault="005E1982" w:rsidP="003A038E">
            <w:pPr>
              <w:rPr>
                <w:rFonts w:ascii="Tahoma" w:hAnsi="Tahoma" w:cs="Tahoma"/>
                <w:b/>
                <w:sz w:val="20"/>
                <w:szCs w:val="20"/>
              </w:rPr>
            </w:pPr>
            <w:r w:rsidRPr="003A038E">
              <w:rPr>
                <w:rFonts w:ascii="Tahoma" w:hAnsi="Tahoma" w:cs="Tahoma"/>
                <w:b/>
                <w:sz w:val="20"/>
                <w:szCs w:val="20"/>
              </w:rPr>
              <w:t>Frequency of response</w:t>
            </w:r>
          </w:p>
        </w:tc>
      </w:tr>
      <w:tr w:rsidR="005E1982" w:rsidTr="005E1982">
        <w:tc>
          <w:tcPr>
            <w:tcW w:w="5778" w:type="dxa"/>
          </w:tcPr>
          <w:p w:rsidR="005E1982" w:rsidRPr="003A038E" w:rsidRDefault="005E1982" w:rsidP="003A038E">
            <w:pPr>
              <w:rPr>
                <w:rFonts w:ascii="Tahoma" w:hAnsi="Tahoma" w:cs="Tahoma"/>
                <w:sz w:val="20"/>
                <w:szCs w:val="20"/>
              </w:rPr>
            </w:pPr>
            <w:r w:rsidRPr="003A038E">
              <w:rPr>
                <w:rFonts w:ascii="Tahoma" w:hAnsi="Tahoma" w:cs="Tahoma"/>
                <w:sz w:val="20"/>
                <w:szCs w:val="20"/>
              </w:rPr>
              <w:t>Audit programs conducted</w:t>
            </w:r>
          </w:p>
        </w:tc>
        <w:tc>
          <w:tcPr>
            <w:tcW w:w="2552" w:type="dxa"/>
          </w:tcPr>
          <w:p w:rsidR="005E1982" w:rsidRPr="003A038E" w:rsidRDefault="005E1982" w:rsidP="003A038E">
            <w:pPr>
              <w:jc w:val="center"/>
              <w:rPr>
                <w:rFonts w:ascii="Tahoma" w:hAnsi="Tahoma" w:cs="Tahoma"/>
                <w:sz w:val="20"/>
                <w:szCs w:val="20"/>
              </w:rPr>
            </w:pPr>
            <w:r w:rsidRPr="003A038E">
              <w:rPr>
                <w:rFonts w:ascii="Tahoma" w:hAnsi="Tahoma" w:cs="Tahoma"/>
                <w:sz w:val="20"/>
                <w:szCs w:val="20"/>
              </w:rPr>
              <w:t>39%</w:t>
            </w:r>
          </w:p>
        </w:tc>
      </w:tr>
      <w:tr w:rsidR="005E1982" w:rsidTr="005E1982">
        <w:tc>
          <w:tcPr>
            <w:tcW w:w="5778" w:type="dxa"/>
          </w:tcPr>
          <w:p w:rsidR="005E1982" w:rsidRPr="003A038E" w:rsidRDefault="005E1982" w:rsidP="003A038E">
            <w:pPr>
              <w:rPr>
                <w:rFonts w:ascii="Tahoma" w:hAnsi="Tahoma" w:cs="Tahoma"/>
                <w:sz w:val="20"/>
                <w:szCs w:val="20"/>
              </w:rPr>
            </w:pPr>
            <w:r w:rsidRPr="003A038E">
              <w:rPr>
                <w:rFonts w:ascii="Tahoma" w:hAnsi="Tahoma" w:cs="Tahoma"/>
                <w:sz w:val="20"/>
                <w:szCs w:val="20"/>
              </w:rPr>
              <w:t>Toolbox meetings</w:t>
            </w:r>
          </w:p>
        </w:tc>
        <w:tc>
          <w:tcPr>
            <w:tcW w:w="2552" w:type="dxa"/>
          </w:tcPr>
          <w:p w:rsidR="005E1982" w:rsidRPr="003A038E" w:rsidRDefault="005E1982" w:rsidP="003A038E">
            <w:pPr>
              <w:jc w:val="center"/>
              <w:rPr>
                <w:rFonts w:ascii="Tahoma" w:hAnsi="Tahoma" w:cs="Tahoma"/>
                <w:sz w:val="20"/>
                <w:szCs w:val="20"/>
              </w:rPr>
            </w:pPr>
            <w:r w:rsidRPr="003A038E">
              <w:rPr>
                <w:rFonts w:ascii="Tahoma" w:hAnsi="Tahoma" w:cs="Tahoma"/>
                <w:sz w:val="20"/>
                <w:szCs w:val="20"/>
              </w:rPr>
              <w:t>26%</w:t>
            </w:r>
          </w:p>
        </w:tc>
      </w:tr>
      <w:tr w:rsidR="005E1982" w:rsidTr="005E1982">
        <w:tc>
          <w:tcPr>
            <w:tcW w:w="5778" w:type="dxa"/>
          </w:tcPr>
          <w:p w:rsidR="005E1982" w:rsidRPr="003A038E" w:rsidRDefault="005E1982" w:rsidP="003A038E">
            <w:pPr>
              <w:rPr>
                <w:rFonts w:ascii="Tahoma" w:hAnsi="Tahoma" w:cs="Tahoma"/>
                <w:sz w:val="20"/>
                <w:szCs w:val="20"/>
              </w:rPr>
            </w:pPr>
            <w:r w:rsidRPr="003A038E">
              <w:rPr>
                <w:rFonts w:ascii="Tahoma" w:hAnsi="Tahoma" w:cs="Tahoma"/>
                <w:sz w:val="20"/>
                <w:szCs w:val="20"/>
              </w:rPr>
              <w:t>Government / Building Association nominations / awards</w:t>
            </w:r>
          </w:p>
        </w:tc>
        <w:tc>
          <w:tcPr>
            <w:tcW w:w="2552" w:type="dxa"/>
          </w:tcPr>
          <w:p w:rsidR="005E1982" w:rsidRPr="003A038E" w:rsidRDefault="005E1982" w:rsidP="003A038E">
            <w:pPr>
              <w:jc w:val="center"/>
              <w:rPr>
                <w:rFonts w:ascii="Tahoma" w:hAnsi="Tahoma" w:cs="Tahoma"/>
                <w:sz w:val="20"/>
                <w:szCs w:val="20"/>
              </w:rPr>
            </w:pPr>
            <w:r w:rsidRPr="003A038E">
              <w:rPr>
                <w:rFonts w:ascii="Tahoma" w:hAnsi="Tahoma" w:cs="Tahoma"/>
                <w:sz w:val="20"/>
                <w:szCs w:val="20"/>
              </w:rPr>
              <w:t>14%</w:t>
            </w:r>
          </w:p>
        </w:tc>
      </w:tr>
      <w:tr w:rsidR="005E1982" w:rsidTr="005E1982">
        <w:tc>
          <w:tcPr>
            <w:tcW w:w="5778" w:type="dxa"/>
          </w:tcPr>
          <w:p w:rsidR="005E1982" w:rsidRPr="003A038E" w:rsidRDefault="005E1982" w:rsidP="003A038E">
            <w:pPr>
              <w:rPr>
                <w:rFonts w:ascii="Tahoma" w:hAnsi="Tahoma" w:cs="Tahoma"/>
                <w:sz w:val="20"/>
                <w:szCs w:val="20"/>
              </w:rPr>
            </w:pPr>
            <w:r w:rsidRPr="003A038E">
              <w:rPr>
                <w:rFonts w:ascii="Tahoma" w:hAnsi="Tahoma" w:cs="Tahoma"/>
                <w:sz w:val="20"/>
                <w:szCs w:val="20"/>
              </w:rPr>
              <w:t>OHS training to a Certificate III or better by employees</w:t>
            </w:r>
          </w:p>
        </w:tc>
        <w:tc>
          <w:tcPr>
            <w:tcW w:w="2552" w:type="dxa"/>
          </w:tcPr>
          <w:p w:rsidR="005E1982" w:rsidRPr="003A038E" w:rsidRDefault="005E1982" w:rsidP="003A038E">
            <w:pPr>
              <w:jc w:val="center"/>
              <w:rPr>
                <w:rFonts w:ascii="Tahoma" w:hAnsi="Tahoma" w:cs="Tahoma"/>
                <w:sz w:val="20"/>
                <w:szCs w:val="20"/>
              </w:rPr>
            </w:pPr>
            <w:r w:rsidRPr="003A038E">
              <w:rPr>
                <w:rFonts w:ascii="Tahoma" w:hAnsi="Tahoma" w:cs="Tahoma"/>
                <w:sz w:val="20"/>
                <w:szCs w:val="20"/>
              </w:rPr>
              <w:t>3%</w:t>
            </w:r>
          </w:p>
        </w:tc>
      </w:tr>
      <w:tr w:rsidR="005E1982" w:rsidTr="005E1982">
        <w:tc>
          <w:tcPr>
            <w:tcW w:w="5778" w:type="dxa"/>
          </w:tcPr>
          <w:p w:rsidR="005E1982" w:rsidRPr="003A038E" w:rsidRDefault="005E1982" w:rsidP="003A038E">
            <w:pPr>
              <w:rPr>
                <w:rFonts w:ascii="Tahoma" w:hAnsi="Tahoma" w:cs="Tahoma"/>
                <w:sz w:val="20"/>
                <w:szCs w:val="20"/>
              </w:rPr>
            </w:pPr>
            <w:r w:rsidRPr="003A038E">
              <w:rPr>
                <w:rFonts w:ascii="Tahoma" w:hAnsi="Tahoma" w:cs="Tahoma"/>
                <w:sz w:val="20"/>
                <w:szCs w:val="20"/>
              </w:rPr>
              <w:t>Emergency Drills / Evacuation Plans</w:t>
            </w:r>
          </w:p>
        </w:tc>
        <w:tc>
          <w:tcPr>
            <w:tcW w:w="2552" w:type="dxa"/>
          </w:tcPr>
          <w:p w:rsidR="005E1982" w:rsidRPr="003A038E" w:rsidRDefault="005E1982" w:rsidP="003A038E">
            <w:pPr>
              <w:jc w:val="center"/>
              <w:rPr>
                <w:rFonts w:ascii="Tahoma" w:hAnsi="Tahoma" w:cs="Tahoma"/>
                <w:sz w:val="20"/>
                <w:szCs w:val="20"/>
              </w:rPr>
            </w:pPr>
            <w:r w:rsidRPr="003A038E">
              <w:rPr>
                <w:rFonts w:ascii="Tahoma" w:hAnsi="Tahoma" w:cs="Tahoma"/>
                <w:sz w:val="20"/>
                <w:szCs w:val="20"/>
              </w:rPr>
              <w:t>0%</w:t>
            </w:r>
          </w:p>
        </w:tc>
      </w:tr>
      <w:tr w:rsidR="005E1982" w:rsidTr="005E1982">
        <w:tc>
          <w:tcPr>
            <w:tcW w:w="5778" w:type="dxa"/>
          </w:tcPr>
          <w:p w:rsidR="005E1982" w:rsidRPr="003A038E" w:rsidRDefault="005E1982" w:rsidP="003A038E">
            <w:pPr>
              <w:rPr>
                <w:rFonts w:ascii="Tahoma" w:hAnsi="Tahoma" w:cs="Tahoma"/>
                <w:sz w:val="20"/>
                <w:szCs w:val="20"/>
              </w:rPr>
            </w:pPr>
            <w:r w:rsidRPr="003A038E">
              <w:rPr>
                <w:rFonts w:ascii="Tahoma" w:hAnsi="Tahoma" w:cs="Tahoma"/>
                <w:sz w:val="20"/>
                <w:szCs w:val="20"/>
              </w:rPr>
              <w:t>Implementation of drug and alcohol programs</w:t>
            </w:r>
          </w:p>
        </w:tc>
        <w:tc>
          <w:tcPr>
            <w:tcW w:w="2552" w:type="dxa"/>
          </w:tcPr>
          <w:p w:rsidR="005E1982" w:rsidRPr="003A038E" w:rsidRDefault="005E1982" w:rsidP="003A038E">
            <w:pPr>
              <w:jc w:val="center"/>
              <w:rPr>
                <w:rFonts w:ascii="Tahoma" w:hAnsi="Tahoma" w:cs="Tahoma"/>
                <w:sz w:val="20"/>
                <w:szCs w:val="20"/>
              </w:rPr>
            </w:pPr>
            <w:r w:rsidRPr="003A038E">
              <w:rPr>
                <w:rFonts w:ascii="Tahoma" w:hAnsi="Tahoma" w:cs="Tahoma"/>
                <w:sz w:val="20"/>
                <w:szCs w:val="20"/>
              </w:rPr>
              <w:t>3%</w:t>
            </w:r>
          </w:p>
        </w:tc>
      </w:tr>
    </w:tbl>
    <w:p w:rsidR="005E1982" w:rsidRDefault="005E1982" w:rsidP="005E1982">
      <w:pPr>
        <w:pStyle w:val="BodyText"/>
        <w:rPr>
          <w:rFonts w:ascii="Tahoma" w:hAnsi="Tahoma" w:cs="Tahoma"/>
          <w:sz w:val="22"/>
          <w:szCs w:val="22"/>
        </w:rPr>
      </w:pPr>
    </w:p>
    <w:p w:rsidR="005E1982" w:rsidRDefault="005E1982" w:rsidP="005E1982">
      <w:pPr>
        <w:pStyle w:val="BodyText"/>
        <w:numPr>
          <w:ilvl w:val="0"/>
          <w:numId w:val="18"/>
        </w:numPr>
        <w:rPr>
          <w:rFonts w:ascii="Tahoma" w:hAnsi="Tahoma" w:cs="Tahoma"/>
          <w:sz w:val="22"/>
          <w:szCs w:val="22"/>
        </w:rPr>
      </w:pPr>
      <w:r w:rsidRPr="00403CE3">
        <w:rPr>
          <w:rFonts w:ascii="Tahoma" w:hAnsi="Tahoma" w:cs="Tahoma"/>
          <w:sz w:val="22"/>
          <w:szCs w:val="22"/>
        </w:rPr>
        <w:t xml:space="preserve">Results for the </w:t>
      </w:r>
      <w:r>
        <w:rPr>
          <w:rFonts w:ascii="Tahoma" w:hAnsi="Tahoma" w:cs="Tahoma"/>
          <w:sz w:val="22"/>
          <w:szCs w:val="22"/>
        </w:rPr>
        <w:t>June</w:t>
      </w:r>
      <w:r w:rsidRPr="00403CE3">
        <w:rPr>
          <w:rFonts w:ascii="Tahoma" w:hAnsi="Tahoma" w:cs="Tahoma"/>
          <w:sz w:val="22"/>
          <w:szCs w:val="22"/>
        </w:rPr>
        <w:t> 20</w:t>
      </w:r>
      <w:r>
        <w:rPr>
          <w:rFonts w:ascii="Tahoma" w:hAnsi="Tahoma" w:cs="Tahoma"/>
          <w:sz w:val="22"/>
          <w:szCs w:val="22"/>
        </w:rPr>
        <w:t>10</w:t>
      </w:r>
      <w:r w:rsidRPr="00403CE3">
        <w:rPr>
          <w:rFonts w:ascii="Tahoma" w:hAnsi="Tahoma" w:cs="Tahoma"/>
          <w:sz w:val="22"/>
          <w:szCs w:val="22"/>
        </w:rPr>
        <w:t xml:space="preserve"> period were </w:t>
      </w:r>
      <w:r>
        <w:rPr>
          <w:rFonts w:ascii="Tahoma" w:hAnsi="Tahoma" w:cs="Tahoma"/>
          <w:sz w:val="22"/>
          <w:szCs w:val="22"/>
        </w:rPr>
        <w:t xml:space="preserve">generally </w:t>
      </w:r>
      <w:r w:rsidR="006559A2">
        <w:rPr>
          <w:rFonts w:ascii="Tahoma" w:hAnsi="Tahoma" w:cs="Tahoma"/>
          <w:sz w:val="22"/>
          <w:szCs w:val="22"/>
        </w:rPr>
        <w:t>fewer when</w:t>
      </w:r>
      <w:r w:rsidRPr="00403CE3">
        <w:rPr>
          <w:rFonts w:ascii="Tahoma" w:hAnsi="Tahoma" w:cs="Tahoma"/>
          <w:sz w:val="22"/>
          <w:szCs w:val="22"/>
        </w:rPr>
        <w:t xml:space="preserve"> </w:t>
      </w:r>
      <w:r>
        <w:rPr>
          <w:rFonts w:ascii="Tahoma" w:hAnsi="Tahoma" w:cs="Tahoma"/>
          <w:sz w:val="22"/>
          <w:szCs w:val="22"/>
        </w:rPr>
        <w:t xml:space="preserve">compared </w:t>
      </w:r>
      <w:r w:rsidRPr="00403CE3">
        <w:rPr>
          <w:rFonts w:ascii="Tahoma" w:hAnsi="Tahoma" w:cs="Tahoma"/>
          <w:sz w:val="22"/>
          <w:szCs w:val="22"/>
        </w:rPr>
        <w:t xml:space="preserve">to the last biannual period for most PPIs. Toolbox meetings </w:t>
      </w:r>
      <w:r>
        <w:rPr>
          <w:rFonts w:ascii="Tahoma" w:hAnsi="Tahoma" w:cs="Tahoma"/>
          <w:sz w:val="22"/>
          <w:szCs w:val="22"/>
        </w:rPr>
        <w:t>increased</w:t>
      </w:r>
      <w:r w:rsidRPr="00403CE3">
        <w:rPr>
          <w:rFonts w:ascii="Tahoma" w:hAnsi="Tahoma" w:cs="Tahoma"/>
          <w:sz w:val="22"/>
          <w:szCs w:val="22"/>
        </w:rPr>
        <w:t xml:space="preserve"> </w:t>
      </w:r>
      <w:r>
        <w:rPr>
          <w:rFonts w:ascii="Tahoma" w:hAnsi="Tahoma" w:cs="Tahoma"/>
          <w:sz w:val="22"/>
          <w:szCs w:val="22"/>
        </w:rPr>
        <w:t>4 percentage points</w:t>
      </w:r>
      <w:r w:rsidRPr="00403CE3">
        <w:rPr>
          <w:rFonts w:ascii="Tahoma" w:hAnsi="Tahoma" w:cs="Tahoma"/>
          <w:sz w:val="22"/>
          <w:szCs w:val="22"/>
        </w:rPr>
        <w:t xml:space="preserve"> and OHS training to Certificate III or better by employees </w:t>
      </w:r>
      <w:r w:rsidR="006559A2">
        <w:rPr>
          <w:rFonts w:ascii="Tahoma" w:hAnsi="Tahoma" w:cs="Tahoma"/>
          <w:sz w:val="22"/>
          <w:szCs w:val="22"/>
        </w:rPr>
        <w:t>decreased 5 </w:t>
      </w:r>
      <w:r>
        <w:rPr>
          <w:rFonts w:ascii="Tahoma" w:hAnsi="Tahoma" w:cs="Tahoma"/>
          <w:sz w:val="22"/>
          <w:szCs w:val="22"/>
        </w:rPr>
        <w:t>percentage points</w:t>
      </w:r>
      <w:r w:rsidRPr="00403CE3">
        <w:rPr>
          <w:rFonts w:ascii="Tahoma" w:hAnsi="Tahoma" w:cs="Tahoma"/>
          <w:sz w:val="22"/>
          <w:szCs w:val="22"/>
        </w:rPr>
        <w:t>.</w:t>
      </w:r>
    </w:p>
    <w:p w:rsidR="005E1982" w:rsidRDefault="005E1982" w:rsidP="005E1982">
      <w:pPr>
        <w:pStyle w:val="BodyText"/>
        <w:numPr>
          <w:ilvl w:val="0"/>
          <w:numId w:val="18"/>
        </w:numPr>
        <w:rPr>
          <w:rFonts w:ascii="Tahoma" w:hAnsi="Tahoma" w:cs="Tahoma"/>
          <w:sz w:val="22"/>
          <w:szCs w:val="22"/>
        </w:rPr>
      </w:pPr>
      <w:r>
        <w:rPr>
          <w:rFonts w:ascii="Tahoma" w:hAnsi="Tahoma" w:cs="Tahoma"/>
          <w:sz w:val="22"/>
          <w:szCs w:val="22"/>
        </w:rPr>
        <w:t>Many companies did however; indicate the implementation of new or upgraded OHS / risk management systems and or training courses during the reporting period, which should see a positive flow-on effect in subsequent periods.</w:t>
      </w:r>
    </w:p>
    <w:p w:rsidR="000005CA" w:rsidRDefault="00B92AF2" w:rsidP="00B75A19">
      <w:pPr>
        <w:pStyle w:val="BodyText"/>
        <w:numPr>
          <w:ilvl w:val="0"/>
          <w:numId w:val="18"/>
        </w:numPr>
        <w:rPr>
          <w:rFonts w:ascii="Tahoma" w:hAnsi="Tahoma" w:cs="Tahoma"/>
          <w:sz w:val="22"/>
          <w:szCs w:val="22"/>
        </w:rPr>
      </w:pPr>
      <w:r>
        <w:rPr>
          <w:rFonts w:ascii="Tahoma" w:hAnsi="Tahoma" w:cs="Tahoma"/>
          <w:sz w:val="22"/>
          <w:szCs w:val="22"/>
        </w:rPr>
        <w:t xml:space="preserve">It should be noted that these responses are via free test and some companies see different initiatives as positive indicators.  </w:t>
      </w:r>
    </w:p>
    <w:p w:rsidR="00520FED" w:rsidRPr="00B75A19" w:rsidRDefault="00520FED" w:rsidP="00B75A19">
      <w:pPr>
        <w:pStyle w:val="BodyText"/>
        <w:numPr>
          <w:ilvl w:val="0"/>
          <w:numId w:val="18"/>
        </w:numPr>
        <w:rPr>
          <w:rFonts w:ascii="Tahoma" w:hAnsi="Tahoma" w:cs="Tahoma"/>
          <w:sz w:val="22"/>
          <w:szCs w:val="22"/>
        </w:rPr>
      </w:pPr>
      <w:r w:rsidRPr="00B75A19">
        <w:rPr>
          <w:rFonts w:ascii="Tahoma" w:hAnsi="Tahoma" w:cs="Tahoma"/>
          <w:sz w:val="22"/>
          <w:szCs w:val="22"/>
        </w:rPr>
        <w:br w:type="page"/>
      </w:r>
    </w:p>
    <w:p w:rsidR="001A2CDB" w:rsidRPr="001A2CDB" w:rsidRDefault="001A2CDB" w:rsidP="000C224A">
      <w:pPr>
        <w:pStyle w:val="Heading1"/>
      </w:pPr>
      <w:bookmarkStart w:id="22" w:name="_Toc294789920"/>
      <w:r w:rsidRPr="001A2CDB">
        <w:lastRenderedPageBreak/>
        <w:t>Glossary</w:t>
      </w:r>
      <w:bookmarkEnd w:id="22"/>
    </w:p>
    <w:p w:rsidR="00DE0792" w:rsidRDefault="00DE0792" w:rsidP="00DE0792">
      <w:pPr>
        <w:spacing w:before="100" w:beforeAutospacing="1" w:after="120"/>
        <w:rPr>
          <w:rFonts w:ascii="Tahoma" w:hAnsi="Tahoma" w:cs="Tahoma"/>
          <w:sz w:val="22"/>
          <w:szCs w:val="22"/>
        </w:rPr>
      </w:pPr>
      <w:r w:rsidRPr="003A038E">
        <w:rPr>
          <w:rStyle w:val="Heading4Char"/>
          <w:rFonts w:ascii="Tahoma" w:hAnsi="Tahoma" w:cs="Tahoma"/>
          <w:color w:val="auto"/>
          <w:sz w:val="22"/>
          <w:szCs w:val="22"/>
        </w:rPr>
        <w:t>Arithmetic mean (average)</w:t>
      </w:r>
      <w:r w:rsidRPr="00BC6CA9">
        <w:rPr>
          <w:rFonts w:ascii="Tahoma" w:hAnsi="Tahoma" w:cs="Tahoma"/>
          <w:sz w:val="22"/>
          <w:szCs w:val="22"/>
        </w:rPr>
        <w:t xml:space="preserve"> - The </w:t>
      </w:r>
      <w:r>
        <w:rPr>
          <w:rFonts w:ascii="Tahoma" w:hAnsi="Tahoma" w:cs="Tahoma"/>
          <w:sz w:val="22"/>
          <w:szCs w:val="22"/>
        </w:rPr>
        <w:t>mean</w:t>
      </w:r>
      <w:r w:rsidRPr="00BC6CA9">
        <w:rPr>
          <w:rFonts w:ascii="Tahoma" w:hAnsi="Tahoma" w:cs="Tahoma"/>
          <w:sz w:val="22"/>
          <w:szCs w:val="22"/>
        </w:rPr>
        <w:t xml:space="preserve"> is the sum of all the scores divided by the number of scores.</w:t>
      </w:r>
    </w:p>
    <w:p w:rsidR="00DE0792" w:rsidRDefault="00DE0792" w:rsidP="00DE0792">
      <w:pPr>
        <w:spacing w:before="100" w:beforeAutospacing="1" w:after="120"/>
        <w:rPr>
          <w:rFonts w:ascii="Tahoma" w:hAnsi="Tahoma" w:cs="Tahoma"/>
          <w:sz w:val="22"/>
          <w:szCs w:val="22"/>
        </w:rPr>
      </w:pPr>
      <w:r w:rsidRPr="003A038E">
        <w:rPr>
          <w:rStyle w:val="Heading4Char"/>
          <w:rFonts w:ascii="Tahoma" w:hAnsi="Tahoma" w:cs="Tahoma"/>
          <w:color w:val="auto"/>
          <w:sz w:val="22"/>
          <w:szCs w:val="22"/>
        </w:rPr>
        <w:t>Frequency rate</w:t>
      </w:r>
      <w:r w:rsidRPr="003A038E">
        <w:rPr>
          <w:rStyle w:val="Heading4Char"/>
        </w:rPr>
        <w:t xml:space="preserve"> </w:t>
      </w:r>
      <w:r w:rsidRPr="00BC6CA9">
        <w:rPr>
          <w:rFonts w:ascii="Tahoma" w:hAnsi="Tahoma" w:cs="Tahoma"/>
          <w:sz w:val="22"/>
          <w:szCs w:val="22"/>
        </w:rPr>
        <w:t>- Frequency rates are calculated as follows:</w:t>
      </w:r>
    </w:p>
    <w:p w:rsidR="00E55983" w:rsidRDefault="00E55983" w:rsidP="00DE0792">
      <w:pPr>
        <w:spacing w:before="100" w:beforeAutospacing="1" w:after="120"/>
        <w:rPr>
          <w:rFonts w:ascii="Tahoma" w:hAnsi="Tahoma" w:cs="Tahoma"/>
          <w:sz w:val="22"/>
          <w:szCs w:val="22"/>
        </w:rPr>
      </w:pPr>
      <w:r w:rsidRPr="00E55983">
        <w:rPr>
          <w:rFonts w:ascii="Tahoma" w:hAnsi="Tahoma" w:cs="Tahoma"/>
          <w:noProof/>
          <w:sz w:val="22"/>
          <w:szCs w:val="22"/>
        </w:rPr>
        <w:drawing>
          <wp:anchor distT="0" distB="0" distL="114300" distR="114300" simplePos="0" relativeHeight="251659264" behindDoc="0" locked="0" layoutInCell="1" allowOverlap="1">
            <wp:simplePos x="0" y="0"/>
            <wp:positionH relativeFrom="column">
              <wp:posOffset>15240</wp:posOffset>
            </wp:positionH>
            <wp:positionV relativeFrom="paragraph">
              <wp:posOffset>121920</wp:posOffset>
            </wp:positionV>
            <wp:extent cx="3413125" cy="457200"/>
            <wp:effectExtent l="19050" t="0" r="0" b="0"/>
            <wp:wrapSquare wrapText="bothSides"/>
            <wp:docPr id="3" name="Picture 8" descr="Formula for Frequency Rate showing number of incidences divided by number of hours worked, times one million h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3413125" cy="457200"/>
                    </a:xfrm>
                    <a:prstGeom prst="rect">
                      <a:avLst/>
                    </a:prstGeom>
                    <a:noFill/>
                    <a:ln w="9525">
                      <a:noFill/>
                      <a:miter lim="800000"/>
                      <a:headEnd/>
                      <a:tailEnd/>
                    </a:ln>
                  </pic:spPr>
                </pic:pic>
              </a:graphicData>
            </a:graphic>
          </wp:anchor>
        </w:drawing>
      </w:r>
    </w:p>
    <w:p w:rsidR="00E55983" w:rsidRPr="00BC6CA9" w:rsidRDefault="00E55983" w:rsidP="00DE0792">
      <w:pPr>
        <w:spacing w:before="100" w:beforeAutospacing="1" w:after="120"/>
        <w:rPr>
          <w:rFonts w:ascii="Tahoma" w:hAnsi="Tahoma" w:cs="Tahoma"/>
          <w:sz w:val="22"/>
          <w:szCs w:val="22"/>
        </w:rPr>
      </w:pPr>
    </w:p>
    <w:p w:rsidR="00DE0792" w:rsidRPr="003A038E" w:rsidRDefault="00DE0792" w:rsidP="00DE0792">
      <w:pPr>
        <w:spacing w:before="100" w:beforeAutospacing="1" w:after="120"/>
        <w:rPr>
          <w:rStyle w:val="Heading4Char"/>
          <w:rFonts w:ascii="Tahoma" w:hAnsi="Tahoma" w:cs="Tahoma"/>
          <w:color w:val="auto"/>
          <w:sz w:val="22"/>
          <w:szCs w:val="22"/>
        </w:rPr>
      </w:pPr>
      <w:r w:rsidRPr="003A038E">
        <w:rPr>
          <w:rStyle w:val="Heading4Char"/>
          <w:rFonts w:ascii="Tahoma" w:hAnsi="Tahoma" w:cs="Tahoma"/>
          <w:color w:val="auto"/>
          <w:sz w:val="22"/>
          <w:szCs w:val="22"/>
        </w:rPr>
        <w:t>High risk construction work hazards –</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where there is a risk of a person falling two metres or more</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on telecommunications towers</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involving demolition</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involving the disturbance or removal of asbestos</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involving structural alterations that require temporary support to prevent collapse</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involving a confined space</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involving excavation to a depth greater than 1.5 metres</w:t>
      </w:r>
    </w:p>
    <w:p w:rsidR="00DE0792" w:rsidRDefault="00DE0792" w:rsidP="00DE0792">
      <w:pPr>
        <w:numPr>
          <w:ilvl w:val="0"/>
          <w:numId w:val="20"/>
        </w:numPr>
        <w:rPr>
          <w:rFonts w:ascii="Tahoma" w:hAnsi="Tahoma" w:cs="Tahoma"/>
          <w:sz w:val="22"/>
          <w:szCs w:val="22"/>
        </w:rPr>
      </w:pPr>
      <w:r>
        <w:rPr>
          <w:rFonts w:ascii="Tahoma" w:hAnsi="Tahoma" w:cs="Tahoma"/>
          <w:sz w:val="22"/>
          <w:szCs w:val="22"/>
        </w:rPr>
        <w:t>The construction of tunnels</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involving the use of explosives</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on or near pressurised gas distribution mains and consumer piping</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on or near chemical, fuel or refrigerant lines</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on or near energised electrical installations and services</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in an area that may have a contaminated or flammable atmosphere</w:t>
      </w:r>
    </w:p>
    <w:p w:rsidR="00DE0792" w:rsidRDefault="00DE0792" w:rsidP="00DE0792">
      <w:pPr>
        <w:numPr>
          <w:ilvl w:val="0"/>
          <w:numId w:val="20"/>
        </w:numPr>
        <w:rPr>
          <w:rFonts w:ascii="Tahoma" w:hAnsi="Tahoma" w:cs="Tahoma"/>
          <w:sz w:val="22"/>
          <w:szCs w:val="22"/>
        </w:rPr>
      </w:pPr>
      <w:r>
        <w:rPr>
          <w:rFonts w:ascii="Tahoma" w:hAnsi="Tahoma" w:cs="Tahoma"/>
          <w:sz w:val="22"/>
          <w:szCs w:val="22"/>
        </w:rPr>
        <w:t>Tilt-up and precast concrete construction work</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on or adjacent to roadways or railways used by road or rail traffic</w:t>
      </w:r>
    </w:p>
    <w:p w:rsidR="00DE0792" w:rsidRDefault="00DE0792" w:rsidP="00DE0792">
      <w:pPr>
        <w:numPr>
          <w:ilvl w:val="0"/>
          <w:numId w:val="20"/>
        </w:numPr>
        <w:rPr>
          <w:rFonts w:ascii="Tahoma" w:hAnsi="Tahoma" w:cs="Tahoma"/>
          <w:sz w:val="22"/>
          <w:szCs w:val="22"/>
        </w:rPr>
      </w:pPr>
      <w:r>
        <w:rPr>
          <w:rFonts w:ascii="Tahoma" w:hAnsi="Tahoma" w:cs="Tahoma"/>
          <w:sz w:val="22"/>
          <w:szCs w:val="22"/>
        </w:rPr>
        <w:t>Work on construction sites where there is any movement of powered mobile plant</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in an area where there are artificial extremes of temperature</w:t>
      </w:r>
    </w:p>
    <w:p w:rsidR="00DE0792" w:rsidRDefault="00DE0792" w:rsidP="00DE0792">
      <w:pPr>
        <w:numPr>
          <w:ilvl w:val="0"/>
          <w:numId w:val="20"/>
        </w:numPr>
        <w:rPr>
          <w:rFonts w:ascii="Tahoma" w:hAnsi="Tahoma" w:cs="Tahoma"/>
          <w:sz w:val="22"/>
          <w:szCs w:val="22"/>
        </w:rPr>
      </w:pPr>
      <w:r>
        <w:rPr>
          <w:rFonts w:ascii="Tahoma" w:hAnsi="Tahoma" w:cs="Tahoma"/>
          <w:sz w:val="22"/>
          <w:szCs w:val="22"/>
        </w:rPr>
        <w:t>Construction work in, over or adjacent to water or other liquids where there is a risk of drowning</w:t>
      </w:r>
    </w:p>
    <w:p w:rsidR="00DE0792" w:rsidRPr="00AD143C" w:rsidRDefault="00DE0792" w:rsidP="00DE0792">
      <w:pPr>
        <w:numPr>
          <w:ilvl w:val="0"/>
          <w:numId w:val="20"/>
        </w:numPr>
        <w:rPr>
          <w:rFonts w:ascii="Tahoma" w:hAnsi="Tahoma" w:cs="Tahoma"/>
          <w:sz w:val="22"/>
          <w:szCs w:val="22"/>
        </w:rPr>
      </w:pPr>
      <w:r>
        <w:rPr>
          <w:rFonts w:ascii="Tahoma" w:hAnsi="Tahoma" w:cs="Tahoma"/>
          <w:sz w:val="22"/>
          <w:szCs w:val="22"/>
        </w:rPr>
        <w:t>Construction work involving diving</w:t>
      </w:r>
    </w:p>
    <w:p w:rsidR="00DE0792" w:rsidRPr="00DE0792" w:rsidRDefault="00DE0792" w:rsidP="00DE0792">
      <w:pPr>
        <w:spacing w:before="100" w:beforeAutospacing="1" w:after="120"/>
        <w:rPr>
          <w:rFonts w:ascii="Tahoma" w:hAnsi="Tahoma" w:cs="Tahoma"/>
          <w:sz w:val="22"/>
          <w:szCs w:val="22"/>
        </w:rPr>
      </w:pPr>
      <w:r w:rsidRPr="003A038E">
        <w:rPr>
          <w:rStyle w:val="Heading4Char"/>
          <w:rFonts w:ascii="Tahoma" w:hAnsi="Tahoma" w:cs="Tahoma"/>
          <w:color w:val="auto"/>
          <w:sz w:val="22"/>
          <w:szCs w:val="22"/>
        </w:rPr>
        <w:t xml:space="preserve">Incident </w:t>
      </w:r>
      <w:r w:rsidRPr="00DE0792">
        <w:rPr>
          <w:rFonts w:ascii="Tahoma" w:hAnsi="Tahoma" w:cs="Tahoma"/>
          <w:sz w:val="22"/>
          <w:szCs w:val="22"/>
        </w:rPr>
        <w:t xml:space="preserve">- An incident resulting in an injury that is required to be notified by the OHS legislative requirement for </w:t>
      </w:r>
      <w:r w:rsidRPr="00DE0792">
        <w:rPr>
          <w:rFonts w:ascii="Tahoma" w:hAnsi="Tahoma" w:cs="Tahoma"/>
          <w:sz w:val="22"/>
          <w:szCs w:val="22"/>
        </w:rPr>
        <w:lastRenderedPageBreak/>
        <w:t>notifiable incidents in the jurisdiction in which the project is being undertaken.</w:t>
      </w:r>
    </w:p>
    <w:p w:rsidR="00DE0792" w:rsidRPr="00BC6CA9" w:rsidRDefault="00DE0792" w:rsidP="00DE0792">
      <w:pPr>
        <w:spacing w:before="100" w:beforeAutospacing="1" w:after="120"/>
        <w:rPr>
          <w:rFonts w:ascii="Tahoma" w:hAnsi="Tahoma" w:cs="Tahoma"/>
          <w:sz w:val="22"/>
          <w:szCs w:val="22"/>
        </w:rPr>
      </w:pPr>
      <w:r w:rsidRPr="003A038E">
        <w:rPr>
          <w:rStyle w:val="Heading4Char"/>
          <w:rFonts w:ascii="Tahoma" w:hAnsi="Tahoma" w:cs="Tahoma"/>
          <w:color w:val="auto"/>
          <w:sz w:val="22"/>
          <w:szCs w:val="22"/>
        </w:rPr>
        <w:t xml:space="preserve">LTIFR (Lost Time Injury Frequency Rate) </w:t>
      </w:r>
      <w:r w:rsidRPr="00BC6CA9">
        <w:rPr>
          <w:rFonts w:ascii="Tahoma" w:hAnsi="Tahoma" w:cs="Tahoma"/>
          <w:sz w:val="22"/>
          <w:szCs w:val="22"/>
        </w:rPr>
        <w:t xml:space="preserve">- The number of occurrences of lost time injury </w:t>
      </w:r>
      <w:r>
        <w:rPr>
          <w:rFonts w:ascii="Tahoma" w:hAnsi="Tahoma" w:cs="Tahoma"/>
          <w:sz w:val="22"/>
          <w:szCs w:val="22"/>
        </w:rPr>
        <w:t>that result in a fatality, a permanent disability or time lost from work of one day shift or more in the period. The number of hours worked refers to the total number of hours worked by all workers in the period, including overtime and extra shifts.</w:t>
      </w:r>
    </w:p>
    <w:p w:rsidR="007C6FCC" w:rsidRDefault="007C6FCC" w:rsidP="00DE0792">
      <w:pPr>
        <w:spacing w:before="100" w:beforeAutospacing="1" w:after="120"/>
        <w:rPr>
          <w:rStyle w:val="Heading4Char"/>
          <w:rFonts w:ascii="Tahoma" w:hAnsi="Tahoma" w:cs="Tahoma"/>
          <w:color w:val="auto"/>
          <w:sz w:val="22"/>
          <w:szCs w:val="22"/>
        </w:rPr>
      </w:pPr>
    </w:p>
    <w:p w:rsidR="00DE0792" w:rsidRPr="001608D5" w:rsidRDefault="00DE0792" w:rsidP="00DE0792">
      <w:pPr>
        <w:spacing w:before="100" w:beforeAutospacing="1" w:after="120"/>
        <w:rPr>
          <w:rFonts w:ascii="Tahoma" w:hAnsi="Tahoma" w:cs="Tahoma"/>
          <w:b/>
          <w:sz w:val="22"/>
          <w:szCs w:val="22"/>
        </w:rPr>
      </w:pPr>
      <w:r w:rsidRPr="003A038E">
        <w:rPr>
          <w:rStyle w:val="Heading4Char"/>
          <w:rFonts w:ascii="Tahoma" w:hAnsi="Tahoma" w:cs="Tahoma"/>
          <w:color w:val="auto"/>
          <w:sz w:val="22"/>
          <w:szCs w:val="22"/>
        </w:rPr>
        <w:t>Mechanism of incident classification</w:t>
      </w:r>
      <w:r w:rsidRPr="001608D5">
        <w:rPr>
          <w:rFonts w:ascii="Tahoma" w:hAnsi="Tahoma" w:cs="Tahoma"/>
          <w:b/>
          <w:sz w:val="22"/>
          <w:szCs w:val="22"/>
        </w:rPr>
        <w:t xml:space="preserve"> </w:t>
      </w:r>
      <w:r w:rsidRPr="001608D5">
        <w:rPr>
          <w:rFonts w:ascii="Tahoma" w:hAnsi="Tahoma" w:cs="Tahoma"/>
          <w:sz w:val="22"/>
          <w:szCs w:val="22"/>
        </w:rPr>
        <w:t>–</w:t>
      </w:r>
    </w:p>
    <w:p w:rsidR="00DE0792" w:rsidRPr="004F0559" w:rsidRDefault="00DE0792" w:rsidP="00DE0792">
      <w:pPr>
        <w:spacing w:before="100" w:beforeAutospacing="1" w:after="120"/>
        <w:rPr>
          <w:rFonts w:ascii="Tahoma" w:hAnsi="Tahoma" w:cs="Tahoma"/>
          <w:sz w:val="22"/>
          <w:szCs w:val="22"/>
        </w:rPr>
      </w:pPr>
      <w:r w:rsidRPr="004F0559">
        <w:rPr>
          <w:rFonts w:ascii="Tahoma" w:hAnsi="Tahoma" w:cs="Tahoma"/>
          <w:sz w:val="22"/>
          <w:szCs w:val="22"/>
        </w:rPr>
        <w:t>Major Groups</w:t>
      </w:r>
    </w:p>
    <w:p w:rsidR="00DE0792" w:rsidRDefault="00DE0792" w:rsidP="00DE0792">
      <w:pPr>
        <w:numPr>
          <w:ilvl w:val="0"/>
          <w:numId w:val="21"/>
        </w:numPr>
        <w:rPr>
          <w:rFonts w:ascii="Tahoma" w:hAnsi="Tahoma" w:cs="Tahoma"/>
          <w:sz w:val="22"/>
          <w:szCs w:val="22"/>
        </w:rPr>
      </w:pPr>
      <w:r>
        <w:rPr>
          <w:rFonts w:ascii="Tahoma" w:hAnsi="Tahoma" w:cs="Tahoma"/>
          <w:sz w:val="22"/>
          <w:szCs w:val="22"/>
        </w:rPr>
        <w:t>Falls, trips and slips of a person</w:t>
      </w:r>
    </w:p>
    <w:p w:rsidR="00DE0792" w:rsidRPr="006223E0" w:rsidRDefault="00DE0792" w:rsidP="00DE0792">
      <w:pPr>
        <w:numPr>
          <w:ilvl w:val="0"/>
          <w:numId w:val="21"/>
        </w:numPr>
        <w:rPr>
          <w:rFonts w:ascii="Tahoma" w:hAnsi="Tahoma" w:cs="Tahoma"/>
          <w:sz w:val="22"/>
          <w:szCs w:val="22"/>
        </w:rPr>
      </w:pPr>
      <w:r w:rsidRPr="006223E0">
        <w:rPr>
          <w:rFonts w:ascii="Tahoma" w:hAnsi="Tahoma" w:cs="Tahoma"/>
          <w:sz w:val="22"/>
          <w:szCs w:val="22"/>
        </w:rPr>
        <w:t xml:space="preserve">Hitting objects with </w:t>
      </w:r>
      <w:r>
        <w:rPr>
          <w:rFonts w:ascii="Tahoma" w:hAnsi="Tahoma" w:cs="Tahoma"/>
          <w:sz w:val="22"/>
          <w:szCs w:val="22"/>
        </w:rPr>
        <w:t xml:space="preserve">a </w:t>
      </w:r>
      <w:r w:rsidRPr="006223E0">
        <w:rPr>
          <w:rFonts w:ascii="Tahoma" w:hAnsi="Tahoma" w:cs="Tahoma"/>
          <w:sz w:val="22"/>
          <w:szCs w:val="22"/>
        </w:rPr>
        <w:t>part of the body</w:t>
      </w:r>
    </w:p>
    <w:p w:rsidR="00DE0792" w:rsidRPr="006223E0" w:rsidRDefault="00DE0792" w:rsidP="00DE0792">
      <w:pPr>
        <w:numPr>
          <w:ilvl w:val="0"/>
          <w:numId w:val="21"/>
        </w:numPr>
        <w:tabs>
          <w:tab w:val="clear" w:pos="720"/>
          <w:tab w:val="left" w:pos="709"/>
        </w:tabs>
        <w:rPr>
          <w:rFonts w:ascii="Tahoma" w:hAnsi="Tahoma" w:cs="Tahoma"/>
          <w:sz w:val="22"/>
          <w:szCs w:val="22"/>
        </w:rPr>
      </w:pPr>
      <w:r w:rsidRPr="006223E0">
        <w:rPr>
          <w:rFonts w:ascii="Tahoma" w:hAnsi="Tahoma" w:cs="Tahoma"/>
          <w:sz w:val="22"/>
          <w:szCs w:val="22"/>
        </w:rPr>
        <w:t>Being hit by moving objects</w:t>
      </w:r>
    </w:p>
    <w:p w:rsidR="00DE0792" w:rsidRPr="006223E0" w:rsidRDefault="00DE0792" w:rsidP="00DE0792">
      <w:pPr>
        <w:numPr>
          <w:ilvl w:val="0"/>
          <w:numId w:val="21"/>
        </w:numPr>
        <w:rPr>
          <w:rFonts w:ascii="Tahoma" w:hAnsi="Tahoma" w:cs="Tahoma"/>
          <w:sz w:val="22"/>
          <w:szCs w:val="22"/>
        </w:rPr>
      </w:pPr>
      <w:r w:rsidRPr="006223E0">
        <w:rPr>
          <w:rFonts w:ascii="Tahoma" w:hAnsi="Tahoma" w:cs="Tahoma"/>
          <w:sz w:val="22"/>
          <w:szCs w:val="22"/>
        </w:rPr>
        <w:t>Sound and pressure</w:t>
      </w:r>
    </w:p>
    <w:p w:rsidR="00DE0792" w:rsidRPr="006223E0" w:rsidRDefault="00DE0792" w:rsidP="00DE0792">
      <w:pPr>
        <w:numPr>
          <w:ilvl w:val="0"/>
          <w:numId w:val="21"/>
        </w:numPr>
        <w:rPr>
          <w:rFonts w:ascii="Tahoma" w:hAnsi="Tahoma" w:cs="Tahoma"/>
          <w:sz w:val="22"/>
          <w:szCs w:val="22"/>
        </w:rPr>
      </w:pPr>
      <w:r w:rsidRPr="006223E0">
        <w:rPr>
          <w:rFonts w:ascii="Tahoma" w:hAnsi="Tahoma" w:cs="Tahoma"/>
          <w:sz w:val="22"/>
          <w:szCs w:val="22"/>
        </w:rPr>
        <w:t>Body stressing</w:t>
      </w:r>
    </w:p>
    <w:p w:rsidR="00DE0792" w:rsidRPr="006223E0" w:rsidRDefault="00DE0792" w:rsidP="00DE0792">
      <w:pPr>
        <w:numPr>
          <w:ilvl w:val="0"/>
          <w:numId w:val="21"/>
        </w:numPr>
        <w:rPr>
          <w:rFonts w:ascii="Tahoma" w:hAnsi="Tahoma" w:cs="Tahoma"/>
          <w:sz w:val="22"/>
          <w:szCs w:val="22"/>
        </w:rPr>
      </w:pPr>
      <w:r w:rsidRPr="006223E0">
        <w:rPr>
          <w:rFonts w:ascii="Tahoma" w:hAnsi="Tahoma" w:cs="Tahoma"/>
          <w:sz w:val="22"/>
          <w:szCs w:val="22"/>
        </w:rPr>
        <w:t>Heat, electricity and other environmental factors</w:t>
      </w:r>
    </w:p>
    <w:p w:rsidR="00DE0792" w:rsidRPr="006223E0" w:rsidRDefault="00DE0792" w:rsidP="00DE0792">
      <w:pPr>
        <w:numPr>
          <w:ilvl w:val="0"/>
          <w:numId w:val="21"/>
        </w:numPr>
        <w:rPr>
          <w:rFonts w:ascii="Tahoma" w:hAnsi="Tahoma" w:cs="Tahoma"/>
          <w:sz w:val="22"/>
          <w:szCs w:val="22"/>
        </w:rPr>
      </w:pPr>
      <w:r w:rsidRPr="006223E0">
        <w:rPr>
          <w:rFonts w:ascii="Tahoma" w:hAnsi="Tahoma" w:cs="Tahoma"/>
          <w:sz w:val="22"/>
          <w:szCs w:val="22"/>
        </w:rPr>
        <w:t>Chemicals and other substances</w:t>
      </w:r>
    </w:p>
    <w:p w:rsidR="00DE0792" w:rsidRPr="006223E0" w:rsidRDefault="00DE0792" w:rsidP="00DE0792">
      <w:pPr>
        <w:numPr>
          <w:ilvl w:val="0"/>
          <w:numId w:val="21"/>
        </w:numPr>
        <w:rPr>
          <w:rFonts w:ascii="Tahoma" w:hAnsi="Tahoma" w:cs="Tahoma"/>
          <w:sz w:val="22"/>
          <w:szCs w:val="22"/>
        </w:rPr>
      </w:pPr>
      <w:r w:rsidRPr="006223E0">
        <w:rPr>
          <w:rFonts w:ascii="Tahoma" w:hAnsi="Tahoma" w:cs="Tahoma"/>
          <w:sz w:val="22"/>
          <w:szCs w:val="22"/>
        </w:rPr>
        <w:t>Biological factors</w:t>
      </w:r>
    </w:p>
    <w:p w:rsidR="00DE0792" w:rsidRPr="006223E0" w:rsidRDefault="00DE0792" w:rsidP="00DE0792">
      <w:pPr>
        <w:numPr>
          <w:ilvl w:val="0"/>
          <w:numId w:val="21"/>
        </w:numPr>
        <w:rPr>
          <w:rFonts w:ascii="Tahoma" w:hAnsi="Tahoma" w:cs="Tahoma"/>
          <w:sz w:val="22"/>
          <w:szCs w:val="22"/>
        </w:rPr>
      </w:pPr>
      <w:r w:rsidRPr="006223E0">
        <w:rPr>
          <w:rFonts w:ascii="Tahoma" w:hAnsi="Tahoma" w:cs="Tahoma"/>
          <w:sz w:val="22"/>
          <w:szCs w:val="22"/>
        </w:rPr>
        <w:t>Mental stress</w:t>
      </w:r>
    </w:p>
    <w:p w:rsidR="00DE0792" w:rsidRPr="006223E0" w:rsidRDefault="00DE0792" w:rsidP="00DE0792">
      <w:pPr>
        <w:numPr>
          <w:ilvl w:val="0"/>
          <w:numId w:val="21"/>
        </w:numPr>
        <w:spacing w:after="120"/>
        <w:ind w:left="714" w:hanging="357"/>
        <w:rPr>
          <w:rFonts w:ascii="Tahoma" w:hAnsi="Tahoma" w:cs="Tahoma"/>
          <w:sz w:val="22"/>
          <w:szCs w:val="22"/>
        </w:rPr>
      </w:pPr>
      <w:r w:rsidRPr="006223E0">
        <w:rPr>
          <w:rFonts w:ascii="Tahoma" w:hAnsi="Tahoma" w:cs="Tahoma"/>
          <w:sz w:val="22"/>
          <w:szCs w:val="22"/>
        </w:rPr>
        <w:t>Vehicle incidents and other</w:t>
      </w:r>
    </w:p>
    <w:p w:rsidR="005E1982" w:rsidRPr="001F2836" w:rsidRDefault="005E1982" w:rsidP="005E1982">
      <w:pPr>
        <w:spacing w:before="100" w:beforeAutospacing="1" w:after="120"/>
        <w:rPr>
          <w:rFonts w:ascii="Tahoma" w:hAnsi="Tahoma" w:cs="Tahoma"/>
          <w:sz w:val="22"/>
          <w:szCs w:val="22"/>
        </w:rPr>
      </w:pPr>
      <w:r w:rsidRPr="003A038E">
        <w:rPr>
          <w:rStyle w:val="Heading4Char"/>
          <w:rFonts w:ascii="Tahoma" w:hAnsi="Tahoma" w:cs="Tahoma"/>
          <w:color w:val="auto"/>
          <w:sz w:val="22"/>
          <w:szCs w:val="22"/>
        </w:rPr>
        <w:t xml:space="preserve">Median </w:t>
      </w:r>
      <w:r w:rsidRPr="001F2836">
        <w:rPr>
          <w:rFonts w:ascii="Tahoma" w:hAnsi="Tahoma" w:cs="Tahoma"/>
          <w:sz w:val="22"/>
          <w:szCs w:val="22"/>
        </w:rPr>
        <w:t>- The median is the middle of a distribution; half the scores are above the median and half are below the median. If the number of values in the data set is even, then the median is the average of the two middle values. The median is less sensitive to extreme scores than the average</w:t>
      </w:r>
      <w:r>
        <w:rPr>
          <w:rFonts w:ascii="Tahoma" w:hAnsi="Tahoma" w:cs="Tahoma"/>
          <w:sz w:val="22"/>
          <w:szCs w:val="22"/>
        </w:rPr>
        <w:t>.</w:t>
      </w:r>
    </w:p>
    <w:p w:rsidR="00DE0792" w:rsidRDefault="00DE0792" w:rsidP="00DE0792">
      <w:pPr>
        <w:spacing w:before="100" w:beforeAutospacing="1" w:after="120"/>
        <w:rPr>
          <w:rFonts w:ascii="Tahoma" w:hAnsi="Tahoma" w:cs="Tahoma"/>
          <w:sz w:val="22"/>
          <w:szCs w:val="22"/>
        </w:rPr>
      </w:pPr>
      <w:r w:rsidRPr="003A038E">
        <w:rPr>
          <w:rStyle w:val="Heading4Char"/>
          <w:rFonts w:ascii="Tahoma" w:hAnsi="Tahoma" w:cs="Tahoma"/>
          <w:color w:val="auto"/>
          <w:sz w:val="22"/>
          <w:szCs w:val="22"/>
        </w:rPr>
        <w:t>MTIFR (Medically Treated Injury Frequency Rate)</w:t>
      </w:r>
      <w:r>
        <w:rPr>
          <w:rFonts w:ascii="Tahoma" w:hAnsi="Tahoma" w:cs="Tahoma"/>
        </w:rPr>
        <w:t xml:space="preserve"> </w:t>
      </w:r>
      <w:r w:rsidRPr="00CD7A78">
        <w:rPr>
          <w:rFonts w:ascii="Tahoma" w:hAnsi="Tahoma" w:cs="Tahoma"/>
          <w:sz w:val="22"/>
          <w:szCs w:val="22"/>
        </w:rPr>
        <w:t xml:space="preserve">- The number of occurrences of </w:t>
      </w:r>
      <w:r>
        <w:rPr>
          <w:rFonts w:ascii="Tahoma" w:hAnsi="Tahoma" w:cs="Tahoma"/>
          <w:sz w:val="22"/>
          <w:szCs w:val="22"/>
        </w:rPr>
        <w:t>treatment by, or under the order of, a qualified medical practitioner, or any injury that could be considered as being one that would normally be treated by a medical practitioner. The number of hours worked refers to the total number of hours worked by all workers in the period, including overtime and extra shifts.</w:t>
      </w:r>
    </w:p>
    <w:p w:rsidR="00DE0792" w:rsidRDefault="00DE0792" w:rsidP="00DE0792">
      <w:pPr>
        <w:spacing w:before="100" w:beforeAutospacing="1" w:after="120"/>
        <w:rPr>
          <w:rFonts w:ascii="Tahoma" w:hAnsi="Tahoma" w:cs="Tahoma"/>
          <w:sz w:val="22"/>
          <w:szCs w:val="22"/>
        </w:rPr>
      </w:pPr>
      <w:r w:rsidRPr="003A038E">
        <w:rPr>
          <w:rStyle w:val="Heading4Char"/>
          <w:rFonts w:ascii="Tahoma" w:hAnsi="Tahoma" w:cs="Tahoma"/>
          <w:color w:val="auto"/>
          <w:sz w:val="22"/>
          <w:szCs w:val="22"/>
        </w:rPr>
        <w:t>Non-Scheme projects</w:t>
      </w:r>
      <w:r>
        <w:rPr>
          <w:rFonts w:ascii="Tahoma" w:hAnsi="Tahoma" w:cs="Tahoma"/>
          <w:sz w:val="22"/>
          <w:szCs w:val="22"/>
        </w:rPr>
        <w:t xml:space="preserve"> – Projects where the accredited contractor is the head contractor, the value of building work is $3 million or more, and the project is not a Scheme project.</w:t>
      </w:r>
    </w:p>
    <w:p w:rsidR="004B3A64" w:rsidRDefault="004B3A64" w:rsidP="00DE0792">
      <w:pPr>
        <w:spacing w:before="100" w:beforeAutospacing="1" w:after="120"/>
        <w:rPr>
          <w:rFonts w:ascii="Tahoma" w:hAnsi="Tahoma" w:cs="Tahoma"/>
          <w:sz w:val="22"/>
          <w:szCs w:val="22"/>
        </w:rPr>
      </w:pPr>
      <w:r w:rsidRPr="004B3A64">
        <w:rPr>
          <w:rStyle w:val="Heading4Char"/>
          <w:rFonts w:ascii="Tahoma" w:hAnsi="Tahoma" w:cs="Tahoma"/>
          <w:color w:val="auto"/>
          <w:sz w:val="22"/>
          <w:szCs w:val="22"/>
        </w:rPr>
        <w:lastRenderedPageBreak/>
        <w:t>Scheme projects</w:t>
      </w:r>
      <w:r>
        <w:rPr>
          <w:rFonts w:ascii="Tahoma" w:hAnsi="Tahoma" w:cs="Tahoma"/>
          <w:sz w:val="22"/>
          <w:szCs w:val="22"/>
        </w:rPr>
        <w:t xml:space="preserve"> - </w:t>
      </w:r>
      <w:r w:rsidRPr="004B3A64">
        <w:rPr>
          <w:rFonts w:ascii="Tahoma" w:hAnsi="Tahoma" w:cs="Tahoma"/>
          <w:sz w:val="22"/>
          <w:szCs w:val="22"/>
        </w:rPr>
        <w:t>Projects that are directly funded by the Australian Government with a value of $3 million or more, plus, projects that are indirectly funded by the Australian Government where:</w:t>
      </w:r>
    </w:p>
    <w:p w:rsidR="00DE0792" w:rsidRPr="00731032" w:rsidRDefault="00DE0792" w:rsidP="00DE0792">
      <w:pPr>
        <w:numPr>
          <w:ilvl w:val="0"/>
          <w:numId w:val="19"/>
        </w:numPr>
        <w:spacing w:before="100" w:beforeAutospacing="1" w:after="120"/>
        <w:rPr>
          <w:rFonts w:ascii="Tahoma" w:hAnsi="Tahoma" w:cs="Tahoma"/>
          <w:sz w:val="22"/>
          <w:szCs w:val="22"/>
        </w:rPr>
      </w:pPr>
      <w:r w:rsidRPr="00731032">
        <w:rPr>
          <w:rFonts w:ascii="Tahoma" w:hAnsi="Tahoma" w:cs="Tahoma"/>
          <w:sz w:val="22"/>
          <w:szCs w:val="22"/>
        </w:rPr>
        <w:t>the value of the Australian Government contribution to the project is at least $5 million and represents at least 50</w:t>
      </w:r>
      <w:r>
        <w:rPr>
          <w:rFonts w:ascii="Tahoma" w:hAnsi="Tahoma" w:cs="Tahoma"/>
          <w:sz w:val="22"/>
          <w:szCs w:val="22"/>
        </w:rPr>
        <w:t> </w:t>
      </w:r>
      <w:r w:rsidRPr="00731032">
        <w:rPr>
          <w:rFonts w:ascii="Tahoma" w:hAnsi="Tahoma" w:cs="Tahoma"/>
          <w:sz w:val="22"/>
          <w:szCs w:val="22"/>
        </w:rPr>
        <w:t>per</w:t>
      </w:r>
      <w:r>
        <w:rPr>
          <w:rFonts w:ascii="Tahoma" w:hAnsi="Tahoma" w:cs="Tahoma"/>
          <w:sz w:val="22"/>
          <w:szCs w:val="22"/>
        </w:rPr>
        <w:t> </w:t>
      </w:r>
      <w:r w:rsidRPr="00731032">
        <w:rPr>
          <w:rFonts w:ascii="Tahoma" w:hAnsi="Tahoma" w:cs="Tahoma"/>
          <w:sz w:val="22"/>
          <w:szCs w:val="22"/>
        </w:rPr>
        <w:t xml:space="preserve">cent of the total construction project value; or </w:t>
      </w:r>
    </w:p>
    <w:p w:rsidR="00DE0792" w:rsidRPr="00731032" w:rsidRDefault="00DE0792" w:rsidP="00DE0792">
      <w:pPr>
        <w:numPr>
          <w:ilvl w:val="0"/>
          <w:numId w:val="19"/>
        </w:numPr>
        <w:spacing w:before="100" w:beforeAutospacing="1" w:after="120"/>
      </w:pPr>
      <w:r w:rsidRPr="00731032">
        <w:rPr>
          <w:rFonts w:ascii="Tahoma" w:hAnsi="Tahoma" w:cs="Tahoma"/>
          <w:sz w:val="22"/>
          <w:szCs w:val="22"/>
        </w:rPr>
        <w:t>the Australian Government contribution to a project is $10 million or more, irrespective of the proportion of Australian Government funding</w:t>
      </w:r>
      <w:r>
        <w:rPr>
          <w:rFonts w:ascii="Tahoma" w:hAnsi="Tahoma" w:cs="Tahoma"/>
          <w:sz w:val="22"/>
          <w:szCs w:val="22"/>
        </w:rPr>
        <w:t>.</w:t>
      </w:r>
    </w:p>
    <w:p w:rsidR="001A2CDB" w:rsidRPr="00DF1579" w:rsidRDefault="005E1982" w:rsidP="00DF1579">
      <w:pPr>
        <w:spacing w:before="100" w:beforeAutospacing="1" w:after="120"/>
        <w:rPr>
          <w:rFonts w:ascii="Tahoma" w:hAnsi="Tahoma" w:cs="Tahoma"/>
          <w:sz w:val="22"/>
          <w:szCs w:val="22"/>
        </w:rPr>
      </w:pPr>
      <w:r w:rsidRPr="003A038E">
        <w:rPr>
          <w:rStyle w:val="Heading4Char"/>
          <w:rFonts w:ascii="Tahoma" w:hAnsi="Tahoma" w:cs="Tahoma"/>
          <w:color w:val="auto"/>
          <w:sz w:val="22"/>
          <w:szCs w:val="22"/>
        </w:rPr>
        <w:t>Winsorized mean</w:t>
      </w:r>
      <w:r>
        <w:rPr>
          <w:rFonts w:ascii="Tahoma" w:hAnsi="Tahoma" w:cs="Tahoma"/>
          <w:sz w:val="22"/>
          <w:szCs w:val="22"/>
        </w:rPr>
        <w:t xml:space="preserve"> - </w:t>
      </w:r>
      <w:r w:rsidRPr="0063570B">
        <w:rPr>
          <w:rFonts w:ascii="Tahoma" w:hAnsi="Tahoma" w:cs="Tahoma"/>
          <w:sz w:val="22"/>
          <w:szCs w:val="22"/>
        </w:rPr>
        <w:t>involves the calculation of the mean after replacing given parts of a distribution</w:t>
      </w:r>
      <w:r>
        <w:rPr>
          <w:rFonts w:ascii="Tahoma" w:hAnsi="Tahoma" w:cs="Tahoma"/>
          <w:sz w:val="22"/>
          <w:szCs w:val="22"/>
        </w:rPr>
        <w:t xml:space="preserve"> a</w:t>
      </w:r>
      <w:r w:rsidRPr="0063570B">
        <w:rPr>
          <w:rFonts w:ascii="Tahoma" w:hAnsi="Tahoma" w:cs="Tahoma"/>
          <w:sz w:val="22"/>
          <w:szCs w:val="22"/>
        </w:rPr>
        <w:t xml:space="preserve">t the high and low end with the most extreme remaining values, typically </w:t>
      </w:r>
      <w:r>
        <w:rPr>
          <w:rFonts w:ascii="Tahoma" w:hAnsi="Tahoma" w:cs="Tahoma"/>
          <w:sz w:val="22"/>
          <w:szCs w:val="22"/>
        </w:rPr>
        <w:t>replacing</w:t>
      </w:r>
      <w:r w:rsidRPr="0063570B">
        <w:rPr>
          <w:rFonts w:ascii="Tahoma" w:hAnsi="Tahoma" w:cs="Tahoma"/>
          <w:sz w:val="22"/>
          <w:szCs w:val="22"/>
        </w:rPr>
        <w:t xml:space="preserve"> an equal amount of both</w:t>
      </w:r>
      <w:r>
        <w:rPr>
          <w:rFonts w:ascii="Tahoma" w:hAnsi="Tahoma" w:cs="Tahoma"/>
          <w:sz w:val="22"/>
          <w:szCs w:val="22"/>
        </w:rPr>
        <w:t xml:space="preserve"> ends. O</w:t>
      </w:r>
      <w:r w:rsidRPr="0063570B">
        <w:rPr>
          <w:rFonts w:ascii="Tahoma" w:hAnsi="Tahoma" w:cs="Tahoma"/>
          <w:sz w:val="22"/>
          <w:szCs w:val="22"/>
        </w:rPr>
        <w:t xml:space="preserve">ften </w:t>
      </w:r>
      <w:r>
        <w:rPr>
          <w:rFonts w:ascii="Tahoma" w:hAnsi="Tahoma" w:cs="Tahoma"/>
          <w:sz w:val="22"/>
          <w:szCs w:val="22"/>
        </w:rPr>
        <w:t>5 </w:t>
      </w:r>
      <w:r w:rsidRPr="0063570B">
        <w:rPr>
          <w:rFonts w:ascii="Tahoma" w:hAnsi="Tahoma" w:cs="Tahoma"/>
          <w:sz w:val="22"/>
          <w:szCs w:val="22"/>
        </w:rPr>
        <w:t>per</w:t>
      </w:r>
      <w:r>
        <w:rPr>
          <w:rFonts w:ascii="Tahoma" w:hAnsi="Tahoma" w:cs="Tahoma"/>
          <w:sz w:val="22"/>
          <w:szCs w:val="22"/>
        </w:rPr>
        <w:t> </w:t>
      </w:r>
      <w:r w:rsidRPr="0063570B">
        <w:rPr>
          <w:rFonts w:ascii="Tahoma" w:hAnsi="Tahoma" w:cs="Tahoma"/>
          <w:sz w:val="22"/>
          <w:szCs w:val="22"/>
        </w:rPr>
        <w:t>cent of the ends are</w:t>
      </w:r>
      <w:r>
        <w:t xml:space="preserve"> </w:t>
      </w:r>
      <w:r w:rsidRPr="0063570B">
        <w:rPr>
          <w:rFonts w:ascii="Tahoma" w:hAnsi="Tahoma" w:cs="Tahoma"/>
          <w:sz w:val="22"/>
          <w:szCs w:val="22"/>
        </w:rPr>
        <w:t>replaced</w:t>
      </w:r>
      <w:r>
        <w:rPr>
          <w:rFonts w:ascii="Tahoma" w:hAnsi="Tahoma" w:cs="Tahoma"/>
          <w:sz w:val="22"/>
          <w:szCs w:val="22"/>
        </w:rPr>
        <w:t xml:space="preserve">. </w:t>
      </w:r>
      <w:r w:rsidRPr="0063570B">
        <w:rPr>
          <w:rFonts w:ascii="Tahoma" w:hAnsi="Tahoma" w:cs="Tahoma"/>
          <w:sz w:val="22"/>
          <w:szCs w:val="22"/>
        </w:rPr>
        <w:t xml:space="preserve">The Winsorized mean is a useful estimator because it is less sensitive to outliers than the mean but will still give a reasonable estimate of </w:t>
      </w:r>
      <w:r>
        <w:rPr>
          <w:rFonts w:ascii="Tahoma" w:hAnsi="Tahoma" w:cs="Tahoma"/>
          <w:sz w:val="22"/>
          <w:szCs w:val="22"/>
        </w:rPr>
        <w:t>c</w:t>
      </w:r>
      <w:r w:rsidRPr="0063570B">
        <w:rPr>
          <w:rFonts w:ascii="Tahoma" w:hAnsi="Tahoma" w:cs="Tahoma"/>
          <w:sz w:val="22"/>
          <w:szCs w:val="22"/>
        </w:rPr>
        <w:t>entral tendency</w:t>
      </w:r>
      <w:r>
        <w:rPr>
          <w:rFonts w:ascii="Tahoma" w:hAnsi="Tahoma" w:cs="Tahoma"/>
          <w:sz w:val="22"/>
          <w:szCs w:val="22"/>
        </w:rPr>
        <w:t>.</w:t>
      </w:r>
    </w:p>
    <w:sectPr w:rsidR="001A2CDB" w:rsidRPr="00DF1579" w:rsidSect="000005CA">
      <w:footerReference w:type="default" r:id="rId19"/>
      <w:pgSz w:w="11906" w:h="16838"/>
      <w:pgMar w:top="1440" w:right="1800" w:bottom="1440" w:left="1800" w:header="708" w:footer="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559" w:rsidRDefault="00C03559" w:rsidP="005E1982">
      <w:r>
        <w:separator/>
      </w:r>
    </w:p>
    <w:p w:rsidR="00C03559" w:rsidRDefault="00C03559"/>
    <w:p w:rsidR="00C03559" w:rsidRDefault="00C03559" w:rsidP="000C224A"/>
    <w:p w:rsidR="00C03559" w:rsidRDefault="00C03559" w:rsidP="000C224A"/>
  </w:endnote>
  <w:endnote w:type="continuationSeparator" w:id="0">
    <w:p w:rsidR="00C03559" w:rsidRDefault="00C03559" w:rsidP="005E1982">
      <w:r>
        <w:continuationSeparator/>
      </w:r>
    </w:p>
    <w:p w:rsidR="00C03559" w:rsidRDefault="00C03559"/>
    <w:p w:rsidR="00C03559" w:rsidRDefault="00C03559" w:rsidP="000C224A"/>
    <w:p w:rsidR="00C03559" w:rsidRDefault="00C03559" w:rsidP="000C2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59" w:rsidRPr="004925DD" w:rsidRDefault="00C03559" w:rsidP="004925DD">
    <w:pPr>
      <w:pStyle w:val="Footer"/>
      <w:jc w:val="center"/>
      <w:rPr>
        <w:rFonts w:ascii="Tahoma" w:hAnsi="Tahoma" w:cs="Tahoma"/>
        <w:sz w:val="22"/>
        <w:szCs w:val="22"/>
      </w:rPr>
    </w:pPr>
    <w:r w:rsidRPr="004925DD">
      <w:rPr>
        <w:rFonts w:ascii="Tahoma" w:hAnsi="Tahoma" w:cs="Tahoma"/>
        <w:sz w:val="22"/>
        <w:szCs w:val="22"/>
      </w:rPr>
      <w:fldChar w:fldCharType="begin"/>
    </w:r>
    <w:r w:rsidRPr="004925DD">
      <w:rPr>
        <w:rFonts w:ascii="Tahoma" w:hAnsi="Tahoma" w:cs="Tahoma"/>
        <w:sz w:val="22"/>
        <w:szCs w:val="22"/>
      </w:rPr>
      <w:instrText xml:space="preserve"> PAGE   \* MERGEFORMAT </w:instrText>
    </w:r>
    <w:r w:rsidRPr="004925DD">
      <w:rPr>
        <w:rFonts w:ascii="Tahoma" w:hAnsi="Tahoma" w:cs="Tahoma"/>
        <w:sz w:val="22"/>
        <w:szCs w:val="22"/>
      </w:rPr>
      <w:fldChar w:fldCharType="separate"/>
    </w:r>
    <w:r w:rsidR="00B175A9">
      <w:rPr>
        <w:rFonts w:ascii="Tahoma" w:hAnsi="Tahoma" w:cs="Tahoma"/>
        <w:noProof/>
        <w:sz w:val="22"/>
        <w:szCs w:val="22"/>
      </w:rPr>
      <w:t>3</w:t>
    </w:r>
    <w:r w:rsidRPr="004925DD">
      <w:rPr>
        <w:rFonts w:ascii="Tahoma" w:hAnsi="Tahoma" w:cs="Tahoma"/>
        <w:sz w:val="22"/>
        <w:szCs w:val="22"/>
      </w:rPr>
      <w:fldChar w:fldCharType="end"/>
    </w:r>
  </w:p>
  <w:p w:rsidR="00C03559" w:rsidRDefault="00C03559"/>
  <w:p w:rsidR="00C03559" w:rsidRDefault="00C03559" w:rsidP="000C224A"/>
  <w:p w:rsidR="00C03559" w:rsidRDefault="00C03559" w:rsidP="000C22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559" w:rsidRDefault="00C03559" w:rsidP="000C224A"/>
  </w:footnote>
  <w:footnote w:type="continuationSeparator" w:id="0">
    <w:p w:rsidR="00C03559" w:rsidRDefault="00C03559" w:rsidP="005E1982">
      <w:r>
        <w:continuationSeparator/>
      </w:r>
    </w:p>
    <w:p w:rsidR="00C03559" w:rsidRDefault="00C03559"/>
    <w:p w:rsidR="00C03559" w:rsidRDefault="00C03559" w:rsidP="000C224A"/>
    <w:p w:rsidR="00C03559" w:rsidRDefault="00C03559" w:rsidP="000C224A"/>
  </w:footnote>
  <w:footnote w:id="1">
    <w:p w:rsidR="00C03559" w:rsidRPr="00761B52" w:rsidRDefault="00C03559" w:rsidP="00761B52">
      <w:pPr>
        <w:rPr>
          <w:sz w:val="20"/>
          <w:szCs w:val="20"/>
        </w:rPr>
      </w:pPr>
      <w:r>
        <w:rPr>
          <w:rStyle w:val="FootnoteReference"/>
        </w:rPr>
        <w:footnoteRef/>
      </w:r>
      <w:r>
        <w:t xml:space="preserve"> </w:t>
      </w:r>
      <w:r w:rsidRPr="00761B52">
        <w:rPr>
          <w:sz w:val="20"/>
          <w:szCs w:val="20"/>
        </w:rPr>
        <w:t>For the January to June 2010 biannual reporting period there were 194 accredited contractors of which 184 submitted biannual activity reports. For the July to December 2009 b</w:t>
      </w:r>
      <w:r>
        <w:rPr>
          <w:sz w:val="20"/>
          <w:szCs w:val="20"/>
        </w:rPr>
        <w:t xml:space="preserve">iannual reporting </w:t>
      </w:r>
      <w:r w:rsidRPr="00761B52">
        <w:rPr>
          <w:sz w:val="20"/>
          <w:szCs w:val="20"/>
        </w:rPr>
        <w:t>period there were 177 accredited contractors of which 166 submitted biannual activity reports. In all other biannual periods, all accredited contractors submitted their biannual activity reports.</w:t>
      </w:r>
    </w:p>
  </w:footnote>
  <w:footnote w:id="2">
    <w:p w:rsidR="00C03559" w:rsidRDefault="00C03559" w:rsidP="00761B52">
      <w:r w:rsidRPr="00761B52">
        <w:rPr>
          <w:rStyle w:val="FootnoteReference"/>
          <w:sz w:val="20"/>
          <w:szCs w:val="20"/>
        </w:rPr>
        <w:footnoteRef/>
      </w:r>
      <w:r w:rsidRPr="00761B52">
        <w:rPr>
          <w:sz w:val="20"/>
          <w:szCs w:val="20"/>
        </w:rPr>
        <w:t xml:space="preserve"> Nil projects with a contract value of $3 million or more.</w:t>
      </w:r>
    </w:p>
  </w:footnote>
  <w:footnote w:id="3">
    <w:p w:rsidR="00C03559" w:rsidRDefault="00C03559" w:rsidP="005E1982">
      <w:pPr>
        <w:pStyle w:val="FootnoteText"/>
      </w:pPr>
      <w:r>
        <w:rPr>
          <w:rStyle w:val="FootnoteReference"/>
        </w:rPr>
        <w:footnoteRef/>
      </w:r>
      <w:r>
        <w:t xml:space="preserve"> </w:t>
      </w:r>
      <w:r w:rsidRPr="003112E2">
        <w:t>Fatalities due to heart attack or other natural causes.</w:t>
      </w:r>
    </w:p>
  </w:footnote>
  <w:footnote w:id="4">
    <w:p w:rsidR="00C03559" w:rsidRPr="003112E2" w:rsidRDefault="00C03559" w:rsidP="005E1982">
      <w:pPr>
        <w:pStyle w:val="FootnoteText"/>
      </w:pPr>
      <w:r>
        <w:rPr>
          <w:rStyle w:val="FootnoteReference"/>
        </w:rPr>
        <w:footnoteRef/>
      </w:r>
      <w:r>
        <w:t xml:space="preserve"> </w:t>
      </w:r>
      <w:r w:rsidRPr="003112E2">
        <w:t>High frequency rates normally occur when an incident or incidents are recorded, but the number of hours worked are significantly less than one million. For example, if 5 incidents are recorded and 5,000 hours are worked in the period, the frequency rate would be 1,000.</w:t>
      </w:r>
    </w:p>
  </w:footnote>
  <w:footnote w:id="5">
    <w:p w:rsidR="00C03559" w:rsidRDefault="00C03559" w:rsidP="005E1982">
      <w:pPr>
        <w:pStyle w:val="FootnoteText"/>
      </w:pPr>
      <w:r w:rsidRPr="0014022C">
        <w:rPr>
          <w:rStyle w:val="FootnoteReference"/>
        </w:rPr>
        <w:footnoteRef/>
      </w:r>
      <w:r w:rsidRPr="0014022C">
        <w:t xml:space="preserve"> </w:t>
      </w:r>
      <w:r w:rsidRPr="0014022C">
        <w:rPr>
          <w:i/>
        </w:rPr>
        <w:t>Source:</w:t>
      </w:r>
      <w:r w:rsidRPr="0014022C">
        <w:t xml:space="preserve"> Safe Work Australia publication Comparison of Workers’ Compensation Arrangements in Australia and New Zealand </w:t>
      </w:r>
      <w:r>
        <w:t>February 2010</w:t>
      </w:r>
      <w:r w:rsidRPr="0014022C">
        <w:t>, Table 4.4 Selecte</w:t>
      </w:r>
      <w:r>
        <w:t>d Industry Premium Rates as at 30 June</w:t>
      </w:r>
      <w:r w:rsidRPr="0014022C">
        <w:t xml:space="preserve"> 200</w:t>
      </w:r>
      <w:r>
        <w:t>9</w:t>
      </w:r>
      <w:r w:rsidRPr="0014022C">
        <w:t xml:space="preserve">, </w:t>
      </w:r>
      <w:r>
        <w:t>page 60</w:t>
      </w:r>
      <w:r w:rsidRPr="0014022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36"/>
    <w:multiLevelType w:val="hybridMultilevel"/>
    <w:tmpl w:val="45E4C15A"/>
    <w:lvl w:ilvl="0" w:tplc="C474128E">
      <w:start w:val="1"/>
      <w:numFmt w:val="bullet"/>
      <w:lvlText w:val=""/>
      <w:lvlJc w:val="left"/>
      <w:pPr>
        <w:tabs>
          <w:tab w:val="num" w:pos="568"/>
        </w:tabs>
        <w:ind w:left="568"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641BB"/>
    <w:multiLevelType w:val="multilevel"/>
    <w:tmpl w:val="DBEA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C697B"/>
    <w:multiLevelType w:val="hybridMultilevel"/>
    <w:tmpl w:val="B08A5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A37132"/>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BC73F3"/>
    <w:multiLevelType w:val="multilevel"/>
    <w:tmpl w:val="96E2DF70"/>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i w:val="0"/>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11B20052"/>
    <w:multiLevelType w:val="multilevel"/>
    <w:tmpl w:val="4C1AD430"/>
    <w:lvl w:ilvl="0">
      <w:start w:val="1"/>
      <w:numFmt w:val="decimal"/>
      <w:lvlText w:val="%1."/>
      <w:lvlJc w:val="left"/>
      <w:pPr>
        <w:tabs>
          <w:tab w:val="num" w:pos="720"/>
        </w:tabs>
        <w:ind w:left="720" w:hanging="360"/>
      </w:pPr>
      <w:rPr>
        <w:rFonts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decimal"/>
      <w:lvlText w:val="%2."/>
      <w:lvlJc w:val="left"/>
      <w:pPr>
        <w:tabs>
          <w:tab w:val="num" w:pos="1440"/>
        </w:tabs>
        <w:ind w:left="1440" w:hanging="360"/>
      </w:pPr>
      <w:rPr>
        <w:rFonts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1CCC69B3"/>
    <w:multiLevelType w:val="multilevel"/>
    <w:tmpl w:val="3E605014"/>
    <w:lvl w:ilvl="0">
      <w:start w:val="1"/>
      <w:numFmt w:val="decimal"/>
      <w:lvlText w:val="%1"/>
      <w:lvlJc w:val="left"/>
      <w:pPr>
        <w:ind w:left="432" w:hanging="432"/>
      </w:pPr>
      <w:rPr>
        <w:rFonts w:cs="Times New Roman" w:hint="default"/>
      </w:rPr>
    </w:lvl>
    <w:lvl w:ilvl="1">
      <w:start w:val="1"/>
      <w:numFmt w:val="decimal"/>
      <w:lvlText w:val="%1.%2"/>
      <w:lvlJc w:val="left"/>
      <w:pPr>
        <w:ind w:left="860"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1EEF764A"/>
    <w:multiLevelType w:val="multilevel"/>
    <w:tmpl w:val="BB040EBE"/>
    <w:lvl w:ilvl="0">
      <w:start w:val="1"/>
      <w:numFmt w:val="decimal"/>
      <w:pStyle w:val="OutlineNumbering"/>
      <w:lvlText w:val="%1."/>
      <w:lvlJc w:val="left"/>
      <w:pPr>
        <w:tabs>
          <w:tab w:val="num" w:pos="360"/>
        </w:tabs>
      </w:pPr>
      <w:rPr>
        <w:rFonts w:cs="Times New Roman"/>
      </w:rPr>
    </w:lvl>
    <w:lvl w:ilvl="1">
      <w:start w:val="1"/>
      <w:numFmt w:val="bullet"/>
      <w:lvlText w:val=""/>
      <w:lvlJc w:val="left"/>
      <w:pPr>
        <w:tabs>
          <w:tab w:val="num" w:pos="1440"/>
        </w:tabs>
        <w:ind w:left="1440" w:hanging="720"/>
      </w:pPr>
      <w:rPr>
        <w:rFonts w:ascii="Symbol" w:hAnsi="Symbol" w:hint="default"/>
      </w:rPr>
    </w:lvl>
    <w:lvl w:ilvl="2">
      <w:start w:val="1"/>
      <w:numFmt w:val="none"/>
      <w:lvlText w:val="-"/>
      <w:lvlJc w:val="left"/>
      <w:pPr>
        <w:tabs>
          <w:tab w:val="num" w:pos="2160"/>
        </w:tabs>
        <w:ind w:left="2160" w:hanging="720"/>
      </w:pPr>
      <w:rPr>
        <w:rFonts w:cs="Times New Roman"/>
      </w:rPr>
    </w:lvl>
    <w:lvl w:ilvl="3">
      <w:start w:val="1"/>
      <w:numFmt w:val="none"/>
      <w:lvlText w:val=":"/>
      <w:lvlJc w:val="left"/>
      <w:pPr>
        <w:tabs>
          <w:tab w:val="num" w:pos="2880"/>
        </w:tabs>
        <w:ind w:left="288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F897CB5"/>
    <w:multiLevelType w:val="hybridMultilevel"/>
    <w:tmpl w:val="9800CBBA"/>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3D42A9F"/>
    <w:multiLevelType w:val="hybridMultilevel"/>
    <w:tmpl w:val="D572EE1A"/>
    <w:lvl w:ilvl="0" w:tplc="0A9A1E9A">
      <w:start w:val="1"/>
      <w:numFmt w:val="bullet"/>
      <w:lvlText w:val=""/>
      <w:lvlJc w:val="left"/>
      <w:pPr>
        <w:tabs>
          <w:tab w:val="num" w:pos="568"/>
        </w:tabs>
        <w:ind w:left="568" w:hanging="284"/>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5056A"/>
    <w:multiLevelType w:val="multilevel"/>
    <w:tmpl w:val="0C09001F"/>
    <w:styleLink w:val="StyleOutlinenumberedLeft127cmHanging089cm"/>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sz w:val="24"/>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7D5467F"/>
    <w:multiLevelType w:val="hybridMultilevel"/>
    <w:tmpl w:val="76284736"/>
    <w:lvl w:ilvl="0" w:tplc="FF2E1C66">
      <w:start w:val="1"/>
      <w:numFmt w:val="bullet"/>
      <w:lvlText w:val=""/>
      <w:lvlJc w:val="left"/>
      <w:pPr>
        <w:tabs>
          <w:tab w:val="num" w:pos="714"/>
        </w:tabs>
        <w:ind w:left="714"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627C75"/>
    <w:multiLevelType w:val="multilevel"/>
    <w:tmpl w:val="0C09001F"/>
    <w:numStyleLink w:val="StyleOutlinenumberedHeadingsBoldItalicLeft063cmHa"/>
  </w:abstractNum>
  <w:abstractNum w:abstractNumId="13" w15:restartNumberingAfterBreak="0">
    <w:nsid w:val="2B5C1DC9"/>
    <w:multiLevelType w:val="multilevel"/>
    <w:tmpl w:val="0C09001F"/>
    <w:numStyleLink w:val="StyleOutlinenumberedLeft127cmHanging089cm"/>
  </w:abstractNum>
  <w:abstractNum w:abstractNumId="14" w15:restartNumberingAfterBreak="0">
    <w:nsid w:val="2E0D6703"/>
    <w:multiLevelType w:val="hybridMultilevel"/>
    <w:tmpl w:val="55DEB858"/>
    <w:lvl w:ilvl="0" w:tplc="0C090001">
      <w:start w:val="1"/>
      <w:numFmt w:val="bullet"/>
      <w:lvlText w:val=""/>
      <w:lvlJc w:val="left"/>
      <w:pPr>
        <w:tabs>
          <w:tab w:val="num" w:pos="720"/>
        </w:tabs>
        <w:ind w:left="720" w:hanging="360"/>
      </w:pPr>
      <w:rPr>
        <w:rFonts w:ascii="Symbol" w:hAnsi="Symbol" w:hint="default"/>
      </w:rPr>
    </w:lvl>
    <w:lvl w:ilvl="1" w:tplc="C474128E">
      <w:start w:val="1"/>
      <w:numFmt w:val="bullet"/>
      <w:lvlText w:val=""/>
      <w:lvlJc w:val="left"/>
      <w:pPr>
        <w:tabs>
          <w:tab w:val="num" w:pos="1364"/>
        </w:tabs>
        <w:ind w:left="1364" w:hanging="284"/>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8A03FD"/>
    <w:multiLevelType w:val="hybridMultilevel"/>
    <w:tmpl w:val="70D2A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55D75"/>
    <w:multiLevelType w:val="multilevel"/>
    <w:tmpl w:val="0C09001F"/>
    <w:numStyleLink w:val="StyleOutlinenumberedHeadingsBoldItalicLeft063cmHa"/>
  </w:abstractNum>
  <w:abstractNum w:abstractNumId="17" w15:restartNumberingAfterBreak="0">
    <w:nsid w:val="49E22473"/>
    <w:multiLevelType w:val="multilevel"/>
    <w:tmpl w:val="1978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4060CA"/>
    <w:multiLevelType w:val="hybridMultilevel"/>
    <w:tmpl w:val="CB925CA8"/>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45D88"/>
    <w:multiLevelType w:val="hybridMultilevel"/>
    <w:tmpl w:val="EFCABE4A"/>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724"/>
        </w:tabs>
        <w:ind w:left="1724" w:hanging="360"/>
      </w:pPr>
      <w:rPr>
        <w:rFonts w:ascii="Courier New" w:hAnsi="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5698557A"/>
    <w:multiLevelType w:val="hybridMultilevel"/>
    <w:tmpl w:val="9CA63C68"/>
    <w:lvl w:ilvl="0" w:tplc="A3988450">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69E45CE"/>
    <w:multiLevelType w:val="multilevel"/>
    <w:tmpl w:val="0C09001F"/>
    <w:styleLink w:val="StyleOutlinenumberedHeadingsBoldItalicLeft063cmHa"/>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asciiTheme="majorHAnsi" w:hAnsiTheme="majorHAnsi" w:cs="Times New Roman"/>
        <w:b/>
        <w:bCs/>
        <w:i/>
        <w:iCs/>
        <w:spacing w:val="15"/>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15:restartNumberingAfterBreak="0">
    <w:nsid w:val="5A536A9A"/>
    <w:multiLevelType w:val="multilevel"/>
    <w:tmpl w:val="0C09001F"/>
    <w:lvl w:ilvl="0">
      <w:start w:val="1"/>
      <w:numFmt w:val="decimal"/>
      <w:lvlText w:val="%1."/>
      <w:lvlJc w:val="left"/>
      <w:pPr>
        <w:ind w:left="1080" w:hanging="360"/>
      </w:pPr>
      <w:rPr>
        <w:rFonts w:cs="Times New Roman"/>
      </w:rPr>
    </w:lvl>
    <w:lvl w:ilvl="1">
      <w:start w:val="1"/>
      <w:numFmt w:val="decimal"/>
      <w:lvlText w:val="%1.%2."/>
      <w:lvlJc w:val="left"/>
      <w:pPr>
        <w:ind w:left="1512" w:hanging="432"/>
      </w:pPr>
      <w:rPr>
        <w:rFonts w:cs="Times New Roman"/>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23" w15:restartNumberingAfterBreak="0">
    <w:nsid w:val="5CEB6562"/>
    <w:multiLevelType w:val="hybridMultilevel"/>
    <w:tmpl w:val="ECCCE92A"/>
    <w:lvl w:ilvl="0" w:tplc="0C090001">
      <w:start w:val="1"/>
      <w:numFmt w:val="bullet"/>
      <w:lvlText w:val=""/>
      <w:lvlJc w:val="left"/>
      <w:pPr>
        <w:tabs>
          <w:tab w:val="num" w:pos="720"/>
        </w:tabs>
        <w:ind w:left="720" w:hanging="360"/>
      </w:pPr>
      <w:rPr>
        <w:rFonts w:ascii="Symbol" w:hAnsi="Symbo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4496BCBA">
      <w:start w:val="3"/>
      <w:numFmt w:val="decimal"/>
      <w:lvlText w:val="%2."/>
      <w:lvlJc w:val="left"/>
      <w:pPr>
        <w:tabs>
          <w:tab w:val="num" w:pos="1440"/>
        </w:tabs>
        <w:ind w:left="1440" w:hanging="360"/>
      </w:pPr>
      <w:rPr>
        <w:rFonts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74186058">
      <w:start w:val="1"/>
      <w:numFmt w:val="decimal"/>
      <w:lvlText w:val="%3-"/>
      <w:lvlJc w:val="left"/>
      <w:pPr>
        <w:tabs>
          <w:tab w:val="num" w:pos="2340"/>
        </w:tabs>
        <w:ind w:left="2340" w:hanging="360"/>
      </w:pPr>
      <w:rPr>
        <w:rFonts w:cs="Times New Roman" w:hint="default"/>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DA677C1"/>
    <w:multiLevelType w:val="hybridMultilevel"/>
    <w:tmpl w:val="E7344B4A"/>
    <w:lvl w:ilvl="0" w:tplc="C474128E">
      <w:start w:val="1"/>
      <w:numFmt w:val="bullet"/>
      <w:lvlText w:val=""/>
      <w:lvlJc w:val="left"/>
      <w:pPr>
        <w:tabs>
          <w:tab w:val="num" w:pos="568"/>
        </w:tabs>
        <w:ind w:left="568"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314438"/>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69C757D1"/>
    <w:multiLevelType w:val="multilevel"/>
    <w:tmpl w:val="E9F6393A"/>
    <w:lvl w:ilvl="0">
      <w:start w:val="1"/>
      <w:numFmt w:val="decimal"/>
      <w:lvlText w:val="%1."/>
      <w:lvlJc w:val="left"/>
      <w:pPr>
        <w:ind w:left="1080" w:hanging="360"/>
      </w:pPr>
      <w:rPr>
        <w:rFonts w:cs="Times New Roman" w:hint="default"/>
      </w:rPr>
    </w:lvl>
    <w:lvl w:ilvl="1">
      <w:start w:val="2"/>
      <w:numFmt w:val="decimal"/>
      <w:lvlText w:val="%1.%2."/>
      <w:lvlJc w:val="left"/>
      <w:pPr>
        <w:ind w:left="1512" w:hanging="432"/>
      </w:pPr>
      <w:rPr>
        <w:rFonts w:cs="Times New Roman" w:hint="default"/>
      </w:rPr>
    </w:lvl>
    <w:lvl w:ilvl="2">
      <w:start w:val="1"/>
      <w:numFmt w:val="decimal"/>
      <w:lvlText w:val="%1.%2.%3."/>
      <w:lvlJc w:val="left"/>
      <w:pPr>
        <w:ind w:left="1944" w:hanging="504"/>
      </w:pPr>
      <w:rPr>
        <w:rFonts w:cs="Times New Roman" w:hint="default"/>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7" w15:restartNumberingAfterBreak="0">
    <w:nsid w:val="7647593D"/>
    <w:multiLevelType w:val="hybridMultilevel"/>
    <w:tmpl w:val="50EAB60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C61560"/>
    <w:multiLevelType w:val="multilevel"/>
    <w:tmpl w:val="0C09001F"/>
    <w:numStyleLink w:val="StyleOutlinenumberedLeft127cmHanging089cm"/>
  </w:abstractNum>
  <w:num w:numId="1">
    <w:abstractNumId w:val="4"/>
  </w:num>
  <w:num w:numId="2">
    <w:abstractNumId w:val="25"/>
  </w:num>
  <w:num w:numId="3">
    <w:abstractNumId w:val="26"/>
  </w:num>
  <w:num w:numId="4">
    <w:abstractNumId w:val="22"/>
  </w:num>
  <w:num w:numId="5">
    <w:abstractNumId w:val="6"/>
  </w:num>
  <w:num w:numId="6">
    <w:abstractNumId w:val="3"/>
  </w:num>
  <w:num w:numId="7">
    <w:abstractNumId w:val="6"/>
  </w:num>
  <w:num w:numId="8">
    <w:abstractNumId w:val="24"/>
  </w:num>
  <w:num w:numId="9">
    <w:abstractNumId w:val="23"/>
  </w:num>
  <w:num w:numId="10">
    <w:abstractNumId w:val="8"/>
  </w:num>
  <w:num w:numId="11">
    <w:abstractNumId w:val="7"/>
  </w:num>
  <w:num w:numId="12">
    <w:abstractNumId w:val="14"/>
  </w:num>
  <w:num w:numId="13">
    <w:abstractNumId w:val="9"/>
  </w:num>
  <w:num w:numId="14">
    <w:abstractNumId w:val="0"/>
  </w:num>
  <w:num w:numId="15">
    <w:abstractNumId w:val="19"/>
  </w:num>
  <w:num w:numId="16">
    <w:abstractNumId w:val="11"/>
  </w:num>
  <w:num w:numId="17">
    <w:abstractNumId w:val="27"/>
  </w:num>
  <w:num w:numId="18">
    <w:abstractNumId w:val="18"/>
  </w:num>
  <w:num w:numId="19">
    <w:abstractNumId w:val="17"/>
  </w:num>
  <w:num w:numId="20">
    <w:abstractNumId w:val="5"/>
  </w:num>
  <w:num w:numId="21">
    <w:abstractNumId w:val="20"/>
  </w:num>
  <w:num w:numId="22">
    <w:abstractNumId w:val="1"/>
  </w:num>
  <w:num w:numId="23">
    <w:abstractNumId w:val="15"/>
  </w:num>
  <w:num w:numId="24">
    <w:abstractNumId w:val="10"/>
  </w:num>
  <w:num w:numId="25">
    <w:abstractNumId w:val="28"/>
  </w:num>
  <w:num w:numId="26">
    <w:abstractNumId w:val="13"/>
  </w:num>
  <w:num w:numId="27">
    <w:abstractNumId w:val="21"/>
  </w:num>
  <w:num w:numId="28">
    <w:abstractNumId w:val="16"/>
  </w:num>
  <w:num w:numId="29">
    <w:abstractNumId w:val="12"/>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6"/>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DB"/>
    <w:rsid w:val="000005CA"/>
    <w:rsid w:val="0003210C"/>
    <w:rsid w:val="000345CF"/>
    <w:rsid w:val="00043D09"/>
    <w:rsid w:val="00080E8D"/>
    <w:rsid w:val="000C224A"/>
    <w:rsid w:val="000D2B02"/>
    <w:rsid w:val="001272A9"/>
    <w:rsid w:val="0014022C"/>
    <w:rsid w:val="001608D5"/>
    <w:rsid w:val="001770BF"/>
    <w:rsid w:val="001A2CDB"/>
    <w:rsid w:val="001C01DA"/>
    <w:rsid w:val="001E2471"/>
    <w:rsid w:val="001F2836"/>
    <w:rsid w:val="0026519F"/>
    <w:rsid w:val="00265F17"/>
    <w:rsid w:val="00272A11"/>
    <w:rsid w:val="0028196C"/>
    <w:rsid w:val="002841D1"/>
    <w:rsid w:val="0029250B"/>
    <w:rsid w:val="002D0521"/>
    <w:rsid w:val="003112E2"/>
    <w:rsid w:val="00346AF2"/>
    <w:rsid w:val="0034789E"/>
    <w:rsid w:val="00353066"/>
    <w:rsid w:val="0036236B"/>
    <w:rsid w:val="00393896"/>
    <w:rsid w:val="003A038E"/>
    <w:rsid w:val="003B69B6"/>
    <w:rsid w:val="003E58F1"/>
    <w:rsid w:val="003F05F7"/>
    <w:rsid w:val="003F1F3C"/>
    <w:rsid w:val="00403CE3"/>
    <w:rsid w:val="00431FE9"/>
    <w:rsid w:val="00452229"/>
    <w:rsid w:val="004925DD"/>
    <w:rsid w:val="004B3A64"/>
    <w:rsid w:val="004F0559"/>
    <w:rsid w:val="00520FED"/>
    <w:rsid w:val="00521D21"/>
    <w:rsid w:val="005355E1"/>
    <w:rsid w:val="005614E6"/>
    <w:rsid w:val="00571187"/>
    <w:rsid w:val="005832CE"/>
    <w:rsid w:val="005A0F7D"/>
    <w:rsid w:val="005A4FFA"/>
    <w:rsid w:val="005D4F83"/>
    <w:rsid w:val="005E1982"/>
    <w:rsid w:val="00621DF1"/>
    <w:rsid w:val="006223E0"/>
    <w:rsid w:val="006276C1"/>
    <w:rsid w:val="0063570B"/>
    <w:rsid w:val="00647029"/>
    <w:rsid w:val="006559A2"/>
    <w:rsid w:val="0066619B"/>
    <w:rsid w:val="00666F00"/>
    <w:rsid w:val="00695F97"/>
    <w:rsid w:val="006A0880"/>
    <w:rsid w:val="006A14E4"/>
    <w:rsid w:val="006A69C3"/>
    <w:rsid w:val="006B4E60"/>
    <w:rsid w:val="00731032"/>
    <w:rsid w:val="00732951"/>
    <w:rsid w:val="00754897"/>
    <w:rsid w:val="00755A6E"/>
    <w:rsid w:val="00761B52"/>
    <w:rsid w:val="00786E64"/>
    <w:rsid w:val="007A54F7"/>
    <w:rsid w:val="007C6FCC"/>
    <w:rsid w:val="007D1541"/>
    <w:rsid w:val="007D2794"/>
    <w:rsid w:val="007D3CBD"/>
    <w:rsid w:val="0080785F"/>
    <w:rsid w:val="0085399C"/>
    <w:rsid w:val="00857B88"/>
    <w:rsid w:val="00891618"/>
    <w:rsid w:val="008E5DEA"/>
    <w:rsid w:val="00926674"/>
    <w:rsid w:val="00971410"/>
    <w:rsid w:val="00974133"/>
    <w:rsid w:val="0097712A"/>
    <w:rsid w:val="00977271"/>
    <w:rsid w:val="009B5D74"/>
    <w:rsid w:val="00A15DB7"/>
    <w:rsid w:val="00A20C8A"/>
    <w:rsid w:val="00A2587C"/>
    <w:rsid w:val="00A8090D"/>
    <w:rsid w:val="00A82BE6"/>
    <w:rsid w:val="00AD143C"/>
    <w:rsid w:val="00AE62D6"/>
    <w:rsid w:val="00AF280C"/>
    <w:rsid w:val="00B10F7C"/>
    <w:rsid w:val="00B175A9"/>
    <w:rsid w:val="00B21943"/>
    <w:rsid w:val="00B246B1"/>
    <w:rsid w:val="00B53A8E"/>
    <w:rsid w:val="00B742DE"/>
    <w:rsid w:val="00B75A19"/>
    <w:rsid w:val="00B92AF2"/>
    <w:rsid w:val="00B97FCD"/>
    <w:rsid w:val="00BB0268"/>
    <w:rsid w:val="00BB7FE8"/>
    <w:rsid w:val="00BC4075"/>
    <w:rsid w:val="00BC6CA9"/>
    <w:rsid w:val="00C03559"/>
    <w:rsid w:val="00C43B2C"/>
    <w:rsid w:val="00C5782F"/>
    <w:rsid w:val="00CB2FD0"/>
    <w:rsid w:val="00CC1C59"/>
    <w:rsid w:val="00CC2D17"/>
    <w:rsid w:val="00CD7A78"/>
    <w:rsid w:val="00CE2F62"/>
    <w:rsid w:val="00CE57EB"/>
    <w:rsid w:val="00CE5AB5"/>
    <w:rsid w:val="00D03EB4"/>
    <w:rsid w:val="00D0472A"/>
    <w:rsid w:val="00D42BAA"/>
    <w:rsid w:val="00D45498"/>
    <w:rsid w:val="00DE0792"/>
    <w:rsid w:val="00DE49B6"/>
    <w:rsid w:val="00DF1579"/>
    <w:rsid w:val="00E20668"/>
    <w:rsid w:val="00E55983"/>
    <w:rsid w:val="00E667B2"/>
    <w:rsid w:val="00E9062C"/>
    <w:rsid w:val="00EA079B"/>
    <w:rsid w:val="00F145BA"/>
    <w:rsid w:val="00F1628F"/>
    <w:rsid w:val="00F30935"/>
    <w:rsid w:val="00F74C9E"/>
    <w:rsid w:val="00F81511"/>
    <w:rsid w:val="00F84096"/>
    <w:rsid w:val="00FA570A"/>
    <w:rsid w:val="00FD0D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1AEE40A-4361-404D-947E-208F711B7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BAA"/>
    <w:rPr>
      <w:sz w:val="24"/>
      <w:szCs w:val="24"/>
    </w:rPr>
  </w:style>
  <w:style w:type="paragraph" w:styleId="Heading1">
    <w:name w:val="heading 1"/>
    <w:basedOn w:val="Normal"/>
    <w:next w:val="Normal"/>
    <w:link w:val="Heading1Char"/>
    <w:uiPriority w:val="9"/>
    <w:qFormat/>
    <w:rsid w:val="000C224A"/>
    <w:pPr>
      <w:keepNext/>
      <w:keepLines/>
      <w:numPr>
        <w:numId w:val="1"/>
      </w:numPr>
      <w:spacing w:before="480" w:after="240"/>
      <w:ind w:left="357" w:hanging="357"/>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C224A"/>
    <w:pPr>
      <w:keepNext/>
      <w:keepLines/>
      <w:numPr>
        <w:ilvl w:val="1"/>
        <w:numId w:val="1"/>
      </w:numPr>
      <w:spacing w:before="240" w:after="2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69C3"/>
    <w:pPr>
      <w:keepNext/>
      <w:keepLines/>
      <w:numPr>
        <w:ilvl w:val="2"/>
        <w:numId w:val="1"/>
      </w:numPr>
      <w:spacing w:before="200"/>
      <w:outlineLvl w:val="2"/>
    </w:pPr>
    <w:rPr>
      <w:rFonts w:asciiTheme="majorHAnsi" w:eastAsiaTheme="majorEastAsia" w:hAnsiTheme="majorHAnsi" w:cstheme="majorBidi"/>
      <w:bCs/>
      <w:i/>
      <w:color w:val="4F81BD" w:themeColor="accent1"/>
    </w:rPr>
  </w:style>
  <w:style w:type="paragraph" w:styleId="Heading4">
    <w:name w:val="heading 4"/>
    <w:basedOn w:val="Normal"/>
    <w:next w:val="Normal"/>
    <w:link w:val="Heading4Char"/>
    <w:uiPriority w:val="9"/>
    <w:unhideWhenUsed/>
    <w:qFormat/>
    <w:rsid w:val="00272A1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2A1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2A1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2A1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2A1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2A1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24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locked/>
    <w:rsid w:val="000C224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locked/>
    <w:rsid w:val="006A69C3"/>
    <w:rPr>
      <w:rFonts w:asciiTheme="majorHAnsi" w:eastAsiaTheme="majorEastAsia" w:hAnsiTheme="majorHAnsi" w:cstheme="majorBidi"/>
      <w:bCs/>
      <w:i/>
      <w:color w:val="4F81BD" w:themeColor="accent1"/>
      <w:sz w:val="24"/>
      <w:szCs w:val="24"/>
    </w:rPr>
  </w:style>
  <w:style w:type="character" w:customStyle="1" w:styleId="Heading4Char">
    <w:name w:val="Heading 4 Char"/>
    <w:basedOn w:val="DefaultParagraphFont"/>
    <w:link w:val="Heading4"/>
    <w:uiPriority w:val="9"/>
    <w:locked/>
    <w:rsid w:val="00272A1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locked/>
    <w:rsid w:val="00272A1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locked/>
    <w:rsid w:val="00272A1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locked/>
    <w:rsid w:val="00272A1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locked/>
    <w:rsid w:val="00272A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locked/>
    <w:rsid w:val="00272A11"/>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0C224A"/>
    <w:pPr>
      <w:jc w:val="center"/>
    </w:pPr>
    <w:rPr>
      <w:rFonts w:ascii="Tahoma" w:hAnsi="Tahoma" w:cs="Tahoma"/>
      <w:sz w:val="36"/>
      <w:szCs w:val="36"/>
    </w:rPr>
  </w:style>
  <w:style w:type="character" w:customStyle="1" w:styleId="SubtitleChar">
    <w:name w:val="Subtitle Char"/>
    <w:basedOn w:val="DefaultParagraphFont"/>
    <w:link w:val="Subtitle"/>
    <w:uiPriority w:val="11"/>
    <w:locked/>
    <w:rsid w:val="000C224A"/>
    <w:rPr>
      <w:rFonts w:ascii="Tahoma" w:hAnsi="Tahoma" w:cs="Tahoma"/>
      <w:sz w:val="36"/>
      <w:szCs w:val="36"/>
    </w:rPr>
  </w:style>
  <w:style w:type="paragraph" w:styleId="TOCHeading">
    <w:name w:val="TOC Heading"/>
    <w:basedOn w:val="Heading1"/>
    <w:next w:val="Normal"/>
    <w:uiPriority w:val="39"/>
    <w:unhideWhenUsed/>
    <w:qFormat/>
    <w:rsid w:val="00272A11"/>
    <w:pPr>
      <w:numPr>
        <w:numId w:val="0"/>
      </w:numPr>
      <w:spacing w:line="276" w:lineRule="auto"/>
      <w:outlineLvl w:val="9"/>
    </w:pPr>
    <w:rPr>
      <w:lang w:val="en-US" w:eastAsia="en-US"/>
    </w:rPr>
  </w:style>
  <w:style w:type="paragraph" w:styleId="TOC1">
    <w:name w:val="toc 1"/>
    <w:basedOn w:val="Normal"/>
    <w:next w:val="Normal"/>
    <w:autoRedefine/>
    <w:uiPriority w:val="39"/>
    <w:unhideWhenUsed/>
    <w:rsid w:val="00431FE9"/>
    <w:pPr>
      <w:tabs>
        <w:tab w:val="left" w:pos="440"/>
        <w:tab w:val="right" w:leader="dot" w:pos="8296"/>
      </w:tabs>
      <w:spacing w:before="240" w:after="240"/>
    </w:pPr>
    <w:rPr>
      <w:rFonts w:eastAsiaTheme="majorEastAsia"/>
      <w:b/>
      <w:i/>
      <w:noProof/>
      <w:sz w:val="28"/>
    </w:rPr>
  </w:style>
  <w:style w:type="paragraph" w:styleId="TOC2">
    <w:name w:val="toc 2"/>
    <w:basedOn w:val="Normal"/>
    <w:next w:val="Normal"/>
    <w:autoRedefine/>
    <w:uiPriority w:val="39"/>
    <w:unhideWhenUsed/>
    <w:rsid w:val="00DF1579"/>
    <w:pPr>
      <w:tabs>
        <w:tab w:val="left" w:pos="880"/>
        <w:tab w:val="right" w:leader="dot" w:pos="8296"/>
      </w:tabs>
      <w:spacing w:before="120" w:after="120" w:line="360" w:lineRule="auto"/>
      <w:ind w:left="238"/>
    </w:pPr>
  </w:style>
  <w:style w:type="character" w:styleId="Hyperlink">
    <w:name w:val="Hyperlink"/>
    <w:basedOn w:val="DefaultParagraphFont"/>
    <w:uiPriority w:val="99"/>
    <w:unhideWhenUsed/>
    <w:rsid w:val="00272A11"/>
    <w:rPr>
      <w:rFonts w:cs="Times New Roman"/>
      <w:color w:val="0000FF" w:themeColor="hyperlink"/>
      <w:u w:val="single"/>
    </w:rPr>
  </w:style>
  <w:style w:type="paragraph" w:styleId="BalloonText">
    <w:name w:val="Balloon Text"/>
    <w:basedOn w:val="Normal"/>
    <w:link w:val="BalloonTextChar"/>
    <w:uiPriority w:val="99"/>
    <w:semiHidden/>
    <w:unhideWhenUsed/>
    <w:rsid w:val="00272A1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2A11"/>
    <w:rPr>
      <w:rFonts w:ascii="Tahoma" w:hAnsi="Tahoma" w:cs="Tahoma"/>
      <w:sz w:val="16"/>
      <w:szCs w:val="16"/>
    </w:rPr>
  </w:style>
  <w:style w:type="paragraph" w:styleId="ListParagraph">
    <w:name w:val="List Paragraph"/>
    <w:basedOn w:val="Normal"/>
    <w:uiPriority w:val="34"/>
    <w:qFormat/>
    <w:rsid w:val="00272A11"/>
    <w:pPr>
      <w:ind w:left="720"/>
      <w:contextualSpacing/>
    </w:pPr>
  </w:style>
  <w:style w:type="paragraph" w:styleId="FootnoteText">
    <w:name w:val="footnote text"/>
    <w:basedOn w:val="Normal"/>
    <w:link w:val="FootnoteTextChar"/>
    <w:uiPriority w:val="99"/>
    <w:rsid w:val="005E1982"/>
    <w:rPr>
      <w:sz w:val="20"/>
      <w:szCs w:val="20"/>
    </w:rPr>
  </w:style>
  <w:style w:type="character" w:customStyle="1" w:styleId="FootnoteTextChar">
    <w:name w:val="Footnote Text Char"/>
    <w:basedOn w:val="DefaultParagraphFont"/>
    <w:link w:val="FootnoteText"/>
    <w:uiPriority w:val="99"/>
    <w:locked/>
    <w:rsid w:val="005E1982"/>
    <w:rPr>
      <w:rFonts w:cs="Times New Roman"/>
    </w:rPr>
  </w:style>
  <w:style w:type="character" w:styleId="FootnoteReference">
    <w:name w:val="footnote reference"/>
    <w:basedOn w:val="DefaultParagraphFont"/>
    <w:uiPriority w:val="99"/>
    <w:semiHidden/>
    <w:rsid w:val="005E1982"/>
    <w:rPr>
      <w:rFonts w:cs="Times New Roman"/>
      <w:vertAlign w:val="superscript"/>
    </w:rPr>
  </w:style>
  <w:style w:type="paragraph" w:customStyle="1" w:styleId="OutlineNumbering">
    <w:name w:val="Outline Numbering"/>
    <w:basedOn w:val="Normal"/>
    <w:rsid w:val="005E1982"/>
    <w:pPr>
      <w:numPr>
        <w:numId w:val="11"/>
      </w:numPr>
      <w:tabs>
        <w:tab w:val="clear" w:pos="360"/>
        <w:tab w:val="left" w:pos="720"/>
      </w:tabs>
      <w:spacing w:after="280"/>
    </w:pPr>
    <w:rPr>
      <w:szCs w:val="20"/>
      <w:lang w:eastAsia="en-US"/>
    </w:rPr>
  </w:style>
  <w:style w:type="paragraph" w:styleId="NormalWeb">
    <w:name w:val="Normal (Web)"/>
    <w:basedOn w:val="Normal"/>
    <w:uiPriority w:val="99"/>
    <w:rsid w:val="005E1982"/>
    <w:pPr>
      <w:spacing w:before="100" w:beforeAutospacing="1" w:after="100" w:afterAutospacing="1"/>
    </w:pPr>
  </w:style>
  <w:style w:type="paragraph" w:styleId="BodyText">
    <w:name w:val="Body Text"/>
    <w:basedOn w:val="Normal"/>
    <w:link w:val="BodyTextChar"/>
    <w:uiPriority w:val="99"/>
    <w:rsid w:val="005E1982"/>
    <w:pPr>
      <w:spacing w:after="120"/>
    </w:pPr>
    <w:rPr>
      <w:szCs w:val="20"/>
      <w:lang w:eastAsia="en-US"/>
    </w:rPr>
  </w:style>
  <w:style w:type="character" w:customStyle="1" w:styleId="BodyTextChar">
    <w:name w:val="Body Text Char"/>
    <w:basedOn w:val="DefaultParagraphFont"/>
    <w:link w:val="BodyText"/>
    <w:uiPriority w:val="99"/>
    <w:locked/>
    <w:rsid w:val="005E1982"/>
    <w:rPr>
      <w:rFonts w:cs="Times New Roman"/>
      <w:sz w:val="24"/>
      <w:lang w:eastAsia="en-US"/>
    </w:rPr>
  </w:style>
  <w:style w:type="paragraph" w:styleId="TOC3">
    <w:name w:val="toc 3"/>
    <w:basedOn w:val="Normal"/>
    <w:next w:val="Normal"/>
    <w:autoRedefine/>
    <w:uiPriority w:val="39"/>
    <w:unhideWhenUsed/>
    <w:rsid w:val="00DF1579"/>
    <w:pPr>
      <w:tabs>
        <w:tab w:val="left" w:pos="1320"/>
        <w:tab w:val="right" w:leader="dot" w:pos="8296"/>
      </w:tabs>
      <w:spacing w:after="120" w:line="360" w:lineRule="auto"/>
      <w:ind w:left="482"/>
    </w:pPr>
    <w:rPr>
      <w:rFonts w:eastAsiaTheme="majorEastAsia"/>
      <w:i/>
      <w:noProof/>
    </w:rPr>
  </w:style>
  <w:style w:type="paragraph" w:styleId="Header">
    <w:name w:val="header"/>
    <w:basedOn w:val="Normal"/>
    <w:link w:val="HeaderChar"/>
    <w:uiPriority w:val="99"/>
    <w:semiHidden/>
    <w:unhideWhenUsed/>
    <w:rsid w:val="004925DD"/>
    <w:pPr>
      <w:tabs>
        <w:tab w:val="center" w:pos="4513"/>
        <w:tab w:val="right" w:pos="9026"/>
      </w:tabs>
    </w:pPr>
  </w:style>
  <w:style w:type="character" w:customStyle="1" w:styleId="HeaderChar">
    <w:name w:val="Header Char"/>
    <w:basedOn w:val="DefaultParagraphFont"/>
    <w:link w:val="Header"/>
    <w:uiPriority w:val="99"/>
    <w:semiHidden/>
    <w:locked/>
    <w:rsid w:val="004925DD"/>
    <w:rPr>
      <w:rFonts w:cs="Times New Roman"/>
      <w:sz w:val="24"/>
      <w:szCs w:val="24"/>
    </w:rPr>
  </w:style>
  <w:style w:type="paragraph" w:styleId="Footer">
    <w:name w:val="footer"/>
    <w:basedOn w:val="Normal"/>
    <w:link w:val="FooterChar"/>
    <w:uiPriority w:val="99"/>
    <w:unhideWhenUsed/>
    <w:rsid w:val="004925DD"/>
    <w:pPr>
      <w:tabs>
        <w:tab w:val="center" w:pos="4513"/>
        <w:tab w:val="right" w:pos="9026"/>
      </w:tabs>
    </w:pPr>
  </w:style>
  <w:style w:type="character" w:customStyle="1" w:styleId="FooterChar">
    <w:name w:val="Footer Char"/>
    <w:basedOn w:val="DefaultParagraphFont"/>
    <w:link w:val="Footer"/>
    <w:uiPriority w:val="99"/>
    <w:locked/>
    <w:rsid w:val="004925DD"/>
    <w:rPr>
      <w:rFonts w:cs="Times New Roman"/>
      <w:sz w:val="24"/>
      <w:szCs w:val="24"/>
    </w:rPr>
  </w:style>
  <w:style w:type="numbering" w:customStyle="1" w:styleId="StyleOutlinenumberedLeft127cmHanging089cm">
    <w:name w:val="Style Outline numbered Left:  1.27 cm Hanging:  0.89 cm"/>
    <w:rsid w:val="003F1F3C"/>
    <w:pPr>
      <w:numPr>
        <w:numId w:val="24"/>
      </w:numPr>
    </w:pPr>
  </w:style>
  <w:style w:type="numbering" w:customStyle="1" w:styleId="StyleOutlinenumberedHeadingsBoldItalicLeft063cmHa">
    <w:name w:val="Style Outline numbered +Headings Bold Italic Left:  0.63 cm Ha..."/>
    <w:rsid w:val="003F1F3C"/>
    <w:pPr>
      <w:numPr>
        <w:numId w:val="27"/>
      </w:numPr>
    </w:pPr>
  </w:style>
  <w:style w:type="paragraph" w:styleId="Title">
    <w:name w:val="Title"/>
    <w:basedOn w:val="Normal"/>
    <w:next w:val="Normal"/>
    <w:link w:val="TitleChar"/>
    <w:uiPriority w:val="10"/>
    <w:qFormat/>
    <w:rsid w:val="000C224A"/>
    <w:pPr>
      <w:jc w:val="center"/>
    </w:pPr>
    <w:rPr>
      <w:rFonts w:ascii="Tahoma" w:hAnsi="Tahoma" w:cs="Tahoma"/>
      <w:b/>
      <w:sz w:val="40"/>
      <w:szCs w:val="40"/>
    </w:rPr>
  </w:style>
  <w:style w:type="character" w:customStyle="1" w:styleId="TitleChar">
    <w:name w:val="Title Char"/>
    <w:basedOn w:val="DefaultParagraphFont"/>
    <w:link w:val="Title"/>
    <w:uiPriority w:val="10"/>
    <w:rsid w:val="000C224A"/>
    <w:rPr>
      <w:rFonts w:ascii="Tahoma" w:hAnsi="Tahoma" w:cs="Tahoma"/>
      <w:b/>
      <w:sz w:val="40"/>
      <w:szCs w:val="40"/>
    </w:rPr>
  </w:style>
  <w:style w:type="character" w:styleId="Strong">
    <w:name w:val="Strong"/>
    <w:uiPriority w:val="22"/>
    <w:qFormat/>
    <w:rsid w:val="000C224A"/>
    <w:rPr>
      <w:rFonts w:ascii="Tahoma" w:hAnsi="Tahoma" w:cs="Tahoma"/>
      <w:b/>
      <w:sz w:val="22"/>
      <w:szCs w:val="22"/>
    </w:rPr>
  </w:style>
  <w:style w:type="character" w:styleId="Emphasis">
    <w:name w:val="Emphasis"/>
    <w:uiPriority w:val="20"/>
    <w:qFormat/>
    <w:rsid w:val="00B10F7C"/>
    <w:rPr>
      <w:rFonts w:ascii="Tahoma" w:hAnsi="Tahoma" w:cs="Tahoma"/>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844588">
      <w:marLeft w:val="0"/>
      <w:marRight w:val="0"/>
      <w:marTop w:val="0"/>
      <w:marBottom w:val="0"/>
      <w:divBdr>
        <w:top w:val="none" w:sz="0" w:space="0" w:color="auto"/>
        <w:left w:val="none" w:sz="0" w:space="0" w:color="auto"/>
        <w:bottom w:val="none" w:sz="0" w:space="0" w:color="auto"/>
        <w:right w:val="none" w:sz="0" w:space="0" w:color="auto"/>
      </w:divBdr>
    </w:div>
    <w:div w:id="1320844589">
      <w:marLeft w:val="0"/>
      <w:marRight w:val="0"/>
      <w:marTop w:val="0"/>
      <w:marBottom w:val="0"/>
      <w:divBdr>
        <w:top w:val="none" w:sz="0" w:space="0" w:color="auto"/>
        <w:left w:val="none" w:sz="0" w:space="0" w:color="auto"/>
        <w:bottom w:val="none" w:sz="0" w:space="0" w:color="auto"/>
        <w:right w:val="none" w:sz="0" w:space="0" w:color="auto"/>
      </w:divBdr>
    </w:div>
    <w:div w:id="1320844590">
      <w:marLeft w:val="0"/>
      <w:marRight w:val="0"/>
      <w:marTop w:val="0"/>
      <w:marBottom w:val="0"/>
      <w:divBdr>
        <w:top w:val="none" w:sz="0" w:space="0" w:color="auto"/>
        <w:left w:val="none" w:sz="0" w:space="0" w:color="auto"/>
        <w:bottom w:val="none" w:sz="0" w:space="0" w:color="auto"/>
        <w:right w:val="none" w:sz="0" w:space="0" w:color="auto"/>
      </w:divBdr>
    </w:div>
    <w:div w:id="1320844591">
      <w:marLeft w:val="0"/>
      <w:marRight w:val="0"/>
      <w:marTop w:val="0"/>
      <w:marBottom w:val="0"/>
      <w:divBdr>
        <w:top w:val="none" w:sz="0" w:space="0" w:color="auto"/>
        <w:left w:val="none" w:sz="0" w:space="0" w:color="auto"/>
        <w:bottom w:val="none" w:sz="0" w:space="0" w:color="auto"/>
        <w:right w:val="none" w:sz="0" w:space="0" w:color="auto"/>
      </w:divBdr>
    </w:div>
    <w:div w:id="1320844592">
      <w:marLeft w:val="0"/>
      <w:marRight w:val="0"/>
      <w:marTop w:val="0"/>
      <w:marBottom w:val="0"/>
      <w:divBdr>
        <w:top w:val="none" w:sz="0" w:space="0" w:color="auto"/>
        <w:left w:val="none" w:sz="0" w:space="0" w:color="auto"/>
        <w:bottom w:val="none" w:sz="0" w:space="0" w:color="auto"/>
        <w:right w:val="none" w:sz="0" w:space="0" w:color="auto"/>
      </w:divBdr>
    </w:div>
    <w:div w:id="1320844593">
      <w:marLeft w:val="0"/>
      <w:marRight w:val="0"/>
      <w:marTop w:val="0"/>
      <w:marBottom w:val="0"/>
      <w:divBdr>
        <w:top w:val="none" w:sz="0" w:space="0" w:color="auto"/>
        <w:left w:val="none" w:sz="0" w:space="0" w:color="auto"/>
        <w:bottom w:val="none" w:sz="0" w:space="0" w:color="auto"/>
        <w:right w:val="none" w:sz="0" w:space="0" w:color="auto"/>
      </w:divBdr>
    </w:div>
    <w:div w:id="1320844597">
      <w:marLeft w:val="0"/>
      <w:marRight w:val="0"/>
      <w:marTop w:val="0"/>
      <w:marBottom w:val="0"/>
      <w:divBdr>
        <w:top w:val="none" w:sz="0" w:space="0" w:color="auto"/>
        <w:left w:val="none" w:sz="0" w:space="0" w:color="auto"/>
        <w:bottom w:val="none" w:sz="0" w:space="0" w:color="auto"/>
        <w:right w:val="none" w:sz="0" w:space="0" w:color="auto"/>
      </w:divBdr>
      <w:divsChild>
        <w:div w:id="1320844594">
          <w:marLeft w:val="0"/>
          <w:marRight w:val="0"/>
          <w:marTop w:val="0"/>
          <w:marBottom w:val="0"/>
          <w:divBdr>
            <w:top w:val="none" w:sz="0" w:space="0" w:color="auto"/>
            <w:left w:val="none" w:sz="0" w:space="0" w:color="auto"/>
            <w:bottom w:val="none" w:sz="0" w:space="0" w:color="auto"/>
            <w:right w:val="none" w:sz="0" w:space="0" w:color="auto"/>
          </w:divBdr>
          <w:divsChild>
            <w:div w:id="1320844595">
              <w:marLeft w:val="0"/>
              <w:marRight w:val="0"/>
              <w:marTop w:val="0"/>
              <w:marBottom w:val="0"/>
              <w:divBdr>
                <w:top w:val="none" w:sz="0" w:space="0" w:color="auto"/>
                <w:left w:val="none" w:sz="0" w:space="0" w:color="auto"/>
                <w:bottom w:val="none" w:sz="0" w:space="0" w:color="auto"/>
                <w:right w:val="none" w:sz="0" w:space="0" w:color="auto"/>
              </w:divBdr>
              <w:divsChild>
                <w:div w:id="1320844596">
                  <w:marLeft w:val="0"/>
                  <w:marRight w:val="0"/>
                  <w:marTop w:val="0"/>
                  <w:marBottom w:val="0"/>
                  <w:divBdr>
                    <w:top w:val="none" w:sz="0" w:space="0" w:color="auto"/>
                    <w:left w:val="none" w:sz="0" w:space="0" w:color="auto"/>
                    <w:bottom w:val="none" w:sz="0" w:space="0" w:color="auto"/>
                    <w:right w:val="none" w:sz="0" w:space="0" w:color="auto"/>
                  </w:divBdr>
                  <w:divsChild>
                    <w:div w:id="13208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36672-ED23-4A10-81A8-F253E955586D}">
  <ds:schemaRefs>
    <ds:schemaRef ds:uri="http://schemas.microsoft.com/sharepoint/v3/contenttype/forms"/>
  </ds:schemaRefs>
</ds:datastoreItem>
</file>

<file path=customXml/itemProps2.xml><?xml version="1.0" encoding="utf-8"?>
<ds:datastoreItem xmlns:ds="http://schemas.openxmlformats.org/officeDocument/2006/customXml" ds:itemID="{D8A4FF25-1733-42E0-96E8-4D7FBA9FE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52C825-2AF6-430B-B4C2-DDAAB4D88823}">
  <ds:schemaRef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CC6AC03-148F-4A38-9E96-DCADE27AE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52F9AC54.dotm</Template>
  <TotalTime>0</TotalTime>
  <Pages>14</Pages>
  <Words>3269</Words>
  <Characters>18639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Day</dc:creator>
  <cp:lastModifiedBy>ROBSON,Meredith</cp:lastModifiedBy>
  <cp:revision>2</cp:revision>
  <cp:lastPrinted>2011-07-04T04:09:00Z</cp:lastPrinted>
  <dcterms:created xsi:type="dcterms:W3CDTF">2020-03-10T21:46:00Z</dcterms:created>
  <dcterms:modified xsi:type="dcterms:W3CDTF">2020-03-10T21:46:00Z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ies>
</file>