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09E" w:rsidRDefault="0065709E" w:rsidP="0065709E">
      <w:pPr>
        <w:jc w:val="center"/>
        <w:rPr>
          <w:rFonts w:ascii="Tahoma" w:hAnsi="Tahoma" w:cs="Tahoma"/>
          <w:b/>
          <w:sz w:val="32"/>
          <w:szCs w:val="32"/>
        </w:rPr>
      </w:pPr>
      <w:bookmarkStart w:id="0" w:name="_GoBack"/>
      <w:bookmarkEnd w:id="0"/>
    </w:p>
    <w:p w:rsidR="0065709E" w:rsidRDefault="0065709E" w:rsidP="0065709E">
      <w:pPr>
        <w:rPr>
          <w:rFonts w:ascii="Tahoma" w:hAnsi="Tahoma" w:cs="Tahoma"/>
          <w:b/>
          <w:sz w:val="32"/>
          <w:szCs w:val="32"/>
        </w:rPr>
      </w:pPr>
    </w:p>
    <w:p w:rsidR="0065709E" w:rsidRDefault="0065709E" w:rsidP="0065709E">
      <w:pPr>
        <w:rPr>
          <w:rFonts w:ascii="Tahoma" w:hAnsi="Tahoma" w:cs="Tahoma"/>
          <w:b/>
          <w:sz w:val="32"/>
          <w:szCs w:val="32"/>
        </w:rPr>
      </w:pPr>
    </w:p>
    <w:p w:rsidR="0065709E" w:rsidRDefault="0065709E" w:rsidP="0065709E">
      <w:pPr>
        <w:rPr>
          <w:rFonts w:ascii="Tahoma" w:hAnsi="Tahoma" w:cs="Tahoma"/>
          <w:b/>
          <w:sz w:val="32"/>
          <w:szCs w:val="32"/>
        </w:rPr>
      </w:pPr>
    </w:p>
    <w:p w:rsidR="0065709E" w:rsidRDefault="0065709E" w:rsidP="0065709E">
      <w:pPr>
        <w:rPr>
          <w:rFonts w:ascii="Tahoma" w:hAnsi="Tahoma" w:cs="Tahoma"/>
          <w:b/>
          <w:sz w:val="32"/>
          <w:szCs w:val="32"/>
        </w:rPr>
      </w:pPr>
    </w:p>
    <w:p w:rsidR="00B62EE8" w:rsidRDefault="00B62EE8" w:rsidP="0065709E">
      <w:pPr>
        <w:rPr>
          <w:rFonts w:ascii="Tahoma" w:hAnsi="Tahoma" w:cs="Tahoma"/>
          <w:b/>
          <w:sz w:val="32"/>
          <w:szCs w:val="32"/>
        </w:rPr>
      </w:pPr>
    </w:p>
    <w:p w:rsidR="00B62EE8" w:rsidRDefault="00B62EE8" w:rsidP="0065709E">
      <w:pPr>
        <w:rPr>
          <w:rFonts w:ascii="Tahoma" w:hAnsi="Tahoma" w:cs="Tahoma"/>
          <w:b/>
          <w:sz w:val="32"/>
          <w:szCs w:val="32"/>
        </w:rPr>
      </w:pPr>
    </w:p>
    <w:p w:rsidR="0065709E" w:rsidRDefault="0065709E" w:rsidP="0065709E">
      <w:pPr>
        <w:rPr>
          <w:rFonts w:ascii="Tahoma" w:hAnsi="Tahoma" w:cs="Tahoma"/>
          <w:b/>
          <w:sz w:val="32"/>
          <w:szCs w:val="32"/>
        </w:rPr>
      </w:pPr>
    </w:p>
    <w:p w:rsidR="0065709E" w:rsidRDefault="0065709E" w:rsidP="0065709E">
      <w:pPr>
        <w:rPr>
          <w:rFonts w:ascii="Tahoma" w:hAnsi="Tahoma" w:cs="Tahoma"/>
          <w:b/>
          <w:sz w:val="32"/>
          <w:szCs w:val="32"/>
        </w:rPr>
      </w:pPr>
    </w:p>
    <w:p w:rsidR="0061189A" w:rsidRPr="00A042CC" w:rsidRDefault="0065709E" w:rsidP="00A042CC">
      <w:pPr>
        <w:pStyle w:val="Title"/>
      </w:pPr>
      <w:r w:rsidRPr="00A042CC">
        <w:t xml:space="preserve">ANALYSIS OF </w:t>
      </w:r>
      <w:r w:rsidR="00013114" w:rsidRPr="00A042CC">
        <w:t>BI</w:t>
      </w:r>
      <w:r w:rsidRPr="00A042CC">
        <w:t>ANNUAL DATA FROM</w:t>
      </w:r>
    </w:p>
    <w:p w:rsidR="0061189A" w:rsidRPr="00A042CC" w:rsidRDefault="0065709E" w:rsidP="00A042CC">
      <w:pPr>
        <w:pStyle w:val="Title"/>
      </w:pPr>
      <w:r w:rsidRPr="00A042CC">
        <w:t xml:space="preserve">ACCREDITED CONTRACTORS </w:t>
      </w:r>
      <w:r w:rsidR="00013114" w:rsidRPr="00A042CC">
        <w:t>FOR THE</w:t>
      </w:r>
    </w:p>
    <w:p w:rsidR="0061189A" w:rsidRPr="00A042CC" w:rsidRDefault="00013114" w:rsidP="00A042CC">
      <w:pPr>
        <w:pStyle w:val="Title"/>
      </w:pPr>
      <w:r w:rsidRPr="00A042CC">
        <w:t>JULY</w:t>
      </w:r>
      <w:r w:rsidR="0061189A" w:rsidRPr="00A042CC">
        <w:t xml:space="preserve"> TO </w:t>
      </w:r>
      <w:r w:rsidRPr="00A042CC">
        <w:t>DECEMBER 2008</w:t>
      </w:r>
    </w:p>
    <w:p w:rsidR="0065709E" w:rsidRDefault="00013114" w:rsidP="00A042CC">
      <w:pPr>
        <w:pStyle w:val="Title"/>
      </w:pPr>
      <w:r w:rsidRPr="00A042CC">
        <w:t>REPORTING PERIOD</w:t>
      </w:r>
    </w:p>
    <w:p w:rsidR="0065709E" w:rsidRDefault="0065709E" w:rsidP="0065709E">
      <w:pPr>
        <w:jc w:val="center"/>
        <w:rPr>
          <w:rFonts w:ascii="Tahoma" w:hAnsi="Tahoma" w:cs="Tahoma"/>
          <w:b/>
          <w:sz w:val="32"/>
          <w:szCs w:val="32"/>
        </w:rPr>
      </w:pPr>
    </w:p>
    <w:p w:rsidR="0065709E" w:rsidRDefault="0065709E" w:rsidP="0065709E">
      <w:pPr>
        <w:rPr>
          <w:rFonts w:ascii="Tahoma" w:hAnsi="Tahoma" w:cs="Tahoma"/>
          <w:b/>
          <w:sz w:val="32"/>
          <w:szCs w:val="32"/>
        </w:rPr>
      </w:pPr>
    </w:p>
    <w:p w:rsidR="0065709E" w:rsidRDefault="0065709E" w:rsidP="0065709E">
      <w:pPr>
        <w:rPr>
          <w:rFonts w:ascii="Tahoma" w:hAnsi="Tahoma" w:cs="Tahoma"/>
          <w:b/>
          <w:sz w:val="32"/>
          <w:szCs w:val="32"/>
        </w:rPr>
      </w:pPr>
    </w:p>
    <w:p w:rsidR="00B62EE8" w:rsidRDefault="00B62EE8" w:rsidP="0065709E">
      <w:pPr>
        <w:rPr>
          <w:rFonts w:ascii="Tahoma" w:hAnsi="Tahoma" w:cs="Tahoma"/>
          <w:b/>
          <w:sz w:val="32"/>
          <w:szCs w:val="32"/>
        </w:rPr>
      </w:pPr>
    </w:p>
    <w:p w:rsidR="00B62EE8" w:rsidRDefault="00B62EE8" w:rsidP="0065709E">
      <w:pPr>
        <w:rPr>
          <w:rFonts w:ascii="Tahoma" w:hAnsi="Tahoma" w:cs="Tahoma"/>
          <w:b/>
          <w:sz w:val="32"/>
          <w:szCs w:val="32"/>
        </w:rPr>
      </w:pPr>
    </w:p>
    <w:p w:rsidR="00B62EE8" w:rsidRDefault="00B62EE8" w:rsidP="0065709E">
      <w:pPr>
        <w:rPr>
          <w:rFonts w:ascii="Tahoma" w:hAnsi="Tahoma" w:cs="Tahoma"/>
          <w:b/>
          <w:sz w:val="32"/>
          <w:szCs w:val="32"/>
        </w:rPr>
      </w:pPr>
    </w:p>
    <w:p w:rsidR="00B62EE8" w:rsidRDefault="00B62EE8" w:rsidP="0065709E">
      <w:pPr>
        <w:rPr>
          <w:rFonts w:ascii="Tahoma" w:hAnsi="Tahoma" w:cs="Tahoma"/>
          <w:b/>
          <w:sz w:val="32"/>
          <w:szCs w:val="32"/>
        </w:rPr>
      </w:pPr>
    </w:p>
    <w:p w:rsidR="0065709E" w:rsidRDefault="0065709E" w:rsidP="0065709E">
      <w:pPr>
        <w:rPr>
          <w:rFonts w:ascii="Tahoma" w:hAnsi="Tahoma" w:cs="Tahoma"/>
          <w:b/>
          <w:sz w:val="32"/>
          <w:szCs w:val="32"/>
        </w:rPr>
      </w:pPr>
    </w:p>
    <w:p w:rsidR="00B62EE8" w:rsidRDefault="00B62EE8" w:rsidP="0065709E">
      <w:pPr>
        <w:rPr>
          <w:rFonts w:ascii="Tahoma" w:hAnsi="Tahoma" w:cs="Tahoma"/>
          <w:b/>
          <w:sz w:val="32"/>
          <w:szCs w:val="32"/>
        </w:rPr>
      </w:pPr>
    </w:p>
    <w:p w:rsidR="0065709E" w:rsidRDefault="0065709E" w:rsidP="0065709E">
      <w:pPr>
        <w:rPr>
          <w:rFonts w:ascii="Tahoma" w:hAnsi="Tahoma" w:cs="Tahoma"/>
          <w:b/>
          <w:sz w:val="32"/>
          <w:szCs w:val="32"/>
        </w:rPr>
      </w:pPr>
    </w:p>
    <w:p w:rsidR="0065709E" w:rsidRPr="00A042CC" w:rsidRDefault="0065709E" w:rsidP="00A042CC">
      <w:pPr>
        <w:pStyle w:val="Subtitle"/>
      </w:pPr>
      <w:r w:rsidRPr="00A042CC">
        <w:t>Australian Government Building and Construction OHS Accreditation Scheme</w:t>
      </w:r>
    </w:p>
    <w:p w:rsidR="0065709E" w:rsidRDefault="0065709E" w:rsidP="0065709E">
      <w:pPr>
        <w:jc w:val="center"/>
        <w:rPr>
          <w:rFonts w:ascii="Tahoma" w:hAnsi="Tahoma" w:cs="Tahoma"/>
          <w:sz w:val="32"/>
          <w:szCs w:val="32"/>
        </w:rPr>
      </w:pPr>
    </w:p>
    <w:p w:rsidR="0065709E" w:rsidRDefault="0065709E" w:rsidP="0065709E">
      <w:pPr>
        <w:jc w:val="center"/>
        <w:rPr>
          <w:rFonts w:ascii="Tahoma" w:hAnsi="Tahoma" w:cs="Tahoma"/>
          <w:sz w:val="32"/>
          <w:szCs w:val="32"/>
        </w:rPr>
      </w:pPr>
    </w:p>
    <w:p w:rsidR="0065709E" w:rsidRPr="00A042CC" w:rsidRDefault="00E34DD3" w:rsidP="00A042CC">
      <w:pPr>
        <w:pStyle w:val="Subtitle"/>
        <w:rPr>
          <w:sz w:val="32"/>
          <w:szCs w:val="32"/>
        </w:rPr>
      </w:pPr>
      <w:r w:rsidRPr="00A042CC">
        <w:rPr>
          <w:sz w:val="32"/>
          <w:szCs w:val="32"/>
        </w:rPr>
        <w:t>August</w:t>
      </w:r>
      <w:r w:rsidR="0065709E" w:rsidRPr="00A042CC">
        <w:rPr>
          <w:sz w:val="32"/>
          <w:szCs w:val="32"/>
        </w:rPr>
        <w:t xml:space="preserve"> 200</w:t>
      </w:r>
      <w:r w:rsidR="00013114" w:rsidRPr="00A042CC">
        <w:rPr>
          <w:sz w:val="32"/>
          <w:szCs w:val="32"/>
        </w:rPr>
        <w:t>9</w:t>
      </w:r>
    </w:p>
    <w:p w:rsidR="0065709E" w:rsidRPr="00BC4075" w:rsidRDefault="0065709E" w:rsidP="00BC4075">
      <w:pPr>
        <w:rPr>
          <w:rFonts w:ascii="Tahoma" w:hAnsi="Tahoma" w:cs="Tahoma"/>
          <w:sz w:val="22"/>
          <w:szCs w:val="22"/>
        </w:rPr>
      </w:pPr>
    </w:p>
    <w:p w:rsidR="00B62EE8" w:rsidRDefault="00B62EE8" w:rsidP="0061189A">
      <w:pPr>
        <w:jc w:val="center"/>
        <w:rPr>
          <w:rFonts w:ascii="Tahoma" w:hAnsi="Tahoma" w:cs="Tahoma"/>
          <w:b/>
          <w:sz w:val="22"/>
          <w:szCs w:val="22"/>
        </w:rPr>
      </w:pPr>
    </w:p>
    <w:p w:rsidR="00583E5C" w:rsidRDefault="00583E5C" w:rsidP="0061189A">
      <w:pPr>
        <w:jc w:val="center"/>
        <w:rPr>
          <w:rFonts w:ascii="Tahoma" w:hAnsi="Tahoma" w:cs="Tahoma"/>
          <w:b/>
          <w:sz w:val="22"/>
          <w:szCs w:val="22"/>
        </w:rPr>
      </w:pPr>
    </w:p>
    <w:p w:rsidR="00583E5C" w:rsidRDefault="00583E5C" w:rsidP="0061189A">
      <w:pPr>
        <w:jc w:val="center"/>
        <w:rPr>
          <w:rFonts w:ascii="Tahoma" w:hAnsi="Tahoma" w:cs="Tahoma"/>
          <w:b/>
          <w:sz w:val="22"/>
          <w:szCs w:val="22"/>
        </w:rPr>
      </w:pPr>
    </w:p>
    <w:p w:rsidR="00583E5C" w:rsidRDefault="00583E5C" w:rsidP="0061189A">
      <w:pPr>
        <w:jc w:val="center"/>
        <w:rPr>
          <w:rFonts w:ascii="Tahoma" w:hAnsi="Tahoma" w:cs="Tahoma"/>
          <w:b/>
          <w:sz w:val="22"/>
          <w:szCs w:val="22"/>
        </w:rPr>
      </w:pPr>
    </w:p>
    <w:p w:rsidR="00583E5C" w:rsidRDefault="00583E5C" w:rsidP="0061189A">
      <w:pPr>
        <w:jc w:val="center"/>
        <w:rPr>
          <w:rFonts w:ascii="Tahoma" w:hAnsi="Tahoma" w:cs="Tahoma"/>
          <w:b/>
          <w:sz w:val="22"/>
          <w:szCs w:val="22"/>
        </w:rPr>
      </w:pPr>
    </w:p>
    <w:p w:rsidR="00583E5C" w:rsidRDefault="00583E5C" w:rsidP="0061189A">
      <w:pPr>
        <w:jc w:val="center"/>
        <w:rPr>
          <w:rFonts w:ascii="Tahoma" w:hAnsi="Tahoma" w:cs="Tahoma"/>
          <w:b/>
          <w:sz w:val="22"/>
          <w:szCs w:val="22"/>
        </w:rPr>
      </w:pPr>
    </w:p>
    <w:p w:rsidR="00583E5C" w:rsidRDefault="00583E5C" w:rsidP="0061189A">
      <w:pPr>
        <w:jc w:val="center"/>
        <w:rPr>
          <w:rFonts w:ascii="Tahoma" w:hAnsi="Tahoma" w:cs="Tahoma"/>
          <w:b/>
          <w:sz w:val="22"/>
          <w:szCs w:val="22"/>
        </w:rPr>
      </w:pPr>
    </w:p>
    <w:p w:rsidR="00583E5C" w:rsidRDefault="00583E5C" w:rsidP="0061189A">
      <w:pPr>
        <w:jc w:val="center"/>
        <w:rPr>
          <w:rFonts w:ascii="Tahoma" w:hAnsi="Tahoma" w:cs="Tahoma"/>
          <w:b/>
          <w:sz w:val="22"/>
          <w:szCs w:val="22"/>
        </w:rPr>
      </w:pPr>
    </w:p>
    <w:p w:rsidR="00583E5C" w:rsidRDefault="00583E5C" w:rsidP="0061189A">
      <w:pPr>
        <w:jc w:val="center"/>
        <w:rPr>
          <w:rFonts w:ascii="Tahoma" w:hAnsi="Tahoma" w:cs="Tahoma"/>
          <w:b/>
          <w:sz w:val="22"/>
          <w:szCs w:val="22"/>
        </w:rPr>
      </w:pPr>
    </w:p>
    <w:p w:rsidR="00583E5C" w:rsidRDefault="00583E5C" w:rsidP="0061189A">
      <w:pPr>
        <w:jc w:val="center"/>
        <w:rPr>
          <w:rFonts w:ascii="Tahoma" w:hAnsi="Tahoma" w:cs="Tahoma"/>
          <w:b/>
          <w:sz w:val="22"/>
          <w:szCs w:val="22"/>
        </w:rPr>
      </w:pPr>
    </w:p>
    <w:p w:rsidR="0065709E" w:rsidRDefault="0065709E" w:rsidP="0061189A">
      <w:pPr>
        <w:jc w:val="center"/>
        <w:rPr>
          <w:rFonts w:ascii="Tahoma" w:hAnsi="Tahoma" w:cs="Tahoma"/>
          <w:b/>
          <w:sz w:val="22"/>
          <w:szCs w:val="22"/>
        </w:rPr>
      </w:pPr>
      <w:r w:rsidRPr="0061189A">
        <w:rPr>
          <w:rFonts w:ascii="Tahoma" w:hAnsi="Tahoma" w:cs="Tahoma"/>
          <w:b/>
          <w:sz w:val="22"/>
          <w:szCs w:val="22"/>
        </w:rPr>
        <w:t>CONTENTS</w:t>
      </w:r>
    </w:p>
    <w:p w:rsidR="00571187" w:rsidRPr="00731032" w:rsidRDefault="00731032" w:rsidP="00731032">
      <w:pPr>
        <w:jc w:val="right"/>
        <w:rPr>
          <w:rFonts w:ascii="Tahoma" w:hAnsi="Tahoma" w:cs="Tahoma"/>
          <w:sz w:val="22"/>
          <w:szCs w:val="22"/>
        </w:rPr>
      </w:pPr>
      <w:r w:rsidRPr="00731032">
        <w:rPr>
          <w:rFonts w:ascii="Tahoma" w:hAnsi="Tahoma" w:cs="Tahoma"/>
          <w:sz w:val="22"/>
          <w:szCs w:val="22"/>
        </w:rPr>
        <w:t>Page</w:t>
      </w:r>
    </w:p>
    <w:p w:rsidR="00A93138" w:rsidRDefault="006B4A68">
      <w:pPr>
        <w:pStyle w:val="TOC1"/>
        <w:tabs>
          <w:tab w:val="left" w:pos="480"/>
          <w:tab w:val="right" w:leader="dot" w:pos="8303"/>
        </w:tabs>
        <w:rPr>
          <w:rFonts w:cs="Times New Roman"/>
          <w:b w:val="0"/>
          <w:bCs w:val="0"/>
          <w:caps w:val="0"/>
          <w:noProof/>
          <w:lang w:eastAsia="en-AU"/>
        </w:rPr>
      </w:pPr>
      <w:r>
        <w:rPr>
          <w:rFonts w:ascii="Tahoma" w:hAnsi="Tahoma" w:cs="Tahoma"/>
          <w:bCs w:val="0"/>
          <w:caps w:val="0"/>
          <w:noProof/>
          <w:sz w:val="22"/>
          <w:szCs w:val="22"/>
        </w:rPr>
        <w:fldChar w:fldCharType="begin"/>
      </w:r>
      <w:r>
        <w:rPr>
          <w:rFonts w:ascii="Tahoma" w:hAnsi="Tahoma" w:cs="Tahoma"/>
          <w:bCs w:val="0"/>
          <w:caps w:val="0"/>
          <w:noProof/>
          <w:sz w:val="22"/>
          <w:szCs w:val="22"/>
        </w:rPr>
        <w:instrText xml:space="preserve"> TOC \o "1-3" \h \z \u </w:instrText>
      </w:r>
      <w:r>
        <w:rPr>
          <w:rFonts w:ascii="Tahoma" w:hAnsi="Tahoma" w:cs="Tahoma"/>
          <w:bCs w:val="0"/>
          <w:caps w:val="0"/>
          <w:noProof/>
          <w:sz w:val="22"/>
          <w:szCs w:val="22"/>
        </w:rPr>
        <w:fldChar w:fldCharType="separate"/>
      </w:r>
      <w:hyperlink w:anchor="_Toc237832454" w:history="1">
        <w:r w:rsidR="00A93138" w:rsidRPr="00416B12">
          <w:rPr>
            <w:rStyle w:val="Hyperlink"/>
            <w:rFonts w:cs="Arial"/>
            <w:noProof/>
          </w:rPr>
          <w:t>1</w:t>
        </w:r>
        <w:r w:rsidR="00A93138">
          <w:rPr>
            <w:rFonts w:cs="Times New Roman"/>
            <w:b w:val="0"/>
            <w:bCs w:val="0"/>
            <w:caps w:val="0"/>
            <w:noProof/>
            <w:lang w:eastAsia="en-AU"/>
          </w:rPr>
          <w:tab/>
        </w:r>
        <w:r w:rsidR="00A93138" w:rsidRPr="00416B12">
          <w:rPr>
            <w:rStyle w:val="Hyperlink"/>
            <w:rFonts w:cs="Arial"/>
            <w:noProof/>
          </w:rPr>
          <w:t>INTRODUCTION</w:t>
        </w:r>
        <w:r w:rsidR="00A93138">
          <w:rPr>
            <w:noProof/>
            <w:webHidden/>
          </w:rPr>
          <w:tab/>
        </w:r>
        <w:r w:rsidR="00A93138">
          <w:rPr>
            <w:noProof/>
            <w:webHidden/>
          </w:rPr>
          <w:fldChar w:fldCharType="begin"/>
        </w:r>
        <w:r w:rsidR="00A93138">
          <w:rPr>
            <w:noProof/>
            <w:webHidden/>
          </w:rPr>
          <w:instrText xml:space="preserve"> PAGEREF _Toc237832454 \h </w:instrText>
        </w:r>
        <w:r w:rsidR="00A93138">
          <w:rPr>
            <w:noProof/>
            <w:webHidden/>
          </w:rPr>
        </w:r>
        <w:r w:rsidR="00A93138">
          <w:rPr>
            <w:noProof/>
            <w:webHidden/>
          </w:rPr>
          <w:fldChar w:fldCharType="separate"/>
        </w:r>
        <w:r w:rsidR="00D65352">
          <w:rPr>
            <w:noProof/>
            <w:webHidden/>
          </w:rPr>
          <w:t>3</w:t>
        </w:r>
        <w:r w:rsidR="00A93138">
          <w:rPr>
            <w:noProof/>
            <w:webHidden/>
          </w:rPr>
          <w:fldChar w:fldCharType="end"/>
        </w:r>
      </w:hyperlink>
    </w:p>
    <w:p w:rsidR="00A93138" w:rsidRDefault="00C235E9">
      <w:pPr>
        <w:pStyle w:val="TOC1"/>
        <w:tabs>
          <w:tab w:val="left" w:pos="480"/>
          <w:tab w:val="right" w:leader="dot" w:pos="8303"/>
        </w:tabs>
        <w:rPr>
          <w:rFonts w:cs="Times New Roman"/>
          <w:b w:val="0"/>
          <w:bCs w:val="0"/>
          <w:caps w:val="0"/>
          <w:noProof/>
          <w:lang w:eastAsia="en-AU"/>
        </w:rPr>
      </w:pPr>
      <w:hyperlink w:anchor="_Toc237832455" w:history="1">
        <w:r w:rsidR="00A93138" w:rsidRPr="00416B12">
          <w:rPr>
            <w:rStyle w:val="Hyperlink"/>
            <w:rFonts w:cs="Arial"/>
            <w:noProof/>
          </w:rPr>
          <w:t>2</w:t>
        </w:r>
        <w:r w:rsidR="00A93138">
          <w:rPr>
            <w:rFonts w:cs="Times New Roman"/>
            <w:b w:val="0"/>
            <w:bCs w:val="0"/>
            <w:caps w:val="0"/>
            <w:noProof/>
            <w:lang w:eastAsia="en-AU"/>
          </w:rPr>
          <w:tab/>
        </w:r>
        <w:r w:rsidR="00A93138" w:rsidRPr="00416B12">
          <w:rPr>
            <w:rStyle w:val="Hyperlink"/>
            <w:rFonts w:cs="Arial"/>
            <w:noProof/>
          </w:rPr>
          <w:t>SCHEME THRESHOLDS</w:t>
        </w:r>
        <w:r w:rsidR="00A93138">
          <w:rPr>
            <w:noProof/>
            <w:webHidden/>
          </w:rPr>
          <w:tab/>
        </w:r>
        <w:r w:rsidR="00A93138">
          <w:rPr>
            <w:noProof/>
            <w:webHidden/>
          </w:rPr>
          <w:fldChar w:fldCharType="begin"/>
        </w:r>
        <w:r w:rsidR="00A93138">
          <w:rPr>
            <w:noProof/>
            <w:webHidden/>
          </w:rPr>
          <w:instrText xml:space="preserve"> PAGEREF _Toc237832455 \h </w:instrText>
        </w:r>
        <w:r w:rsidR="00A93138">
          <w:rPr>
            <w:noProof/>
            <w:webHidden/>
          </w:rPr>
        </w:r>
        <w:r w:rsidR="00A93138">
          <w:rPr>
            <w:noProof/>
            <w:webHidden/>
          </w:rPr>
          <w:fldChar w:fldCharType="separate"/>
        </w:r>
        <w:r w:rsidR="00D65352">
          <w:rPr>
            <w:noProof/>
            <w:webHidden/>
          </w:rPr>
          <w:t>3</w:t>
        </w:r>
        <w:r w:rsidR="00A93138">
          <w:rPr>
            <w:noProof/>
            <w:webHidden/>
          </w:rPr>
          <w:fldChar w:fldCharType="end"/>
        </w:r>
      </w:hyperlink>
    </w:p>
    <w:p w:rsidR="00A93138" w:rsidRDefault="00C235E9">
      <w:pPr>
        <w:pStyle w:val="TOC1"/>
        <w:tabs>
          <w:tab w:val="left" w:pos="480"/>
          <w:tab w:val="right" w:leader="dot" w:pos="8303"/>
        </w:tabs>
        <w:rPr>
          <w:rFonts w:cs="Times New Roman"/>
          <w:b w:val="0"/>
          <w:bCs w:val="0"/>
          <w:caps w:val="0"/>
          <w:noProof/>
          <w:lang w:eastAsia="en-AU"/>
        </w:rPr>
      </w:pPr>
      <w:hyperlink w:anchor="_Toc237832456" w:history="1">
        <w:r w:rsidR="00A93138" w:rsidRPr="00416B12">
          <w:rPr>
            <w:rStyle w:val="Hyperlink"/>
            <w:rFonts w:cs="Arial"/>
            <w:noProof/>
          </w:rPr>
          <w:t>3</w:t>
        </w:r>
        <w:r w:rsidR="00A93138">
          <w:rPr>
            <w:rFonts w:cs="Times New Roman"/>
            <w:b w:val="0"/>
            <w:bCs w:val="0"/>
            <w:caps w:val="0"/>
            <w:noProof/>
            <w:lang w:eastAsia="en-AU"/>
          </w:rPr>
          <w:tab/>
        </w:r>
        <w:r w:rsidR="00A93138" w:rsidRPr="00416B12">
          <w:rPr>
            <w:rStyle w:val="Hyperlink"/>
            <w:rFonts w:cs="Arial"/>
            <w:noProof/>
          </w:rPr>
          <w:t>REPORTING</w:t>
        </w:r>
        <w:r w:rsidR="00A93138">
          <w:rPr>
            <w:noProof/>
            <w:webHidden/>
          </w:rPr>
          <w:tab/>
        </w:r>
        <w:r w:rsidR="00A93138">
          <w:rPr>
            <w:noProof/>
            <w:webHidden/>
          </w:rPr>
          <w:fldChar w:fldCharType="begin"/>
        </w:r>
        <w:r w:rsidR="00A93138">
          <w:rPr>
            <w:noProof/>
            <w:webHidden/>
          </w:rPr>
          <w:instrText xml:space="preserve"> PAGEREF _Toc237832456 \h </w:instrText>
        </w:r>
        <w:r w:rsidR="00A93138">
          <w:rPr>
            <w:noProof/>
            <w:webHidden/>
          </w:rPr>
        </w:r>
        <w:r w:rsidR="00A93138">
          <w:rPr>
            <w:noProof/>
            <w:webHidden/>
          </w:rPr>
          <w:fldChar w:fldCharType="separate"/>
        </w:r>
        <w:r w:rsidR="00D65352">
          <w:rPr>
            <w:noProof/>
            <w:webHidden/>
          </w:rPr>
          <w:t>3</w:t>
        </w:r>
        <w:r w:rsidR="00A93138">
          <w:rPr>
            <w:noProof/>
            <w:webHidden/>
          </w:rPr>
          <w:fldChar w:fldCharType="end"/>
        </w:r>
      </w:hyperlink>
    </w:p>
    <w:p w:rsidR="00A93138" w:rsidRDefault="00C235E9">
      <w:pPr>
        <w:pStyle w:val="TOC1"/>
        <w:tabs>
          <w:tab w:val="left" w:pos="480"/>
          <w:tab w:val="right" w:leader="dot" w:pos="8303"/>
        </w:tabs>
        <w:rPr>
          <w:rFonts w:cs="Times New Roman"/>
          <w:b w:val="0"/>
          <w:bCs w:val="0"/>
          <w:caps w:val="0"/>
          <w:noProof/>
          <w:lang w:eastAsia="en-AU"/>
        </w:rPr>
      </w:pPr>
      <w:hyperlink w:anchor="_Toc237832457" w:history="1">
        <w:r w:rsidR="00A93138" w:rsidRPr="00416B12">
          <w:rPr>
            <w:rStyle w:val="Hyperlink"/>
            <w:rFonts w:cs="Arial"/>
            <w:noProof/>
          </w:rPr>
          <w:t>4</w:t>
        </w:r>
        <w:r w:rsidR="00A93138">
          <w:rPr>
            <w:rFonts w:cs="Times New Roman"/>
            <w:b w:val="0"/>
            <w:bCs w:val="0"/>
            <w:caps w:val="0"/>
            <w:noProof/>
            <w:lang w:eastAsia="en-AU"/>
          </w:rPr>
          <w:tab/>
        </w:r>
        <w:r w:rsidR="00A93138" w:rsidRPr="00416B12">
          <w:rPr>
            <w:rStyle w:val="Hyperlink"/>
            <w:rFonts w:cs="Arial"/>
            <w:noProof/>
          </w:rPr>
          <w:t>ANALYSIS</w:t>
        </w:r>
        <w:r w:rsidR="00A93138">
          <w:rPr>
            <w:noProof/>
            <w:webHidden/>
          </w:rPr>
          <w:tab/>
        </w:r>
        <w:r w:rsidR="00A93138">
          <w:rPr>
            <w:noProof/>
            <w:webHidden/>
          </w:rPr>
          <w:fldChar w:fldCharType="begin"/>
        </w:r>
        <w:r w:rsidR="00A93138">
          <w:rPr>
            <w:noProof/>
            <w:webHidden/>
          </w:rPr>
          <w:instrText xml:space="preserve"> PAGEREF _Toc237832457 \h </w:instrText>
        </w:r>
        <w:r w:rsidR="00A93138">
          <w:rPr>
            <w:noProof/>
            <w:webHidden/>
          </w:rPr>
        </w:r>
        <w:r w:rsidR="00A93138">
          <w:rPr>
            <w:noProof/>
            <w:webHidden/>
          </w:rPr>
          <w:fldChar w:fldCharType="separate"/>
        </w:r>
        <w:r w:rsidR="00D65352">
          <w:rPr>
            <w:noProof/>
            <w:webHidden/>
          </w:rPr>
          <w:t>4</w:t>
        </w:r>
        <w:r w:rsidR="00A93138">
          <w:rPr>
            <w:noProof/>
            <w:webHidden/>
          </w:rPr>
          <w:fldChar w:fldCharType="end"/>
        </w:r>
      </w:hyperlink>
    </w:p>
    <w:p w:rsidR="00A93138" w:rsidRDefault="00C235E9">
      <w:pPr>
        <w:pStyle w:val="TOC2"/>
        <w:tabs>
          <w:tab w:val="left" w:pos="720"/>
          <w:tab w:val="right" w:leader="dot" w:pos="8303"/>
        </w:tabs>
        <w:rPr>
          <w:b w:val="0"/>
          <w:bCs w:val="0"/>
          <w:noProof/>
          <w:szCs w:val="24"/>
          <w:lang w:eastAsia="en-AU"/>
        </w:rPr>
      </w:pPr>
      <w:hyperlink w:anchor="_Toc237832458" w:history="1">
        <w:r w:rsidR="00A93138" w:rsidRPr="00416B12">
          <w:rPr>
            <w:rStyle w:val="Hyperlink"/>
            <w:noProof/>
          </w:rPr>
          <w:t>4.1</w:t>
        </w:r>
        <w:r w:rsidR="00A93138">
          <w:rPr>
            <w:b w:val="0"/>
            <w:bCs w:val="0"/>
            <w:noProof/>
            <w:szCs w:val="24"/>
            <w:lang w:eastAsia="en-AU"/>
          </w:rPr>
          <w:tab/>
        </w:r>
        <w:r w:rsidR="00A93138" w:rsidRPr="00416B12">
          <w:rPr>
            <w:rStyle w:val="Hyperlink"/>
            <w:noProof/>
          </w:rPr>
          <w:t>Contractors accredited</w:t>
        </w:r>
        <w:r w:rsidR="00A93138">
          <w:rPr>
            <w:noProof/>
            <w:webHidden/>
          </w:rPr>
          <w:tab/>
        </w:r>
        <w:r w:rsidR="00A93138">
          <w:rPr>
            <w:noProof/>
            <w:webHidden/>
          </w:rPr>
          <w:fldChar w:fldCharType="begin"/>
        </w:r>
        <w:r w:rsidR="00A93138">
          <w:rPr>
            <w:noProof/>
            <w:webHidden/>
          </w:rPr>
          <w:instrText xml:space="preserve"> PAGEREF _Toc237832458 \h </w:instrText>
        </w:r>
        <w:r w:rsidR="00A93138">
          <w:rPr>
            <w:noProof/>
            <w:webHidden/>
          </w:rPr>
        </w:r>
        <w:r w:rsidR="00A93138">
          <w:rPr>
            <w:noProof/>
            <w:webHidden/>
          </w:rPr>
          <w:fldChar w:fldCharType="separate"/>
        </w:r>
        <w:r w:rsidR="00D65352">
          <w:rPr>
            <w:noProof/>
            <w:webHidden/>
          </w:rPr>
          <w:t>4</w:t>
        </w:r>
        <w:r w:rsidR="00A93138">
          <w:rPr>
            <w:noProof/>
            <w:webHidden/>
          </w:rPr>
          <w:fldChar w:fldCharType="end"/>
        </w:r>
      </w:hyperlink>
    </w:p>
    <w:p w:rsidR="00A93138" w:rsidRDefault="00C235E9">
      <w:pPr>
        <w:pStyle w:val="TOC2"/>
        <w:tabs>
          <w:tab w:val="left" w:pos="720"/>
          <w:tab w:val="right" w:leader="dot" w:pos="8303"/>
        </w:tabs>
        <w:rPr>
          <w:b w:val="0"/>
          <w:bCs w:val="0"/>
          <w:noProof/>
          <w:szCs w:val="24"/>
          <w:lang w:eastAsia="en-AU"/>
        </w:rPr>
      </w:pPr>
      <w:hyperlink w:anchor="_Toc237832459" w:history="1">
        <w:r w:rsidR="00A93138" w:rsidRPr="00416B12">
          <w:rPr>
            <w:rStyle w:val="Hyperlink"/>
            <w:noProof/>
          </w:rPr>
          <w:t>4.2</w:t>
        </w:r>
        <w:r w:rsidR="00A93138">
          <w:rPr>
            <w:b w:val="0"/>
            <w:bCs w:val="0"/>
            <w:noProof/>
            <w:szCs w:val="24"/>
            <w:lang w:eastAsia="en-AU"/>
          </w:rPr>
          <w:tab/>
        </w:r>
        <w:r w:rsidR="00A93138" w:rsidRPr="00416B12">
          <w:rPr>
            <w:rStyle w:val="Hyperlink"/>
            <w:noProof/>
          </w:rPr>
          <w:t>Number of projects</w:t>
        </w:r>
        <w:r w:rsidR="00A93138">
          <w:rPr>
            <w:noProof/>
            <w:webHidden/>
          </w:rPr>
          <w:tab/>
        </w:r>
        <w:r w:rsidR="00A93138">
          <w:rPr>
            <w:noProof/>
            <w:webHidden/>
          </w:rPr>
          <w:fldChar w:fldCharType="begin"/>
        </w:r>
        <w:r w:rsidR="00A93138">
          <w:rPr>
            <w:noProof/>
            <w:webHidden/>
          </w:rPr>
          <w:instrText xml:space="preserve"> PAGEREF _Toc237832459 \h </w:instrText>
        </w:r>
        <w:r w:rsidR="00A93138">
          <w:rPr>
            <w:noProof/>
            <w:webHidden/>
          </w:rPr>
        </w:r>
        <w:r w:rsidR="00A93138">
          <w:rPr>
            <w:noProof/>
            <w:webHidden/>
          </w:rPr>
          <w:fldChar w:fldCharType="separate"/>
        </w:r>
        <w:r w:rsidR="00D65352">
          <w:rPr>
            <w:noProof/>
            <w:webHidden/>
          </w:rPr>
          <w:t>5</w:t>
        </w:r>
        <w:r w:rsidR="00A93138">
          <w:rPr>
            <w:noProof/>
            <w:webHidden/>
          </w:rPr>
          <w:fldChar w:fldCharType="end"/>
        </w:r>
      </w:hyperlink>
    </w:p>
    <w:p w:rsidR="00A93138" w:rsidRDefault="00C235E9">
      <w:pPr>
        <w:pStyle w:val="TOC2"/>
        <w:tabs>
          <w:tab w:val="left" w:pos="720"/>
          <w:tab w:val="right" w:leader="dot" w:pos="8303"/>
        </w:tabs>
        <w:rPr>
          <w:b w:val="0"/>
          <w:bCs w:val="0"/>
          <w:noProof/>
          <w:szCs w:val="24"/>
          <w:lang w:eastAsia="en-AU"/>
        </w:rPr>
      </w:pPr>
      <w:hyperlink w:anchor="_Toc237832460" w:history="1">
        <w:r w:rsidR="00A93138" w:rsidRPr="00416B12">
          <w:rPr>
            <w:rStyle w:val="Hyperlink"/>
            <w:noProof/>
          </w:rPr>
          <w:t>4.3</w:t>
        </w:r>
        <w:r w:rsidR="00A93138">
          <w:rPr>
            <w:b w:val="0"/>
            <w:bCs w:val="0"/>
            <w:noProof/>
            <w:szCs w:val="24"/>
            <w:lang w:eastAsia="en-AU"/>
          </w:rPr>
          <w:tab/>
        </w:r>
        <w:r w:rsidR="00A93138" w:rsidRPr="00416B12">
          <w:rPr>
            <w:rStyle w:val="Hyperlink"/>
            <w:noProof/>
          </w:rPr>
          <w:t>Number employed</w:t>
        </w:r>
        <w:r w:rsidR="00A93138">
          <w:rPr>
            <w:noProof/>
            <w:webHidden/>
          </w:rPr>
          <w:tab/>
        </w:r>
        <w:r w:rsidR="00A93138">
          <w:rPr>
            <w:noProof/>
            <w:webHidden/>
          </w:rPr>
          <w:fldChar w:fldCharType="begin"/>
        </w:r>
        <w:r w:rsidR="00A93138">
          <w:rPr>
            <w:noProof/>
            <w:webHidden/>
          </w:rPr>
          <w:instrText xml:space="preserve"> PAGEREF _Toc237832460 \h </w:instrText>
        </w:r>
        <w:r w:rsidR="00A93138">
          <w:rPr>
            <w:noProof/>
            <w:webHidden/>
          </w:rPr>
        </w:r>
        <w:r w:rsidR="00A93138">
          <w:rPr>
            <w:noProof/>
            <w:webHidden/>
          </w:rPr>
          <w:fldChar w:fldCharType="separate"/>
        </w:r>
        <w:r w:rsidR="00D65352">
          <w:rPr>
            <w:noProof/>
            <w:webHidden/>
          </w:rPr>
          <w:t>5</w:t>
        </w:r>
        <w:r w:rsidR="00A93138">
          <w:rPr>
            <w:noProof/>
            <w:webHidden/>
          </w:rPr>
          <w:fldChar w:fldCharType="end"/>
        </w:r>
      </w:hyperlink>
    </w:p>
    <w:p w:rsidR="00A93138" w:rsidRDefault="00C235E9">
      <w:pPr>
        <w:pStyle w:val="TOC2"/>
        <w:tabs>
          <w:tab w:val="left" w:pos="720"/>
          <w:tab w:val="right" w:leader="dot" w:pos="8303"/>
        </w:tabs>
        <w:rPr>
          <w:b w:val="0"/>
          <w:bCs w:val="0"/>
          <w:noProof/>
          <w:szCs w:val="24"/>
          <w:lang w:eastAsia="en-AU"/>
        </w:rPr>
      </w:pPr>
      <w:hyperlink w:anchor="_Toc237832461" w:history="1">
        <w:r w:rsidR="00A93138" w:rsidRPr="00416B12">
          <w:rPr>
            <w:rStyle w:val="Hyperlink"/>
            <w:noProof/>
          </w:rPr>
          <w:t>4.4</w:t>
        </w:r>
        <w:r w:rsidR="00A93138">
          <w:rPr>
            <w:b w:val="0"/>
            <w:bCs w:val="0"/>
            <w:noProof/>
            <w:szCs w:val="24"/>
            <w:lang w:eastAsia="en-AU"/>
          </w:rPr>
          <w:tab/>
        </w:r>
        <w:r w:rsidR="00A93138" w:rsidRPr="00416B12">
          <w:rPr>
            <w:rStyle w:val="Hyperlink"/>
            <w:noProof/>
          </w:rPr>
          <w:t>Injury frequency rates</w:t>
        </w:r>
        <w:r w:rsidR="00A93138">
          <w:rPr>
            <w:noProof/>
            <w:webHidden/>
          </w:rPr>
          <w:tab/>
        </w:r>
        <w:r w:rsidR="00A93138">
          <w:rPr>
            <w:noProof/>
            <w:webHidden/>
          </w:rPr>
          <w:fldChar w:fldCharType="begin"/>
        </w:r>
        <w:r w:rsidR="00A93138">
          <w:rPr>
            <w:noProof/>
            <w:webHidden/>
          </w:rPr>
          <w:instrText xml:space="preserve"> PAGEREF _Toc237832461 \h </w:instrText>
        </w:r>
        <w:r w:rsidR="00A93138">
          <w:rPr>
            <w:noProof/>
            <w:webHidden/>
          </w:rPr>
        </w:r>
        <w:r w:rsidR="00A93138">
          <w:rPr>
            <w:noProof/>
            <w:webHidden/>
          </w:rPr>
          <w:fldChar w:fldCharType="separate"/>
        </w:r>
        <w:r w:rsidR="00D65352">
          <w:rPr>
            <w:noProof/>
            <w:webHidden/>
          </w:rPr>
          <w:t>6</w:t>
        </w:r>
        <w:r w:rsidR="00A93138">
          <w:rPr>
            <w:noProof/>
            <w:webHidden/>
          </w:rPr>
          <w:fldChar w:fldCharType="end"/>
        </w:r>
      </w:hyperlink>
    </w:p>
    <w:p w:rsidR="00A93138" w:rsidRDefault="00C235E9">
      <w:pPr>
        <w:pStyle w:val="TOC3"/>
        <w:tabs>
          <w:tab w:val="left" w:pos="1200"/>
          <w:tab w:val="right" w:leader="dot" w:pos="8303"/>
        </w:tabs>
        <w:rPr>
          <w:noProof/>
          <w:szCs w:val="24"/>
          <w:lang w:eastAsia="en-AU"/>
        </w:rPr>
      </w:pPr>
      <w:hyperlink w:anchor="_Toc237832462" w:history="1">
        <w:r w:rsidR="00A93138" w:rsidRPr="00416B12">
          <w:rPr>
            <w:rStyle w:val="Hyperlink"/>
            <w:noProof/>
          </w:rPr>
          <w:t>4.4.1</w:t>
        </w:r>
        <w:r w:rsidR="00A93138">
          <w:rPr>
            <w:noProof/>
            <w:szCs w:val="24"/>
            <w:lang w:eastAsia="en-AU"/>
          </w:rPr>
          <w:tab/>
        </w:r>
        <w:r w:rsidR="00A93138" w:rsidRPr="00416B12">
          <w:rPr>
            <w:rStyle w:val="Hyperlink"/>
            <w:noProof/>
          </w:rPr>
          <w:t>Lost Time Injury Frequency Rate (LTIFR)</w:t>
        </w:r>
        <w:r w:rsidR="00A93138">
          <w:rPr>
            <w:noProof/>
            <w:webHidden/>
          </w:rPr>
          <w:tab/>
        </w:r>
        <w:r w:rsidR="00A93138">
          <w:rPr>
            <w:noProof/>
            <w:webHidden/>
          </w:rPr>
          <w:fldChar w:fldCharType="begin"/>
        </w:r>
        <w:r w:rsidR="00A93138">
          <w:rPr>
            <w:noProof/>
            <w:webHidden/>
          </w:rPr>
          <w:instrText xml:space="preserve"> PAGEREF _Toc237832462 \h </w:instrText>
        </w:r>
        <w:r w:rsidR="00A93138">
          <w:rPr>
            <w:noProof/>
            <w:webHidden/>
          </w:rPr>
        </w:r>
        <w:r w:rsidR="00A93138">
          <w:rPr>
            <w:noProof/>
            <w:webHidden/>
          </w:rPr>
          <w:fldChar w:fldCharType="separate"/>
        </w:r>
        <w:r w:rsidR="00D65352">
          <w:rPr>
            <w:noProof/>
            <w:webHidden/>
          </w:rPr>
          <w:t>6</w:t>
        </w:r>
        <w:r w:rsidR="00A93138">
          <w:rPr>
            <w:noProof/>
            <w:webHidden/>
          </w:rPr>
          <w:fldChar w:fldCharType="end"/>
        </w:r>
      </w:hyperlink>
    </w:p>
    <w:p w:rsidR="00A93138" w:rsidRDefault="00C235E9">
      <w:pPr>
        <w:pStyle w:val="TOC3"/>
        <w:tabs>
          <w:tab w:val="left" w:pos="1200"/>
          <w:tab w:val="right" w:leader="dot" w:pos="8303"/>
        </w:tabs>
        <w:rPr>
          <w:noProof/>
          <w:szCs w:val="24"/>
          <w:lang w:eastAsia="en-AU"/>
        </w:rPr>
      </w:pPr>
      <w:hyperlink w:anchor="_Toc237832463" w:history="1">
        <w:r w:rsidR="00A93138" w:rsidRPr="00416B12">
          <w:rPr>
            <w:rStyle w:val="Hyperlink"/>
            <w:noProof/>
          </w:rPr>
          <w:t>4.4.2</w:t>
        </w:r>
        <w:r w:rsidR="00A93138">
          <w:rPr>
            <w:noProof/>
            <w:szCs w:val="24"/>
            <w:lang w:eastAsia="en-AU"/>
          </w:rPr>
          <w:tab/>
        </w:r>
        <w:r w:rsidR="00A93138" w:rsidRPr="00416B12">
          <w:rPr>
            <w:rStyle w:val="Hyperlink"/>
            <w:noProof/>
          </w:rPr>
          <w:t>Medically Treated Injury Frequency Rate (MTIFR)</w:t>
        </w:r>
        <w:r w:rsidR="00A93138">
          <w:rPr>
            <w:noProof/>
            <w:webHidden/>
          </w:rPr>
          <w:tab/>
        </w:r>
        <w:r w:rsidR="00A93138">
          <w:rPr>
            <w:noProof/>
            <w:webHidden/>
          </w:rPr>
          <w:fldChar w:fldCharType="begin"/>
        </w:r>
        <w:r w:rsidR="00A93138">
          <w:rPr>
            <w:noProof/>
            <w:webHidden/>
          </w:rPr>
          <w:instrText xml:space="preserve"> PAGEREF _Toc237832463 \h </w:instrText>
        </w:r>
        <w:r w:rsidR="00A93138">
          <w:rPr>
            <w:noProof/>
            <w:webHidden/>
          </w:rPr>
        </w:r>
        <w:r w:rsidR="00A93138">
          <w:rPr>
            <w:noProof/>
            <w:webHidden/>
          </w:rPr>
          <w:fldChar w:fldCharType="separate"/>
        </w:r>
        <w:r w:rsidR="00D65352">
          <w:rPr>
            <w:noProof/>
            <w:webHidden/>
          </w:rPr>
          <w:t>6</w:t>
        </w:r>
        <w:r w:rsidR="00A93138">
          <w:rPr>
            <w:noProof/>
            <w:webHidden/>
          </w:rPr>
          <w:fldChar w:fldCharType="end"/>
        </w:r>
      </w:hyperlink>
    </w:p>
    <w:p w:rsidR="00A93138" w:rsidRDefault="00C235E9">
      <w:pPr>
        <w:pStyle w:val="TOC2"/>
        <w:tabs>
          <w:tab w:val="left" w:pos="720"/>
          <w:tab w:val="right" w:leader="dot" w:pos="8303"/>
        </w:tabs>
        <w:rPr>
          <w:b w:val="0"/>
          <w:bCs w:val="0"/>
          <w:noProof/>
          <w:szCs w:val="24"/>
          <w:lang w:eastAsia="en-AU"/>
        </w:rPr>
      </w:pPr>
      <w:hyperlink w:anchor="_Toc237832464" w:history="1">
        <w:r w:rsidR="00A93138" w:rsidRPr="00416B12">
          <w:rPr>
            <w:rStyle w:val="Hyperlink"/>
            <w:noProof/>
          </w:rPr>
          <w:t>4.5</w:t>
        </w:r>
        <w:r w:rsidR="00A93138">
          <w:rPr>
            <w:b w:val="0"/>
            <w:bCs w:val="0"/>
            <w:noProof/>
            <w:szCs w:val="24"/>
            <w:lang w:eastAsia="en-AU"/>
          </w:rPr>
          <w:tab/>
        </w:r>
        <w:r w:rsidR="00A93138" w:rsidRPr="00416B12">
          <w:rPr>
            <w:rStyle w:val="Hyperlink"/>
            <w:noProof/>
          </w:rPr>
          <w:t>Fatalities</w:t>
        </w:r>
        <w:r w:rsidR="00A93138">
          <w:rPr>
            <w:noProof/>
            <w:webHidden/>
          </w:rPr>
          <w:tab/>
        </w:r>
        <w:r w:rsidR="00A93138">
          <w:rPr>
            <w:noProof/>
            <w:webHidden/>
          </w:rPr>
          <w:fldChar w:fldCharType="begin"/>
        </w:r>
        <w:r w:rsidR="00A93138">
          <w:rPr>
            <w:noProof/>
            <w:webHidden/>
          </w:rPr>
          <w:instrText xml:space="preserve"> PAGEREF _Toc237832464 \h </w:instrText>
        </w:r>
        <w:r w:rsidR="00A93138">
          <w:rPr>
            <w:noProof/>
            <w:webHidden/>
          </w:rPr>
        </w:r>
        <w:r w:rsidR="00A93138">
          <w:rPr>
            <w:noProof/>
            <w:webHidden/>
          </w:rPr>
          <w:fldChar w:fldCharType="separate"/>
        </w:r>
        <w:r w:rsidR="00D65352">
          <w:rPr>
            <w:noProof/>
            <w:webHidden/>
          </w:rPr>
          <w:t>7</w:t>
        </w:r>
        <w:r w:rsidR="00A93138">
          <w:rPr>
            <w:noProof/>
            <w:webHidden/>
          </w:rPr>
          <w:fldChar w:fldCharType="end"/>
        </w:r>
      </w:hyperlink>
    </w:p>
    <w:p w:rsidR="00A93138" w:rsidRDefault="00C235E9">
      <w:pPr>
        <w:pStyle w:val="TOC2"/>
        <w:tabs>
          <w:tab w:val="left" w:pos="720"/>
          <w:tab w:val="right" w:leader="dot" w:pos="8303"/>
        </w:tabs>
        <w:rPr>
          <w:b w:val="0"/>
          <w:bCs w:val="0"/>
          <w:noProof/>
          <w:szCs w:val="24"/>
          <w:lang w:eastAsia="en-AU"/>
        </w:rPr>
      </w:pPr>
      <w:hyperlink w:anchor="_Toc237832465" w:history="1">
        <w:r w:rsidR="00A93138" w:rsidRPr="00416B12">
          <w:rPr>
            <w:rStyle w:val="Hyperlink"/>
            <w:noProof/>
          </w:rPr>
          <w:t>4.6</w:t>
        </w:r>
        <w:r w:rsidR="00A93138">
          <w:rPr>
            <w:b w:val="0"/>
            <w:bCs w:val="0"/>
            <w:noProof/>
            <w:szCs w:val="24"/>
            <w:lang w:eastAsia="en-AU"/>
          </w:rPr>
          <w:tab/>
        </w:r>
        <w:r w:rsidR="00A93138" w:rsidRPr="00416B12">
          <w:rPr>
            <w:rStyle w:val="Hyperlink"/>
            <w:noProof/>
          </w:rPr>
          <w:t>Workers Compensation Claim Rates</w:t>
        </w:r>
        <w:r w:rsidR="00A93138">
          <w:rPr>
            <w:noProof/>
            <w:webHidden/>
          </w:rPr>
          <w:tab/>
        </w:r>
        <w:r w:rsidR="00A93138">
          <w:rPr>
            <w:noProof/>
            <w:webHidden/>
          </w:rPr>
          <w:fldChar w:fldCharType="begin"/>
        </w:r>
        <w:r w:rsidR="00A93138">
          <w:rPr>
            <w:noProof/>
            <w:webHidden/>
          </w:rPr>
          <w:instrText xml:space="preserve"> PAGEREF _Toc237832465 \h </w:instrText>
        </w:r>
        <w:r w:rsidR="00A93138">
          <w:rPr>
            <w:noProof/>
            <w:webHidden/>
          </w:rPr>
        </w:r>
        <w:r w:rsidR="00A93138">
          <w:rPr>
            <w:noProof/>
            <w:webHidden/>
          </w:rPr>
          <w:fldChar w:fldCharType="separate"/>
        </w:r>
        <w:r w:rsidR="00D65352">
          <w:rPr>
            <w:noProof/>
            <w:webHidden/>
          </w:rPr>
          <w:t>7</w:t>
        </w:r>
        <w:r w:rsidR="00A93138">
          <w:rPr>
            <w:noProof/>
            <w:webHidden/>
          </w:rPr>
          <w:fldChar w:fldCharType="end"/>
        </w:r>
      </w:hyperlink>
    </w:p>
    <w:p w:rsidR="00A93138" w:rsidRDefault="00C235E9">
      <w:pPr>
        <w:pStyle w:val="TOC3"/>
        <w:tabs>
          <w:tab w:val="left" w:pos="1200"/>
          <w:tab w:val="right" w:leader="dot" w:pos="8303"/>
        </w:tabs>
        <w:rPr>
          <w:noProof/>
          <w:szCs w:val="24"/>
          <w:lang w:eastAsia="en-AU"/>
        </w:rPr>
      </w:pPr>
      <w:hyperlink w:anchor="_Toc237832466" w:history="1">
        <w:r w:rsidR="00A93138" w:rsidRPr="00416B12">
          <w:rPr>
            <w:rStyle w:val="Hyperlink"/>
            <w:noProof/>
          </w:rPr>
          <w:t>4.6.1</w:t>
        </w:r>
        <w:r w:rsidR="00A93138">
          <w:rPr>
            <w:noProof/>
            <w:szCs w:val="24"/>
            <w:lang w:eastAsia="en-AU"/>
          </w:rPr>
          <w:tab/>
        </w:r>
        <w:r w:rsidR="00A93138" w:rsidRPr="00416B12">
          <w:rPr>
            <w:rStyle w:val="Hyperlink"/>
            <w:noProof/>
          </w:rPr>
          <w:t>Total Construction Industry Claim Rates</w:t>
        </w:r>
        <w:r w:rsidR="00A93138">
          <w:rPr>
            <w:noProof/>
            <w:webHidden/>
          </w:rPr>
          <w:tab/>
        </w:r>
        <w:r w:rsidR="00A93138">
          <w:rPr>
            <w:noProof/>
            <w:webHidden/>
          </w:rPr>
          <w:fldChar w:fldCharType="begin"/>
        </w:r>
        <w:r w:rsidR="00A93138">
          <w:rPr>
            <w:noProof/>
            <w:webHidden/>
          </w:rPr>
          <w:instrText xml:space="preserve"> PAGEREF _Toc237832466 \h </w:instrText>
        </w:r>
        <w:r w:rsidR="00A93138">
          <w:rPr>
            <w:noProof/>
            <w:webHidden/>
          </w:rPr>
        </w:r>
        <w:r w:rsidR="00A93138">
          <w:rPr>
            <w:noProof/>
            <w:webHidden/>
          </w:rPr>
          <w:fldChar w:fldCharType="separate"/>
        </w:r>
        <w:r w:rsidR="00D65352">
          <w:rPr>
            <w:noProof/>
            <w:webHidden/>
          </w:rPr>
          <w:t>7</w:t>
        </w:r>
        <w:r w:rsidR="00A93138">
          <w:rPr>
            <w:noProof/>
            <w:webHidden/>
          </w:rPr>
          <w:fldChar w:fldCharType="end"/>
        </w:r>
      </w:hyperlink>
    </w:p>
    <w:p w:rsidR="00A93138" w:rsidRDefault="00C235E9">
      <w:pPr>
        <w:pStyle w:val="TOC3"/>
        <w:tabs>
          <w:tab w:val="left" w:pos="1200"/>
          <w:tab w:val="right" w:leader="dot" w:pos="8303"/>
        </w:tabs>
        <w:rPr>
          <w:noProof/>
          <w:szCs w:val="24"/>
          <w:lang w:eastAsia="en-AU"/>
        </w:rPr>
      </w:pPr>
      <w:hyperlink w:anchor="_Toc237832467" w:history="1">
        <w:r w:rsidR="00A93138" w:rsidRPr="00416B12">
          <w:rPr>
            <w:rStyle w:val="Hyperlink"/>
            <w:noProof/>
          </w:rPr>
          <w:t>4.6.2</w:t>
        </w:r>
        <w:r w:rsidR="00A93138">
          <w:rPr>
            <w:noProof/>
            <w:szCs w:val="24"/>
            <w:lang w:eastAsia="en-AU"/>
          </w:rPr>
          <w:tab/>
        </w:r>
        <w:r w:rsidR="00A93138" w:rsidRPr="00416B12">
          <w:rPr>
            <w:rStyle w:val="Hyperlink"/>
            <w:noProof/>
          </w:rPr>
          <w:t>Accredited Company Claim Rates</w:t>
        </w:r>
        <w:r w:rsidR="00A93138">
          <w:rPr>
            <w:noProof/>
            <w:webHidden/>
          </w:rPr>
          <w:tab/>
        </w:r>
        <w:r w:rsidR="00A93138">
          <w:rPr>
            <w:noProof/>
            <w:webHidden/>
          </w:rPr>
          <w:fldChar w:fldCharType="begin"/>
        </w:r>
        <w:r w:rsidR="00A93138">
          <w:rPr>
            <w:noProof/>
            <w:webHidden/>
          </w:rPr>
          <w:instrText xml:space="preserve"> PAGEREF _Toc237832467 \h </w:instrText>
        </w:r>
        <w:r w:rsidR="00A93138">
          <w:rPr>
            <w:noProof/>
            <w:webHidden/>
          </w:rPr>
        </w:r>
        <w:r w:rsidR="00A93138">
          <w:rPr>
            <w:noProof/>
            <w:webHidden/>
          </w:rPr>
          <w:fldChar w:fldCharType="separate"/>
        </w:r>
        <w:r w:rsidR="00D65352">
          <w:rPr>
            <w:noProof/>
            <w:webHidden/>
          </w:rPr>
          <w:t>8</w:t>
        </w:r>
        <w:r w:rsidR="00A93138">
          <w:rPr>
            <w:noProof/>
            <w:webHidden/>
          </w:rPr>
          <w:fldChar w:fldCharType="end"/>
        </w:r>
      </w:hyperlink>
    </w:p>
    <w:p w:rsidR="00A93138" w:rsidRDefault="00C235E9">
      <w:pPr>
        <w:pStyle w:val="TOC3"/>
        <w:tabs>
          <w:tab w:val="left" w:pos="1200"/>
          <w:tab w:val="right" w:leader="dot" w:pos="8303"/>
        </w:tabs>
        <w:rPr>
          <w:noProof/>
          <w:szCs w:val="24"/>
          <w:lang w:eastAsia="en-AU"/>
        </w:rPr>
      </w:pPr>
      <w:hyperlink w:anchor="_Toc237832468" w:history="1">
        <w:r w:rsidR="00A93138" w:rsidRPr="00416B12">
          <w:rPr>
            <w:rStyle w:val="Hyperlink"/>
            <w:noProof/>
          </w:rPr>
          <w:t>4.6.3</w:t>
        </w:r>
        <w:r w:rsidR="00A93138">
          <w:rPr>
            <w:noProof/>
            <w:szCs w:val="24"/>
            <w:lang w:eastAsia="en-AU"/>
          </w:rPr>
          <w:tab/>
        </w:r>
        <w:r w:rsidR="00A93138" w:rsidRPr="00416B12">
          <w:rPr>
            <w:rStyle w:val="Hyperlink"/>
            <w:noProof/>
          </w:rPr>
          <w:t>Calculation of Current Industry Claim Rates</w:t>
        </w:r>
        <w:r w:rsidR="00A93138">
          <w:rPr>
            <w:noProof/>
            <w:webHidden/>
          </w:rPr>
          <w:tab/>
        </w:r>
        <w:r w:rsidR="00A93138">
          <w:rPr>
            <w:noProof/>
            <w:webHidden/>
          </w:rPr>
          <w:fldChar w:fldCharType="begin"/>
        </w:r>
        <w:r w:rsidR="00A93138">
          <w:rPr>
            <w:noProof/>
            <w:webHidden/>
          </w:rPr>
          <w:instrText xml:space="preserve"> PAGEREF _Toc237832468 \h </w:instrText>
        </w:r>
        <w:r w:rsidR="00A93138">
          <w:rPr>
            <w:noProof/>
            <w:webHidden/>
          </w:rPr>
        </w:r>
        <w:r w:rsidR="00A93138">
          <w:rPr>
            <w:noProof/>
            <w:webHidden/>
          </w:rPr>
          <w:fldChar w:fldCharType="separate"/>
        </w:r>
        <w:r w:rsidR="00D65352">
          <w:rPr>
            <w:noProof/>
            <w:webHidden/>
          </w:rPr>
          <w:t>9</w:t>
        </w:r>
        <w:r w:rsidR="00A93138">
          <w:rPr>
            <w:noProof/>
            <w:webHidden/>
          </w:rPr>
          <w:fldChar w:fldCharType="end"/>
        </w:r>
      </w:hyperlink>
    </w:p>
    <w:p w:rsidR="00A93138" w:rsidRDefault="00C235E9">
      <w:pPr>
        <w:pStyle w:val="TOC2"/>
        <w:tabs>
          <w:tab w:val="left" w:pos="720"/>
          <w:tab w:val="right" w:leader="dot" w:pos="8303"/>
        </w:tabs>
        <w:rPr>
          <w:b w:val="0"/>
          <w:bCs w:val="0"/>
          <w:noProof/>
          <w:szCs w:val="24"/>
          <w:lang w:eastAsia="en-AU"/>
        </w:rPr>
      </w:pPr>
      <w:hyperlink w:anchor="_Toc237832469" w:history="1">
        <w:r w:rsidR="00A93138" w:rsidRPr="00416B12">
          <w:rPr>
            <w:rStyle w:val="Hyperlink"/>
            <w:noProof/>
          </w:rPr>
          <w:t>4.7</w:t>
        </w:r>
        <w:r w:rsidR="00A93138">
          <w:rPr>
            <w:b w:val="0"/>
            <w:bCs w:val="0"/>
            <w:noProof/>
            <w:szCs w:val="24"/>
            <w:lang w:eastAsia="en-AU"/>
          </w:rPr>
          <w:tab/>
        </w:r>
        <w:r w:rsidR="00A93138" w:rsidRPr="00416B12">
          <w:rPr>
            <w:rStyle w:val="Hyperlink"/>
            <w:noProof/>
          </w:rPr>
          <w:t>Profile of injuries</w:t>
        </w:r>
        <w:r w:rsidR="00A93138">
          <w:rPr>
            <w:noProof/>
            <w:webHidden/>
          </w:rPr>
          <w:tab/>
        </w:r>
        <w:r w:rsidR="00A93138">
          <w:rPr>
            <w:noProof/>
            <w:webHidden/>
          </w:rPr>
          <w:fldChar w:fldCharType="begin"/>
        </w:r>
        <w:r w:rsidR="00A93138">
          <w:rPr>
            <w:noProof/>
            <w:webHidden/>
          </w:rPr>
          <w:instrText xml:space="preserve"> PAGEREF _Toc237832469 \h </w:instrText>
        </w:r>
        <w:r w:rsidR="00A93138">
          <w:rPr>
            <w:noProof/>
            <w:webHidden/>
          </w:rPr>
        </w:r>
        <w:r w:rsidR="00A93138">
          <w:rPr>
            <w:noProof/>
            <w:webHidden/>
          </w:rPr>
          <w:fldChar w:fldCharType="separate"/>
        </w:r>
        <w:r w:rsidR="00D65352">
          <w:rPr>
            <w:noProof/>
            <w:webHidden/>
          </w:rPr>
          <w:t>10</w:t>
        </w:r>
        <w:r w:rsidR="00A93138">
          <w:rPr>
            <w:noProof/>
            <w:webHidden/>
          </w:rPr>
          <w:fldChar w:fldCharType="end"/>
        </w:r>
      </w:hyperlink>
    </w:p>
    <w:p w:rsidR="00A93138" w:rsidRDefault="00C235E9">
      <w:pPr>
        <w:pStyle w:val="TOC2"/>
        <w:tabs>
          <w:tab w:val="left" w:pos="720"/>
          <w:tab w:val="right" w:leader="dot" w:pos="8303"/>
        </w:tabs>
        <w:rPr>
          <w:b w:val="0"/>
          <w:bCs w:val="0"/>
          <w:noProof/>
          <w:szCs w:val="24"/>
          <w:lang w:eastAsia="en-AU"/>
        </w:rPr>
      </w:pPr>
      <w:hyperlink w:anchor="_Toc237832470" w:history="1">
        <w:r w:rsidR="00A93138" w:rsidRPr="00416B12">
          <w:rPr>
            <w:rStyle w:val="Hyperlink"/>
            <w:noProof/>
          </w:rPr>
          <w:t>4.8</w:t>
        </w:r>
        <w:r w:rsidR="00A93138">
          <w:rPr>
            <w:b w:val="0"/>
            <w:bCs w:val="0"/>
            <w:noProof/>
            <w:szCs w:val="24"/>
            <w:lang w:eastAsia="en-AU"/>
          </w:rPr>
          <w:tab/>
        </w:r>
        <w:r w:rsidR="00A93138" w:rsidRPr="00416B12">
          <w:rPr>
            <w:rStyle w:val="Hyperlink"/>
            <w:noProof/>
          </w:rPr>
          <w:t>High risk construction work</w:t>
        </w:r>
        <w:r w:rsidR="00A93138">
          <w:rPr>
            <w:noProof/>
            <w:webHidden/>
          </w:rPr>
          <w:tab/>
        </w:r>
        <w:r w:rsidR="00A93138">
          <w:rPr>
            <w:noProof/>
            <w:webHidden/>
          </w:rPr>
          <w:fldChar w:fldCharType="begin"/>
        </w:r>
        <w:r w:rsidR="00A93138">
          <w:rPr>
            <w:noProof/>
            <w:webHidden/>
          </w:rPr>
          <w:instrText xml:space="preserve"> PAGEREF _Toc237832470 \h </w:instrText>
        </w:r>
        <w:r w:rsidR="00A93138">
          <w:rPr>
            <w:noProof/>
            <w:webHidden/>
          </w:rPr>
        </w:r>
        <w:r w:rsidR="00A93138">
          <w:rPr>
            <w:noProof/>
            <w:webHidden/>
          </w:rPr>
          <w:fldChar w:fldCharType="separate"/>
        </w:r>
        <w:r w:rsidR="00D65352">
          <w:rPr>
            <w:noProof/>
            <w:webHidden/>
          </w:rPr>
          <w:t>11</w:t>
        </w:r>
        <w:r w:rsidR="00A93138">
          <w:rPr>
            <w:noProof/>
            <w:webHidden/>
          </w:rPr>
          <w:fldChar w:fldCharType="end"/>
        </w:r>
      </w:hyperlink>
    </w:p>
    <w:p w:rsidR="00A93138" w:rsidRDefault="00C235E9">
      <w:pPr>
        <w:pStyle w:val="TOC2"/>
        <w:tabs>
          <w:tab w:val="left" w:pos="720"/>
          <w:tab w:val="right" w:leader="dot" w:pos="8303"/>
        </w:tabs>
        <w:rPr>
          <w:b w:val="0"/>
          <w:bCs w:val="0"/>
          <w:noProof/>
          <w:szCs w:val="24"/>
          <w:lang w:eastAsia="en-AU"/>
        </w:rPr>
      </w:pPr>
      <w:hyperlink w:anchor="_Toc237832471" w:history="1">
        <w:r w:rsidR="00A93138" w:rsidRPr="00416B12">
          <w:rPr>
            <w:rStyle w:val="Hyperlink"/>
            <w:noProof/>
          </w:rPr>
          <w:t>4.9</w:t>
        </w:r>
        <w:r w:rsidR="00A93138">
          <w:rPr>
            <w:b w:val="0"/>
            <w:bCs w:val="0"/>
            <w:noProof/>
            <w:szCs w:val="24"/>
            <w:lang w:eastAsia="en-AU"/>
          </w:rPr>
          <w:tab/>
        </w:r>
        <w:r w:rsidR="00A93138" w:rsidRPr="00416B12">
          <w:rPr>
            <w:rStyle w:val="Hyperlink"/>
            <w:noProof/>
          </w:rPr>
          <w:t>Workers Compensation Premium Rates</w:t>
        </w:r>
        <w:r w:rsidR="00A93138">
          <w:rPr>
            <w:noProof/>
            <w:webHidden/>
          </w:rPr>
          <w:tab/>
        </w:r>
        <w:r w:rsidR="00A93138">
          <w:rPr>
            <w:noProof/>
            <w:webHidden/>
          </w:rPr>
          <w:fldChar w:fldCharType="begin"/>
        </w:r>
        <w:r w:rsidR="00A93138">
          <w:rPr>
            <w:noProof/>
            <w:webHidden/>
          </w:rPr>
          <w:instrText xml:space="preserve"> PAGEREF _Toc237832471 \h </w:instrText>
        </w:r>
        <w:r w:rsidR="00A93138">
          <w:rPr>
            <w:noProof/>
            <w:webHidden/>
          </w:rPr>
        </w:r>
        <w:r w:rsidR="00A93138">
          <w:rPr>
            <w:noProof/>
            <w:webHidden/>
          </w:rPr>
          <w:fldChar w:fldCharType="separate"/>
        </w:r>
        <w:r w:rsidR="00D65352">
          <w:rPr>
            <w:noProof/>
            <w:webHidden/>
          </w:rPr>
          <w:t>12</w:t>
        </w:r>
        <w:r w:rsidR="00A93138">
          <w:rPr>
            <w:noProof/>
            <w:webHidden/>
          </w:rPr>
          <w:fldChar w:fldCharType="end"/>
        </w:r>
      </w:hyperlink>
    </w:p>
    <w:p w:rsidR="00A93138" w:rsidRDefault="00C235E9">
      <w:pPr>
        <w:pStyle w:val="TOC2"/>
        <w:tabs>
          <w:tab w:val="left" w:pos="720"/>
          <w:tab w:val="right" w:leader="dot" w:pos="8303"/>
        </w:tabs>
        <w:rPr>
          <w:b w:val="0"/>
          <w:bCs w:val="0"/>
          <w:noProof/>
          <w:szCs w:val="24"/>
          <w:lang w:eastAsia="en-AU"/>
        </w:rPr>
      </w:pPr>
      <w:hyperlink w:anchor="_Toc237832472" w:history="1">
        <w:r w:rsidR="00A93138" w:rsidRPr="00416B12">
          <w:rPr>
            <w:rStyle w:val="Hyperlink"/>
            <w:noProof/>
          </w:rPr>
          <w:t>4.10</w:t>
        </w:r>
        <w:r w:rsidR="00A93138">
          <w:rPr>
            <w:b w:val="0"/>
            <w:bCs w:val="0"/>
            <w:noProof/>
            <w:szCs w:val="24"/>
            <w:lang w:eastAsia="en-AU"/>
          </w:rPr>
          <w:tab/>
        </w:r>
        <w:r w:rsidR="00A93138" w:rsidRPr="00416B12">
          <w:rPr>
            <w:rStyle w:val="Hyperlink"/>
            <w:noProof/>
          </w:rPr>
          <w:t>Positive performance indicators</w:t>
        </w:r>
        <w:r w:rsidR="00A93138">
          <w:rPr>
            <w:noProof/>
            <w:webHidden/>
          </w:rPr>
          <w:tab/>
        </w:r>
        <w:r w:rsidR="00A93138">
          <w:rPr>
            <w:noProof/>
            <w:webHidden/>
          </w:rPr>
          <w:fldChar w:fldCharType="begin"/>
        </w:r>
        <w:r w:rsidR="00A93138">
          <w:rPr>
            <w:noProof/>
            <w:webHidden/>
          </w:rPr>
          <w:instrText xml:space="preserve"> PAGEREF _Toc237832472 \h </w:instrText>
        </w:r>
        <w:r w:rsidR="00A93138">
          <w:rPr>
            <w:noProof/>
            <w:webHidden/>
          </w:rPr>
        </w:r>
        <w:r w:rsidR="00A93138">
          <w:rPr>
            <w:noProof/>
            <w:webHidden/>
          </w:rPr>
          <w:fldChar w:fldCharType="separate"/>
        </w:r>
        <w:r w:rsidR="00D65352">
          <w:rPr>
            <w:noProof/>
            <w:webHidden/>
          </w:rPr>
          <w:t>12</w:t>
        </w:r>
        <w:r w:rsidR="00A93138">
          <w:rPr>
            <w:noProof/>
            <w:webHidden/>
          </w:rPr>
          <w:fldChar w:fldCharType="end"/>
        </w:r>
      </w:hyperlink>
    </w:p>
    <w:p w:rsidR="00A93138" w:rsidRDefault="00C235E9">
      <w:pPr>
        <w:pStyle w:val="TOC1"/>
        <w:tabs>
          <w:tab w:val="right" w:leader="dot" w:pos="8303"/>
        </w:tabs>
        <w:rPr>
          <w:rFonts w:cs="Times New Roman"/>
          <w:b w:val="0"/>
          <w:bCs w:val="0"/>
          <w:caps w:val="0"/>
          <w:noProof/>
          <w:lang w:eastAsia="en-AU"/>
        </w:rPr>
      </w:pPr>
      <w:hyperlink w:anchor="_Toc237832473" w:history="1">
        <w:r w:rsidR="00A93138" w:rsidRPr="00416B12">
          <w:rPr>
            <w:rStyle w:val="Hyperlink"/>
            <w:rFonts w:cs="Arial"/>
            <w:noProof/>
          </w:rPr>
          <w:t>GLOSSARY</w:t>
        </w:r>
        <w:r w:rsidR="00A93138">
          <w:rPr>
            <w:noProof/>
            <w:webHidden/>
          </w:rPr>
          <w:tab/>
        </w:r>
        <w:r w:rsidR="00A93138">
          <w:rPr>
            <w:noProof/>
            <w:webHidden/>
          </w:rPr>
          <w:fldChar w:fldCharType="begin"/>
        </w:r>
        <w:r w:rsidR="00A93138">
          <w:rPr>
            <w:noProof/>
            <w:webHidden/>
          </w:rPr>
          <w:instrText xml:space="preserve"> PAGEREF _Toc237832473 \h </w:instrText>
        </w:r>
        <w:r w:rsidR="00A93138">
          <w:rPr>
            <w:noProof/>
            <w:webHidden/>
          </w:rPr>
        </w:r>
        <w:r w:rsidR="00A93138">
          <w:rPr>
            <w:noProof/>
            <w:webHidden/>
          </w:rPr>
          <w:fldChar w:fldCharType="separate"/>
        </w:r>
        <w:r w:rsidR="00D65352">
          <w:rPr>
            <w:noProof/>
            <w:webHidden/>
          </w:rPr>
          <w:t>13</w:t>
        </w:r>
        <w:r w:rsidR="00A93138">
          <w:rPr>
            <w:noProof/>
            <w:webHidden/>
          </w:rPr>
          <w:fldChar w:fldCharType="end"/>
        </w:r>
      </w:hyperlink>
    </w:p>
    <w:p w:rsidR="00571187" w:rsidRPr="0061189A" w:rsidRDefault="006B4A68" w:rsidP="00571187">
      <w:pPr>
        <w:rPr>
          <w:rFonts w:ascii="Tahoma" w:hAnsi="Tahoma" w:cs="Tahoma"/>
          <w:b/>
          <w:sz w:val="22"/>
          <w:szCs w:val="22"/>
        </w:rPr>
      </w:pPr>
      <w:r>
        <w:rPr>
          <w:rFonts w:ascii="Tahoma" w:hAnsi="Tahoma" w:cs="Tahoma"/>
          <w:bCs/>
          <w:caps/>
          <w:noProof/>
          <w:sz w:val="22"/>
          <w:szCs w:val="22"/>
        </w:rPr>
        <w:fldChar w:fldCharType="end"/>
      </w:r>
    </w:p>
    <w:p w:rsidR="0065709E" w:rsidRDefault="0065709E" w:rsidP="0065709E">
      <w:pPr>
        <w:rPr>
          <w:rFonts w:ascii="Tahoma" w:hAnsi="Tahoma" w:cs="Tahoma"/>
          <w:sz w:val="22"/>
          <w:szCs w:val="22"/>
        </w:rPr>
      </w:pPr>
    </w:p>
    <w:p w:rsidR="00E24C9F" w:rsidRPr="00817E83" w:rsidRDefault="0065709E" w:rsidP="00571187">
      <w:pPr>
        <w:pStyle w:val="Heading1"/>
      </w:pPr>
      <w:bookmarkStart w:id="1" w:name="_Toc180301910"/>
      <w:bookmarkStart w:id="2" w:name="_Toc180302158"/>
      <w:bookmarkStart w:id="3" w:name="_Toc180306570"/>
      <w:bookmarkStart w:id="4" w:name="_Toc180306636"/>
      <w:bookmarkStart w:id="5" w:name="_Toc180307115"/>
      <w:bookmarkStart w:id="6" w:name="_Toc180307146"/>
      <w:bookmarkStart w:id="7" w:name="_Toc180307324"/>
      <w:bookmarkStart w:id="8" w:name="_Toc180307485"/>
      <w:r>
        <w:rPr>
          <w:u w:val="single"/>
        </w:rPr>
        <w:br w:type="page"/>
      </w:r>
      <w:bookmarkStart w:id="9" w:name="_Toc226431173"/>
      <w:bookmarkStart w:id="10" w:name="_Toc237832454"/>
      <w:bookmarkEnd w:id="1"/>
      <w:bookmarkEnd w:id="2"/>
      <w:bookmarkEnd w:id="3"/>
      <w:bookmarkEnd w:id="4"/>
      <w:bookmarkEnd w:id="5"/>
      <w:bookmarkEnd w:id="6"/>
      <w:bookmarkEnd w:id="7"/>
      <w:bookmarkEnd w:id="8"/>
      <w:r w:rsidR="00E24C9F" w:rsidRPr="00817E83">
        <w:lastRenderedPageBreak/>
        <w:t>INTRODUCTION</w:t>
      </w:r>
      <w:bookmarkEnd w:id="9"/>
      <w:bookmarkEnd w:id="10"/>
    </w:p>
    <w:p w:rsidR="00E24C9F" w:rsidRDefault="00E24C9F" w:rsidP="00817E83">
      <w:pPr>
        <w:outlineLvl w:val="0"/>
        <w:rPr>
          <w:rFonts w:ascii="Tahoma" w:hAnsi="Tahoma" w:cs="Tahoma"/>
          <w:sz w:val="22"/>
          <w:szCs w:val="22"/>
        </w:rPr>
      </w:pPr>
    </w:p>
    <w:p w:rsidR="00E24C9F" w:rsidRDefault="00452B11" w:rsidP="00817E83">
      <w:pPr>
        <w:rPr>
          <w:rFonts w:ascii="Tahoma" w:hAnsi="Tahoma" w:cs="Tahoma"/>
          <w:sz w:val="22"/>
          <w:szCs w:val="22"/>
          <w:lang w:val="en-GB"/>
        </w:rPr>
      </w:pPr>
      <w:r>
        <w:rPr>
          <w:rFonts w:ascii="Tahoma" w:hAnsi="Tahoma" w:cs="Tahoma"/>
          <w:sz w:val="22"/>
          <w:szCs w:val="22"/>
          <w:lang w:val="en-GB"/>
        </w:rPr>
        <w:t>The role of the Federal Safety Commissioner (FSC) is to promote and foster improved occupational health and safety in the</w:t>
      </w:r>
      <w:r w:rsidR="008370E4">
        <w:rPr>
          <w:rFonts w:ascii="Tahoma" w:hAnsi="Tahoma" w:cs="Tahoma"/>
          <w:sz w:val="22"/>
          <w:szCs w:val="22"/>
          <w:lang w:val="en-GB"/>
        </w:rPr>
        <w:t xml:space="preserve"> Australian</w:t>
      </w:r>
      <w:r>
        <w:rPr>
          <w:rFonts w:ascii="Tahoma" w:hAnsi="Tahoma" w:cs="Tahoma"/>
          <w:sz w:val="22"/>
          <w:szCs w:val="22"/>
          <w:lang w:val="en-GB"/>
        </w:rPr>
        <w:t xml:space="preserve"> building and construction industry</w:t>
      </w:r>
      <w:r w:rsidR="008370E4">
        <w:rPr>
          <w:rFonts w:ascii="Tahoma" w:hAnsi="Tahoma" w:cs="Tahoma"/>
          <w:sz w:val="22"/>
          <w:szCs w:val="22"/>
          <w:lang w:val="en-GB"/>
        </w:rPr>
        <w:t>, so that work is performed safely, as well as on time and on budget</w:t>
      </w:r>
      <w:r>
        <w:rPr>
          <w:rFonts w:ascii="Tahoma" w:hAnsi="Tahoma" w:cs="Tahoma"/>
          <w:sz w:val="22"/>
          <w:szCs w:val="22"/>
          <w:lang w:val="en-GB"/>
        </w:rPr>
        <w:t>.</w:t>
      </w:r>
      <w:r w:rsidR="00E24C9F" w:rsidRPr="00AF696F">
        <w:rPr>
          <w:rFonts w:ascii="Tahoma" w:hAnsi="Tahoma" w:cs="Tahoma"/>
          <w:sz w:val="22"/>
          <w:szCs w:val="22"/>
          <w:lang w:val="en-GB"/>
        </w:rPr>
        <w:t xml:space="preserve"> The powers and functions of the FSC are outlined in the </w:t>
      </w:r>
      <w:r w:rsidR="00E24C9F" w:rsidRPr="00AF696F">
        <w:rPr>
          <w:rStyle w:val="Emphasis"/>
        </w:rPr>
        <w:t>Building and Construction Industry Improvement Act 2005</w:t>
      </w:r>
      <w:r w:rsidR="00E24C9F" w:rsidRPr="00AF696F">
        <w:rPr>
          <w:rFonts w:ascii="Tahoma" w:hAnsi="Tahoma" w:cs="Tahoma"/>
          <w:sz w:val="22"/>
          <w:szCs w:val="22"/>
        </w:rPr>
        <w:t> (BCII Act). The FSC is supported by the Office of the Federal Safety Commissioner (OFSC)</w:t>
      </w:r>
      <w:r w:rsidR="00E24C9F" w:rsidRPr="00AF696F">
        <w:rPr>
          <w:rFonts w:ascii="Tahoma" w:hAnsi="Tahoma" w:cs="Tahoma"/>
          <w:sz w:val="22"/>
          <w:szCs w:val="22"/>
          <w:lang w:val="en-GB"/>
        </w:rPr>
        <w:t>.</w:t>
      </w:r>
    </w:p>
    <w:p w:rsidR="00E24C9F" w:rsidRPr="00AF696F" w:rsidRDefault="00E24C9F" w:rsidP="00817E83">
      <w:pPr>
        <w:rPr>
          <w:rFonts w:ascii="Tahoma" w:hAnsi="Tahoma" w:cs="Tahoma"/>
          <w:sz w:val="22"/>
          <w:szCs w:val="22"/>
          <w:lang w:val="en-GB"/>
        </w:rPr>
      </w:pPr>
    </w:p>
    <w:p w:rsidR="00E24C9F" w:rsidRPr="00FC3EB3" w:rsidRDefault="00E24C9F" w:rsidP="00817E83">
      <w:pPr>
        <w:autoSpaceDE w:val="0"/>
        <w:autoSpaceDN w:val="0"/>
        <w:adjustRightInd w:val="0"/>
        <w:rPr>
          <w:rFonts w:ascii="Tahoma" w:hAnsi="Tahoma" w:cs="Tahoma"/>
          <w:sz w:val="22"/>
          <w:szCs w:val="22"/>
          <w:lang w:val="en-GB"/>
        </w:rPr>
      </w:pPr>
      <w:r w:rsidRPr="00AF696F">
        <w:rPr>
          <w:rFonts w:ascii="Tahoma" w:hAnsi="Tahoma" w:cs="Tahoma"/>
          <w:sz w:val="22"/>
          <w:szCs w:val="22"/>
          <w:lang w:val="en-GB"/>
        </w:rPr>
        <w:t xml:space="preserve">A key function of the OFSC has been to develop, implement and administer the </w:t>
      </w:r>
      <w:smartTag w:uri="urn:schemas-microsoft-com:office:smarttags" w:element="place">
        <w:smartTag w:uri="urn:schemas-microsoft-com:office:smarttags" w:element="PlaceName">
          <w:r w:rsidRPr="00AF696F">
            <w:rPr>
              <w:rFonts w:ascii="Tahoma" w:hAnsi="Tahoma" w:cs="Tahoma"/>
              <w:sz w:val="22"/>
              <w:szCs w:val="22"/>
              <w:lang w:val="en-GB"/>
            </w:rPr>
            <w:t>Australian</w:t>
          </w:r>
        </w:smartTag>
        <w:r w:rsidRPr="00AF696F">
          <w:rPr>
            <w:rFonts w:ascii="Tahoma" w:hAnsi="Tahoma" w:cs="Tahoma"/>
            <w:sz w:val="22"/>
            <w:szCs w:val="22"/>
            <w:lang w:val="en-GB"/>
          </w:rPr>
          <w:t xml:space="preserve"> </w:t>
        </w:r>
        <w:smartTag w:uri="urn:schemas-microsoft-com:office:smarttags" w:element="PlaceName">
          <w:r w:rsidRPr="00AF696F">
            <w:rPr>
              <w:rFonts w:ascii="Tahoma" w:hAnsi="Tahoma" w:cs="Tahoma"/>
              <w:sz w:val="22"/>
              <w:szCs w:val="22"/>
              <w:lang w:val="en-GB"/>
            </w:rPr>
            <w:t>Government</w:t>
          </w:r>
        </w:smartTag>
        <w:r w:rsidRPr="00AF696F">
          <w:rPr>
            <w:rFonts w:ascii="Tahoma" w:hAnsi="Tahoma" w:cs="Tahoma"/>
            <w:sz w:val="22"/>
            <w:szCs w:val="22"/>
            <w:lang w:val="en-GB"/>
          </w:rPr>
          <w:t xml:space="preserve"> </w:t>
        </w:r>
        <w:smartTag w:uri="urn:schemas-microsoft-com:office:smarttags" w:element="PlaceType">
          <w:r w:rsidRPr="00AF696F">
            <w:rPr>
              <w:rFonts w:ascii="Tahoma" w:hAnsi="Tahoma" w:cs="Tahoma"/>
              <w:sz w:val="22"/>
              <w:szCs w:val="22"/>
              <w:lang w:val="en-GB"/>
            </w:rPr>
            <w:t>Building</w:t>
          </w:r>
        </w:smartTag>
      </w:smartTag>
      <w:r w:rsidRPr="00AF696F">
        <w:rPr>
          <w:rFonts w:ascii="Tahoma" w:hAnsi="Tahoma" w:cs="Tahoma"/>
          <w:sz w:val="22"/>
          <w:szCs w:val="22"/>
          <w:lang w:val="en-GB"/>
        </w:rPr>
        <w:t xml:space="preserve"> and Construction </w:t>
      </w:r>
      <w:smartTag w:uri="urn:schemas-microsoft-com:office:smarttags" w:element="PersonName">
        <w:r w:rsidRPr="00AF696F">
          <w:rPr>
            <w:rFonts w:ascii="Tahoma" w:hAnsi="Tahoma" w:cs="Tahoma"/>
            <w:sz w:val="22"/>
            <w:szCs w:val="22"/>
            <w:lang w:val="en-GB"/>
          </w:rPr>
          <w:t>OHS</w:t>
        </w:r>
      </w:smartTag>
      <w:r w:rsidRPr="00AF696F">
        <w:rPr>
          <w:rFonts w:ascii="Tahoma" w:hAnsi="Tahoma" w:cs="Tahoma"/>
          <w:sz w:val="22"/>
          <w:szCs w:val="22"/>
          <w:lang w:val="en-GB"/>
        </w:rPr>
        <w:t xml:space="preserve"> Accreditation Scheme (the Scheme</w:t>
      </w:r>
      <w:r w:rsidRPr="00FC3EB3">
        <w:rPr>
          <w:rFonts w:ascii="Tahoma" w:hAnsi="Tahoma" w:cs="Tahoma"/>
          <w:sz w:val="22"/>
          <w:szCs w:val="22"/>
          <w:lang w:val="en-GB"/>
        </w:rPr>
        <w:t xml:space="preserve">). </w:t>
      </w:r>
      <w:r w:rsidRPr="00FC3EB3">
        <w:rPr>
          <w:rFonts w:ascii="Tahoma" w:hAnsi="Tahoma" w:cs="Tahoma"/>
          <w:sz w:val="22"/>
          <w:szCs w:val="22"/>
          <w:lang w:eastAsia="en-AU"/>
        </w:rPr>
        <w:t xml:space="preserve">Through the Scheme, the </w:t>
      </w:r>
      <w:r>
        <w:rPr>
          <w:rFonts w:ascii="Tahoma" w:hAnsi="Tahoma" w:cs="Tahoma"/>
          <w:sz w:val="22"/>
          <w:szCs w:val="22"/>
          <w:lang w:eastAsia="en-AU"/>
        </w:rPr>
        <w:t>OFSC</w:t>
      </w:r>
      <w:r w:rsidRPr="00FC3EB3">
        <w:rPr>
          <w:rFonts w:ascii="Tahoma" w:hAnsi="Tahoma" w:cs="Tahoma"/>
          <w:sz w:val="22"/>
          <w:szCs w:val="22"/>
          <w:lang w:eastAsia="en-AU"/>
        </w:rPr>
        <w:t xml:space="preserve"> is using the power and influence of the Australian Government as a major client and</w:t>
      </w:r>
      <w:r>
        <w:rPr>
          <w:rFonts w:ascii="Tahoma" w:hAnsi="Tahoma" w:cs="Tahoma"/>
          <w:sz w:val="22"/>
          <w:szCs w:val="22"/>
          <w:lang w:eastAsia="en-AU"/>
        </w:rPr>
        <w:t xml:space="preserve"> </w:t>
      </w:r>
      <w:r w:rsidRPr="00FC3EB3">
        <w:rPr>
          <w:rFonts w:ascii="Tahoma" w:hAnsi="Tahoma" w:cs="Tahoma"/>
          <w:sz w:val="22"/>
          <w:szCs w:val="22"/>
          <w:lang w:eastAsia="en-AU"/>
        </w:rPr>
        <w:t>provider of capital in the building and construction industry, to promote and improve positive health and safety</w:t>
      </w:r>
      <w:r>
        <w:rPr>
          <w:rFonts w:ascii="Tahoma" w:hAnsi="Tahoma" w:cs="Tahoma"/>
          <w:sz w:val="22"/>
          <w:szCs w:val="22"/>
          <w:lang w:eastAsia="en-AU"/>
        </w:rPr>
        <w:t xml:space="preserve"> </w:t>
      </w:r>
      <w:r w:rsidRPr="00FC3EB3">
        <w:rPr>
          <w:rFonts w:ascii="Tahoma" w:hAnsi="Tahoma" w:cs="Tahoma"/>
          <w:sz w:val="22"/>
          <w:szCs w:val="22"/>
          <w:lang w:eastAsia="en-AU"/>
        </w:rPr>
        <w:t>outcomes.</w:t>
      </w:r>
    </w:p>
    <w:p w:rsidR="00E24C9F" w:rsidRPr="00AF696F" w:rsidRDefault="00E24C9F" w:rsidP="00817E83">
      <w:pPr>
        <w:tabs>
          <w:tab w:val="left" w:pos="1418"/>
        </w:tabs>
        <w:rPr>
          <w:rFonts w:ascii="Tahoma" w:hAnsi="Tahoma" w:cs="Tahoma"/>
          <w:sz w:val="22"/>
          <w:szCs w:val="22"/>
        </w:rPr>
      </w:pPr>
    </w:p>
    <w:p w:rsidR="00817E83" w:rsidRPr="00817E83" w:rsidRDefault="00817E83" w:rsidP="00571187">
      <w:pPr>
        <w:pStyle w:val="Heading1"/>
      </w:pPr>
      <w:bookmarkStart w:id="11" w:name="_Toc237832455"/>
      <w:r w:rsidRPr="00817E83">
        <w:t>SCHEME THRESHOLDS</w:t>
      </w:r>
      <w:bookmarkEnd w:id="11"/>
    </w:p>
    <w:p w:rsidR="00817E83" w:rsidRPr="002E01B1" w:rsidRDefault="00817E83" w:rsidP="00817E83">
      <w:pPr>
        <w:rPr>
          <w:rFonts w:ascii="Tahoma" w:hAnsi="Tahoma" w:cs="Tahoma"/>
          <w:sz w:val="22"/>
          <w:szCs w:val="22"/>
        </w:rPr>
      </w:pPr>
    </w:p>
    <w:p w:rsidR="00817E83" w:rsidRDefault="00817E83" w:rsidP="00A00163">
      <w:pPr>
        <w:rPr>
          <w:rFonts w:ascii="Tahoma" w:hAnsi="Tahoma" w:cs="Tahoma"/>
          <w:sz w:val="22"/>
          <w:szCs w:val="22"/>
        </w:rPr>
      </w:pPr>
      <w:r w:rsidRPr="002E01B1">
        <w:rPr>
          <w:rFonts w:ascii="Tahoma" w:hAnsi="Tahoma" w:cs="Tahoma"/>
          <w:sz w:val="22"/>
          <w:szCs w:val="22"/>
        </w:rPr>
        <w:t>Scheme thresholds apply to directly funded Australian Government projects with a value of $3 million or more and include indirectly funded Australian Government building projects where:</w:t>
      </w:r>
    </w:p>
    <w:p w:rsidR="00A00163" w:rsidRDefault="00A00163" w:rsidP="00A00163">
      <w:pPr>
        <w:rPr>
          <w:rFonts w:ascii="Tahoma" w:hAnsi="Tahoma" w:cs="Tahoma"/>
          <w:sz w:val="22"/>
          <w:szCs w:val="22"/>
        </w:rPr>
      </w:pPr>
    </w:p>
    <w:p w:rsidR="00817E83" w:rsidRPr="002E01B1" w:rsidRDefault="00817E83" w:rsidP="00817E83">
      <w:pPr>
        <w:numPr>
          <w:ilvl w:val="0"/>
          <w:numId w:val="9"/>
        </w:numPr>
        <w:rPr>
          <w:rFonts w:ascii="Tahoma" w:hAnsi="Tahoma" w:cs="Tahoma"/>
          <w:sz w:val="22"/>
          <w:szCs w:val="22"/>
        </w:rPr>
      </w:pPr>
      <w:r w:rsidRPr="002E01B1">
        <w:rPr>
          <w:rFonts w:ascii="Tahoma" w:hAnsi="Tahoma" w:cs="Tahoma"/>
          <w:sz w:val="22"/>
          <w:szCs w:val="22"/>
        </w:rPr>
        <w:t>The value of the Australian Government contribution to a project is at least $5 million and represents at least 50 per</w:t>
      </w:r>
      <w:r w:rsidR="008370E4">
        <w:rPr>
          <w:rFonts w:ascii="Tahoma" w:hAnsi="Tahoma" w:cs="Tahoma"/>
          <w:sz w:val="22"/>
          <w:szCs w:val="22"/>
        </w:rPr>
        <w:t> </w:t>
      </w:r>
      <w:r w:rsidRPr="002E01B1">
        <w:rPr>
          <w:rFonts w:ascii="Tahoma" w:hAnsi="Tahoma" w:cs="Tahoma"/>
          <w:sz w:val="22"/>
          <w:szCs w:val="22"/>
        </w:rPr>
        <w:t>cent of the total construction project value; or</w:t>
      </w:r>
    </w:p>
    <w:p w:rsidR="00817E83" w:rsidRDefault="002E01B1" w:rsidP="00817E83">
      <w:pPr>
        <w:numPr>
          <w:ilvl w:val="0"/>
          <w:numId w:val="9"/>
        </w:numPr>
        <w:rPr>
          <w:rFonts w:ascii="Tahoma" w:hAnsi="Tahoma" w:cs="Tahoma"/>
          <w:sz w:val="22"/>
          <w:szCs w:val="22"/>
        </w:rPr>
      </w:pPr>
      <w:r w:rsidRPr="002E01B1">
        <w:rPr>
          <w:rFonts w:ascii="Tahoma" w:hAnsi="Tahoma" w:cs="Tahoma"/>
          <w:sz w:val="22"/>
          <w:szCs w:val="22"/>
        </w:rPr>
        <w:t>The Australian Government contribution to a project is $10 million or more, irrespective of the proportion of Australian Government funding.</w:t>
      </w:r>
    </w:p>
    <w:p w:rsidR="002E01B1" w:rsidRDefault="002E01B1" w:rsidP="00F65BE3">
      <w:pPr>
        <w:rPr>
          <w:rFonts w:ascii="Tahoma" w:hAnsi="Tahoma" w:cs="Tahoma"/>
          <w:sz w:val="22"/>
          <w:szCs w:val="22"/>
        </w:rPr>
      </w:pPr>
    </w:p>
    <w:p w:rsidR="002E01B1" w:rsidRDefault="002E01B1" w:rsidP="002E01B1">
      <w:pPr>
        <w:rPr>
          <w:rFonts w:ascii="Tahoma" w:hAnsi="Tahoma" w:cs="Tahoma"/>
          <w:sz w:val="22"/>
          <w:szCs w:val="22"/>
        </w:rPr>
      </w:pPr>
      <w:r>
        <w:rPr>
          <w:rFonts w:ascii="Tahoma" w:hAnsi="Tahoma" w:cs="Tahoma"/>
          <w:sz w:val="22"/>
          <w:szCs w:val="22"/>
        </w:rPr>
        <w:t>Building work is considered directly funded where the Australian Government or a Commonwealth authority enters into a contract with persons who will carry out the building work, or who may arrange for the building work to be carried out.</w:t>
      </w:r>
    </w:p>
    <w:p w:rsidR="002E01B1" w:rsidRDefault="002E01B1" w:rsidP="002E01B1">
      <w:pPr>
        <w:rPr>
          <w:rFonts w:ascii="Tahoma" w:hAnsi="Tahoma" w:cs="Tahoma"/>
          <w:sz w:val="22"/>
          <w:szCs w:val="22"/>
        </w:rPr>
      </w:pPr>
    </w:p>
    <w:p w:rsidR="002E01B1" w:rsidRPr="002E01B1" w:rsidRDefault="002E01B1" w:rsidP="002E01B1">
      <w:pPr>
        <w:rPr>
          <w:rFonts w:ascii="Tahoma" w:hAnsi="Tahoma" w:cs="Tahoma"/>
          <w:sz w:val="22"/>
          <w:szCs w:val="22"/>
        </w:rPr>
      </w:pPr>
      <w:r>
        <w:rPr>
          <w:rFonts w:ascii="Tahoma" w:hAnsi="Tahoma" w:cs="Tahoma"/>
          <w:sz w:val="22"/>
          <w:szCs w:val="22"/>
        </w:rPr>
        <w:t>Building work is considered indirectly funded where it is funded by the Australian Government or a Commonwealth authority through grants or other programs. This includes building projects where the Australian Government provides funding through a funding agreement or grants to a body that may then contract with persons who will undertake the building work or arrange for the building work to be carried out.</w:t>
      </w:r>
    </w:p>
    <w:p w:rsidR="00E24C9F" w:rsidRPr="00817E83" w:rsidRDefault="00E24C9F" w:rsidP="00817E83">
      <w:pPr>
        <w:rPr>
          <w:rFonts w:ascii="Tahoma" w:hAnsi="Tahoma" w:cs="Tahoma"/>
          <w:sz w:val="22"/>
          <w:szCs w:val="22"/>
        </w:rPr>
      </w:pPr>
    </w:p>
    <w:p w:rsidR="00ED336C" w:rsidRPr="002E01B1" w:rsidRDefault="00643817" w:rsidP="00571187">
      <w:pPr>
        <w:pStyle w:val="Heading1"/>
      </w:pPr>
      <w:bookmarkStart w:id="12" w:name="_Toc226431174"/>
      <w:bookmarkStart w:id="13" w:name="_Toc237832456"/>
      <w:r>
        <w:t>REPORTING</w:t>
      </w:r>
      <w:bookmarkEnd w:id="12"/>
      <w:bookmarkEnd w:id="13"/>
    </w:p>
    <w:p w:rsidR="00ED336C" w:rsidRDefault="00ED336C" w:rsidP="00817E83">
      <w:pPr>
        <w:rPr>
          <w:rFonts w:ascii="Tahoma" w:hAnsi="Tahoma" w:cs="Tahoma"/>
          <w:sz w:val="22"/>
          <w:szCs w:val="22"/>
        </w:rPr>
      </w:pPr>
    </w:p>
    <w:p w:rsidR="005A4FFA" w:rsidRDefault="005A4FFA" w:rsidP="005A4FFA">
      <w:pPr>
        <w:rPr>
          <w:rFonts w:ascii="Tahoma" w:hAnsi="Tahoma" w:cs="Tahoma"/>
          <w:sz w:val="22"/>
          <w:szCs w:val="22"/>
        </w:rPr>
      </w:pPr>
      <w:r>
        <w:rPr>
          <w:rFonts w:ascii="Tahoma" w:hAnsi="Tahoma" w:cs="Tahoma"/>
          <w:sz w:val="22"/>
          <w:szCs w:val="22"/>
        </w:rPr>
        <w:t xml:space="preserve">Under Regulation 14 of the </w:t>
      </w:r>
      <w:r w:rsidRPr="00A042CC">
        <w:rPr>
          <w:rStyle w:val="Emphasis"/>
        </w:rPr>
        <w:t>Building and Construction Industry Improvement (Accreditation Scheme) Regulations 2005</w:t>
      </w:r>
      <w:r>
        <w:rPr>
          <w:rFonts w:ascii="Tahoma" w:hAnsi="Tahoma" w:cs="Tahoma"/>
          <w:sz w:val="22"/>
          <w:szCs w:val="22"/>
        </w:rPr>
        <w:t xml:space="preserve"> (the Regulations), it is a condition of accreditation under the Scheme that accredited contractors comply with the reporting requirements of the OFSC.</w:t>
      </w:r>
    </w:p>
    <w:p w:rsidR="005A4FFA" w:rsidRPr="00817E83" w:rsidRDefault="005A4FFA" w:rsidP="00817E83">
      <w:pPr>
        <w:rPr>
          <w:rFonts w:ascii="Tahoma" w:hAnsi="Tahoma" w:cs="Tahoma"/>
          <w:sz w:val="22"/>
          <w:szCs w:val="22"/>
        </w:rPr>
      </w:pPr>
    </w:p>
    <w:p w:rsidR="00ED336C" w:rsidRDefault="00E24C9F" w:rsidP="00817E83">
      <w:pPr>
        <w:tabs>
          <w:tab w:val="left" w:pos="1418"/>
        </w:tabs>
        <w:rPr>
          <w:rFonts w:ascii="Tahoma" w:hAnsi="Tahoma" w:cs="Arial"/>
          <w:sz w:val="22"/>
          <w:szCs w:val="22"/>
        </w:rPr>
      </w:pPr>
      <w:r w:rsidRPr="00817E83">
        <w:rPr>
          <w:rFonts w:ascii="Tahoma" w:hAnsi="Tahoma" w:cs="Arial"/>
          <w:sz w:val="22"/>
          <w:szCs w:val="22"/>
        </w:rPr>
        <w:t>E</w:t>
      </w:r>
      <w:r w:rsidR="00ED336C" w:rsidRPr="00817E83">
        <w:rPr>
          <w:rFonts w:ascii="Tahoma" w:hAnsi="Tahoma" w:cs="Arial"/>
          <w:sz w:val="22"/>
          <w:szCs w:val="22"/>
        </w:rPr>
        <w:t xml:space="preserve">ach accredited contractor is required to lodge </w:t>
      </w:r>
      <w:r w:rsidRPr="00817E83">
        <w:rPr>
          <w:rFonts w:ascii="Tahoma" w:hAnsi="Tahoma" w:cs="Arial"/>
          <w:sz w:val="22"/>
          <w:szCs w:val="22"/>
        </w:rPr>
        <w:t>biannual</w:t>
      </w:r>
      <w:r w:rsidR="00ED336C" w:rsidRPr="00817E83">
        <w:rPr>
          <w:rFonts w:ascii="Tahoma" w:hAnsi="Tahoma" w:cs="Arial"/>
          <w:sz w:val="22"/>
          <w:szCs w:val="22"/>
        </w:rPr>
        <w:t xml:space="preserve"> </w:t>
      </w:r>
      <w:r w:rsidRPr="00817E83">
        <w:rPr>
          <w:rFonts w:ascii="Tahoma" w:hAnsi="Tahoma" w:cs="Arial"/>
          <w:sz w:val="22"/>
          <w:szCs w:val="22"/>
        </w:rPr>
        <w:t>a</w:t>
      </w:r>
      <w:r w:rsidR="00ED336C" w:rsidRPr="00817E83">
        <w:rPr>
          <w:rFonts w:ascii="Tahoma" w:hAnsi="Tahoma" w:cs="Arial"/>
          <w:sz w:val="22"/>
          <w:szCs w:val="22"/>
        </w:rPr>
        <w:t xml:space="preserve">ctivity </w:t>
      </w:r>
      <w:r w:rsidRPr="00817E83">
        <w:rPr>
          <w:rFonts w:ascii="Tahoma" w:hAnsi="Tahoma" w:cs="Arial"/>
          <w:sz w:val="22"/>
          <w:szCs w:val="22"/>
        </w:rPr>
        <w:t>r</w:t>
      </w:r>
      <w:r w:rsidR="00ED336C" w:rsidRPr="00817E83">
        <w:rPr>
          <w:rFonts w:ascii="Tahoma" w:hAnsi="Tahoma" w:cs="Arial"/>
          <w:sz w:val="22"/>
          <w:szCs w:val="22"/>
        </w:rPr>
        <w:t>eport</w:t>
      </w:r>
      <w:r w:rsidRPr="00817E83">
        <w:rPr>
          <w:rFonts w:ascii="Tahoma" w:hAnsi="Tahoma" w:cs="Arial"/>
          <w:sz w:val="22"/>
          <w:szCs w:val="22"/>
        </w:rPr>
        <w:t>s</w:t>
      </w:r>
      <w:r w:rsidR="00ED336C" w:rsidRPr="00817E83">
        <w:rPr>
          <w:rFonts w:ascii="Tahoma" w:hAnsi="Tahoma" w:cs="Arial"/>
          <w:sz w:val="22"/>
          <w:szCs w:val="22"/>
        </w:rPr>
        <w:t xml:space="preserve"> to </w:t>
      </w:r>
      <w:r w:rsidRPr="00817E83">
        <w:rPr>
          <w:rFonts w:ascii="Tahoma" w:hAnsi="Tahoma" w:cs="Arial"/>
          <w:sz w:val="22"/>
          <w:szCs w:val="22"/>
        </w:rPr>
        <w:t xml:space="preserve">document the operation of their OHS management systems even when no </w:t>
      </w:r>
      <w:r w:rsidR="00817E83">
        <w:rPr>
          <w:rFonts w:ascii="Tahoma" w:hAnsi="Tahoma" w:cs="Arial"/>
          <w:sz w:val="22"/>
          <w:szCs w:val="22"/>
        </w:rPr>
        <w:t>S</w:t>
      </w:r>
      <w:r w:rsidRPr="00817E83">
        <w:rPr>
          <w:rFonts w:ascii="Tahoma" w:hAnsi="Tahoma" w:cs="Arial"/>
          <w:sz w:val="22"/>
          <w:szCs w:val="22"/>
        </w:rPr>
        <w:t>cheme projects are currently being undertaken.</w:t>
      </w:r>
      <w:r w:rsidR="00ED336C" w:rsidRPr="00817E83">
        <w:rPr>
          <w:rFonts w:ascii="Tahoma" w:hAnsi="Tahoma" w:cs="Arial"/>
          <w:sz w:val="22"/>
          <w:szCs w:val="22"/>
        </w:rPr>
        <w:t xml:space="preserve"> The </w:t>
      </w:r>
      <w:r w:rsidRPr="00817E83">
        <w:rPr>
          <w:rFonts w:ascii="Tahoma" w:hAnsi="Tahoma" w:cs="Arial"/>
          <w:sz w:val="22"/>
          <w:szCs w:val="22"/>
        </w:rPr>
        <w:t>biannual</w:t>
      </w:r>
      <w:r w:rsidR="00ED336C" w:rsidRPr="00817E83">
        <w:rPr>
          <w:rFonts w:ascii="Tahoma" w:hAnsi="Tahoma" w:cs="Arial"/>
          <w:sz w:val="22"/>
          <w:szCs w:val="22"/>
        </w:rPr>
        <w:t xml:space="preserve"> report collect</w:t>
      </w:r>
      <w:r w:rsidR="0077340E" w:rsidRPr="00817E83">
        <w:rPr>
          <w:rFonts w:ascii="Tahoma" w:hAnsi="Tahoma" w:cs="Arial"/>
          <w:sz w:val="22"/>
          <w:szCs w:val="22"/>
        </w:rPr>
        <w:t>s</w:t>
      </w:r>
      <w:r w:rsidR="00ED336C" w:rsidRPr="00817E83">
        <w:rPr>
          <w:rFonts w:ascii="Tahoma" w:hAnsi="Tahoma" w:cs="Arial"/>
          <w:sz w:val="22"/>
          <w:szCs w:val="22"/>
        </w:rPr>
        <w:t xml:space="preserve"> updated figures on a defined set of measures and is used to help the OFSC to assess the current OHS </w:t>
      </w:r>
      <w:r w:rsidR="00ED336C" w:rsidRPr="00817E83">
        <w:rPr>
          <w:rFonts w:ascii="Tahoma" w:hAnsi="Tahoma" w:cs="Arial"/>
          <w:sz w:val="22"/>
          <w:szCs w:val="22"/>
        </w:rPr>
        <w:lastRenderedPageBreak/>
        <w:t>status of all accredited contractors, and to determine trends in accredited contractor OHS performance.</w:t>
      </w:r>
    </w:p>
    <w:p w:rsidR="00175B57" w:rsidRPr="00817E83" w:rsidRDefault="00175B57" w:rsidP="00817E83">
      <w:pPr>
        <w:tabs>
          <w:tab w:val="left" w:pos="1418"/>
        </w:tabs>
        <w:rPr>
          <w:rFonts w:ascii="Tahoma" w:hAnsi="Tahoma" w:cs="Arial"/>
          <w:sz w:val="22"/>
          <w:szCs w:val="22"/>
        </w:rPr>
      </w:pPr>
    </w:p>
    <w:p w:rsidR="00ED336C" w:rsidRDefault="00ED336C" w:rsidP="00817E83">
      <w:pPr>
        <w:rPr>
          <w:rFonts w:ascii="Tahoma" w:hAnsi="Tahoma" w:cs="Tahoma"/>
          <w:sz w:val="22"/>
          <w:szCs w:val="22"/>
        </w:rPr>
      </w:pPr>
      <w:r w:rsidRPr="00817E83">
        <w:rPr>
          <w:rFonts w:ascii="Tahoma" w:hAnsi="Tahoma" w:cs="Tahoma"/>
          <w:sz w:val="22"/>
          <w:szCs w:val="22"/>
        </w:rPr>
        <w:t xml:space="preserve">This </w:t>
      </w:r>
      <w:r w:rsidR="00643817">
        <w:rPr>
          <w:rFonts w:ascii="Tahoma" w:hAnsi="Tahoma" w:cs="Tahoma"/>
          <w:sz w:val="22"/>
          <w:szCs w:val="22"/>
        </w:rPr>
        <w:t>report</w:t>
      </w:r>
      <w:r w:rsidRPr="00817E83">
        <w:rPr>
          <w:rFonts w:ascii="Tahoma" w:hAnsi="Tahoma" w:cs="Tahoma"/>
          <w:sz w:val="22"/>
          <w:szCs w:val="22"/>
        </w:rPr>
        <w:t xml:space="preserve"> provides an overview of the analysis of the data collected from </w:t>
      </w:r>
      <w:r w:rsidR="00801DBD" w:rsidRPr="00817E83">
        <w:rPr>
          <w:rFonts w:ascii="Tahoma" w:hAnsi="Tahoma" w:cs="Tahoma"/>
          <w:sz w:val="22"/>
          <w:szCs w:val="22"/>
        </w:rPr>
        <w:t>biannual activity report</w:t>
      </w:r>
      <w:r w:rsidR="0077340E" w:rsidRPr="00817E83">
        <w:rPr>
          <w:rFonts w:ascii="Tahoma" w:hAnsi="Tahoma" w:cs="Tahoma"/>
          <w:sz w:val="22"/>
          <w:szCs w:val="22"/>
        </w:rPr>
        <w:t>s</w:t>
      </w:r>
      <w:r w:rsidR="00801DBD" w:rsidRPr="00817E83">
        <w:rPr>
          <w:rFonts w:ascii="Tahoma" w:hAnsi="Tahoma" w:cs="Tahoma"/>
          <w:sz w:val="22"/>
          <w:szCs w:val="22"/>
        </w:rPr>
        <w:t xml:space="preserve"> for the period July</w:t>
      </w:r>
      <w:r w:rsidR="00643817">
        <w:rPr>
          <w:rFonts w:ascii="Tahoma" w:hAnsi="Tahoma" w:cs="Tahoma"/>
          <w:sz w:val="22"/>
          <w:szCs w:val="22"/>
        </w:rPr>
        <w:t xml:space="preserve"> to </w:t>
      </w:r>
      <w:r w:rsidR="00801DBD" w:rsidRPr="00817E83">
        <w:rPr>
          <w:rFonts w:ascii="Tahoma" w:hAnsi="Tahoma" w:cs="Tahoma"/>
          <w:sz w:val="22"/>
          <w:szCs w:val="22"/>
        </w:rPr>
        <w:t>December 2008</w:t>
      </w:r>
      <w:r w:rsidRPr="00817E83">
        <w:rPr>
          <w:rFonts w:ascii="Tahoma" w:hAnsi="Tahoma" w:cs="Tahoma"/>
          <w:sz w:val="22"/>
          <w:szCs w:val="22"/>
        </w:rPr>
        <w:t xml:space="preserve">. Comparisons are also made with data collected </w:t>
      </w:r>
      <w:r w:rsidR="00801DBD" w:rsidRPr="00817E83">
        <w:rPr>
          <w:rFonts w:ascii="Tahoma" w:hAnsi="Tahoma" w:cs="Tahoma"/>
          <w:sz w:val="22"/>
          <w:szCs w:val="22"/>
        </w:rPr>
        <w:t>in previous biannual periods</w:t>
      </w:r>
      <w:r w:rsidRPr="00817E83">
        <w:rPr>
          <w:rFonts w:ascii="Tahoma" w:hAnsi="Tahoma" w:cs="Tahoma"/>
          <w:sz w:val="22"/>
          <w:szCs w:val="22"/>
        </w:rPr>
        <w:t>.</w:t>
      </w:r>
    </w:p>
    <w:p w:rsidR="004443B8" w:rsidRPr="00817E83" w:rsidRDefault="004443B8" w:rsidP="00817E83">
      <w:pPr>
        <w:rPr>
          <w:rFonts w:ascii="Tahoma" w:hAnsi="Tahoma" w:cs="Tahoma"/>
          <w:sz w:val="22"/>
          <w:szCs w:val="22"/>
        </w:rPr>
      </w:pPr>
    </w:p>
    <w:p w:rsidR="0077340E" w:rsidRPr="00817E83" w:rsidRDefault="0077340E" w:rsidP="00817E83">
      <w:pPr>
        <w:rPr>
          <w:rFonts w:ascii="Tahoma" w:hAnsi="Tahoma" w:cs="Tahoma"/>
          <w:sz w:val="22"/>
          <w:szCs w:val="22"/>
        </w:rPr>
      </w:pPr>
      <w:bookmarkStart w:id="14" w:name="_Toc190678757"/>
      <w:r w:rsidRPr="00817E83">
        <w:rPr>
          <w:rFonts w:ascii="Tahoma" w:hAnsi="Tahoma" w:cs="Tahoma"/>
          <w:sz w:val="22"/>
          <w:szCs w:val="22"/>
        </w:rPr>
        <w:t xml:space="preserve">It should be noted that data provided to the </w:t>
      </w:r>
      <w:r w:rsidR="00452B11">
        <w:rPr>
          <w:rFonts w:ascii="Tahoma" w:hAnsi="Tahoma" w:cs="Tahoma"/>
          <w:sz w:val="22"/>
          <w:szCs w:val="22"/>
        </w:rPr>
        <w:t>OFSC</w:t>
      </w:r>
      <w:r w:rsidRPr="00817E83">
        <w:rPr>
          <w:rFonts w:ascii="Tahoma" w:hAnsi="Tahoma" w:cs="Tahoma"/>
          <w:sz w:val="22"/>
          <w:szCs w:val="22"/>
        </w:rPr>
        <w:t xml:space="preserve"> by accredited contractors under the Scheme has not been the subject of independent audit or verification and </w:t>
      </w:r>
      <w:r w:rsidR="00B351BD" w:rsidRPr="00817E83">
        <w:rPr>
          <w:rFonts w:ascii="Tahoma" w:hAnsi="Tahoma" w:cs="Tahoma"/>
          <w:sz w:val="22"/>
          <w:szCs w:val="22"/>
        </w:rPr>
        <w:t>should be treated as</w:t>
      </w:r>
      <w:r w:rsidRPr="00817E83">
        <w:rPr>
          <w:rFonts w:ascii="Tahoma" w:hAnsi="Tahoma" w:cs="Tahoma"/>
          <w:sz w:val="22"/>
          <w:szCs w:val="22"/>
        </w:rPr>
        <w:t xml:space="preserve"> indicative only.</w:t>
      </w:r>
    </w:p>
    <w:p w:rsidR="008F12B8" w:rsidRPr="00817E83" w:rsidRDefault="008F12B8" w:rsidP="00817E83">
      <w:pPr>
        <w:rPr>
          <w:rFonts w:ascii="Tahoma" w:hAnsi="Tahoma" w:cs="Tahoma"/>
          <w:sz w:val="22"/>
          <w:szCs w:val="22"/>
        </w:rPr>
      </w:pPr>
    </w:p>
    <w:p w:rsidR="00ED336C" w:rsidRDefault="00643817" w:rsidP="00692578">
      <w:pPr>
        <w:pStyle w:val="Heading1"/>
      </w:pPr>
      <w:bookmarkStart w:id="15" w:name="_Toc226431175"/>
      <w:bookmarkStart w:id="16" w:name="_Toc237832457"/>
      <w:r>
        <w:t>ANALYSIS</w:t>
      </w:r>
      <w:bookmarkEnd w:id="14"/>
      <w:bookmarkEnd w:id="15"/>
      <w:bookmarkEnd w:id="16"/>
    </w:p>
    <w:p w:rsidR="00B052A9" w:rsidRDefault="00B052A9" w:rsidP="00B052A9">
      <w:pPr>
        <w:rPr>
          <w:rFonts w:ascii="Tahoma" w:hAnsi="Tahoma" w:cs="Tahoma"/>
          <w:sz w:val="22"/>
          <w:szCs w:val="22"/>
        </w:rPr>
      </w:pPr>
    </w:p>
    <w:p w:rsidR="0026519F" w:rsidRDefault="0026519F" w:rsidP="00692578">
      <w:pPr>
        <w:rPr>
          <w:rFonts w:ascii="Tahoma" w:hAnsi="Tahoma" w:cs="Tahoma"/>
          <w:sz w:val="22"/>
          <w:szCs w:val="22"/>
        </w:rPr>
      </w:pPr>
      <w:r w:rsidRPr="0026519F">
        <w:rPr>
          <w:rFonts w:ascii="Tahoma" w:hAnsi="Tahoma" w:cs="Tahoma"/>
          <w:sz w:val="22"/>
          <w:szCs w:val="22"/>
        </w:rPr>
        <w:t>Prior to the introduction of biannual reporting</w:t>
      </w:r>
      <w:r w:rsidR="00E34DD3">
        <w:rPr>
          <w:rFonts w:ascii="Tahoma" w:hAnsi="Tahoma" w:cs="Tahoma"/>
          <w:sz w:val="22"/>
          <w:szCs w:val="22"/>
        </w:rPr>
        <w:t xml:space="preserve"> in the December 2007 reporting period</w:t>
      </w:r>
      <w:r w:rsidRPr="0026519F">
        <w:rPr>
          <w:rFonts w:ascii="Tahoma" w:hAnsi="Tahoma" w:cs="Tahoma"/>
          <w:sz w:val="22"/>
          <w:szCs w:val="22"/>
        </w:rPr>
        <w:t xml:space="preserve">, </w:t>
      </w:r>
      <w:r>
        <w:rPr>
          <w:rFonts w:ascii="Tahoma" w:hAnsi="Tahoma" w:cs="Tahoma"/>
          <w:sz w:val="22"/>
          <w:szCs w:val="22"/>
        </w:rPr>
        <w:t>data</w:t>
      </w:r>
      <w:r w:rsidRPr="0026519F">
        <w:rPr>
          <w:rFonts w:ascii="Tahoma" w:hAnsi="Tahoma" w:cs="Tahoma"/>
          <w:sz w:val="22"/>
          <w:szCs w:val="22"/>
        </w:rPr>
        <w:t xml:space="preserve"> w</w:t>
      </w:r>
      <w:r w:rsidR="00E34DD3">
        <w:rPr>
          <w:rFonts w:ascii="Tahoma" w:hAnsi="Tahoma" w:cs="Tahoma"/>
          <w:sz w:val="22"/>
          <w:szCs w:val="22"/>
        </w:rPr>
        <w:t>as</w:t>
      </w:r>
      <w:r w:rsidRPr="0026519F">
        <w:rPr>
          <w:rFonts w:ascii="Tahoma" w:hAnsi="Tahoma" w:cs="Tahoma"/>
          <w:sz w:val="22"/>
          <w:szCs w:val="22"/>
        </w:rPr>
        <w:t xml:space="preserve"> not split by type of project (</w:t>
      </w:r>
      <w:r>
        <w:rPr>
          <w:rFonts w:ascii="Tahoma" w:hAnsi="Tahoma" w:cs="Tahoma"/>
          <w:sz w:val="22"/>
          <w:szCs w:val="22"/>
        </w:rPr>
        <w:t>Scheme</w:t>
      </w:r>
      <w:r w:rsidRPr="0026519F">
        <w:rPr>
          <w:rFonts w:ascii="Tahoma" w:hAnsi="Tahoma" w:cs="Tahoma"/>
          <w:sz w:val="22"/>
          <w:szCs w:val="22"/>
        </w:rPr>
        <w:t>/ non-</w:t>
      </w:r>
      <w:r>
        <w:rPr>
          <w:rFonts w:ascii="Tahoma" w:hAnsi="Tahoma" w:cs="Tahoma"/>
          <w:sz w:val="22"/>
          <w:szCs w:val="22"/>
        </w:rPr>
        <w:t>Scheme</w:t>
      </w:r>
      <w:r w:rsidRPr="0026519F">
        <w:rPr>
          <w:rFonts w:ascii="Tahoma" w:hAnsi="Tahoma" w:cs="Tahoma"/>
          <w:sz w:val="22"/>
          <w:szCs w:val="22"/>
        </w:rPr>
        <w:t>). As a consequence, direct comparisons between biannual data and annual data are not practicable.</w:t>
      </w:r>
    </w:p>
    <w:p w:rsidR="00175B57" w:rsidRDefault="00175B57" w:rsidP="00692578">
      <w:pPr>
        <w:rPr>
          <w:rFonts w:ascii="Tahoma" w:hAnsi="Tahoma" w:cs="Tahoma"/>
          <w:sz w:val="22"/>
          <w:szCs w:val="22"/>
        </w:rPr>
      </w:pPr>
    </w:p>
    <w:p w:rsidR="00175B57" w:rsidRPr="0026519F" w:rsidRDefault="00175B57" w:rsidP="00692578">
      <w:pPr>
        <w:rPr>
          <w:rFonts w:ascii="Tahoma" w:hAnsi="Tahoma" w:cs="Tahoma"/>
          <w:sz w:val="22"/>
          <w:szCs w:val="22"/>
        </w:rPr>
      </w:pPr>
      <w:r>
        <w:rPr>
          <w:rFonts w:ascii="Tahoma" w:hAnsi="Tahoma" w:cs="Tahoma"/>
          <w:sz w:val="22"/>
          <w:szCs w:val="22"/>
        </w:rPr>
        <w:t>Where possible comparisons are provided to industry wide data, however, the availability of this data is limited and is often not available until much later than the data reported by the OFSC.</w:t>
      </w:r>
    </w:p>
    <w:p w:rsidR="00ED336C" w:rsidRDefault="00ED336C" w:rsidP="00692578">
      <w:pPr>
        <w:pStyle w:val="Heading2"/>
        <w:numPr>
          <w:ilvl w:val="1"/>
          <w:numId w:val="16"/>
        </w:numPr>
      </w:pPr>
      <w:bookmarkStart w:id="17" w:name="_Toc226431176"/>
      <w:bookmarkStart w:id="18" w:name="_Toc237832458"/>
      <w:r w:rsidRPr="00643817">
        <w:t xml:space="preserve">Contractors </w:t>
      </w:r>
      <w:r w:rsidR="00C3356F">
        <w:t>a</w:t>
      </w:r>
      <w:r w:rsidR="00080D33" w:rsidRPr="00643817">
        <w:t>ccredited</w:t>
      </w:r>
      <w:bookmarkEnd w:id="17"/>
      <w:bookmarkEnd w:id="18"/>
    </w:p>
    <w:p w:rsidR="00B052A9" w:rsidRPr="00B052A9" w:rsidRDefault="00B052A9" w:rsidP="00B052A9">
      <w:pPr>
        <w:rPr>
          <w:rFonts w:ascii="Tahoma" w:hAnsi="Tahoma" w:cs="Tahoma"/>
          <w:sz w:val="22"/>
          <w:szCs w:val="22"/>
        </w:rPr>
      </w:pPr>
    </w:p>
    <w:p w:rsidR="00540F92" w:rsidRDefault="00E34DD3" w:rsidP="00B345D5">
      <w:pPr>
        <w:rPr>
          <w:rFonts w:ascii="Tahoma" w:hAnsi="Tahoma" w:cs="Tahoma"/>
          <w:sz w:val="22"/>
          <w:szCs w:val="22"/>
        </w:rPr>
      </w:pPr>
      <w:r>
        <w:rPr>
          <w:rFonts w:ascii="Tahoma" w:hAnsi="Tahoma" w:cs="Tahoma"/>
          <w:sz w:val="22"/>
          <w:szCs w:val="22"/>
        </w:rPr>
        <w:t>There was an 85 per cent increase in the number of accredited contractors providing biannual data with 66 companies reporting in the December</w:t>
      </w:r>
      <w:r w:rsidR="00175B57">
        <w:rPr>
          <w:rFonts w:ascii="Tahoma" w:hAnsi="Tahoma" w:cs="Tahoma"/>
          <w:sz w:val="22"/>
          <w:szCs w:val="22"/>
        </w:rPr>
        <w:t xml:space="preserve"> 2</w:t>
      </w:r>
      <w:r w:rsidR="00A93138">
        <w:rPr>
          <w:rFonts w:ascii="Tahoma" w:hAnsi="Tahoma" w:cs="Tahoma"/>
          <w:sz w:val="22"/>
          <w:szCs w:val="22"/>
        </w:rPr>
        <w:t>0</w:t>
      </w:r>
      <w:r w:rsidR="00175B57">
        <w:rPr>
          <w:rFonts w:ascii="Tahoma" w:hAnsi="Tahoma" w:cs="Tahoma"/>
          <w:sz w:val="22"/>
          <w:szCs w:val="22"/>
        </w:rPr>
        <w:t xml:space="preserve">07 period and 122 </w:t>
      </w:r>
      <w:r w:rsidR="00A93138">
        <w:rPr>
          <w:rFonts w:ascii="Tahoma" w:hAnsi="Tahoma" w:cs="Tahoma"/>
          <w:sz w:val="22"/>
          <w:szCs w:val="22"/>
        </w:rPr>
        <w:t xml:space="preserve">companies </w:t>
      </w:r>
      <w:r w:rsidR="00175B57">
        <w:rPr>
          <w:rFonts w:ascii="Tahoma" w:hAnsi="Tahoma" w:cs="Tahoma"/>
          <w:sz w:val="22"/>
          <w:szCs w:val="22"/>
        </w:rPr>
        <w:t>reporting in the December 2008 period</w:t>
      </w:r>
      <w:r w:rsidR="00ED336C">
        <w:rPr>
          <w:rFonts w:ascii="Tahoma" w:hAnsi="Tahoma" w:cs="Tahoma"/>
          <w:sz w:val="22"/>
          <w:szCs w:val="22"/>
        </w:rPr>
        <w:t>.</w:t>
      </w:r>
      <w:r w:rsidR="00080D33">
        <w:rPr>
          <w:rFonts w:ascii="Tahoma" w:hAnsi="Tahoma" w:cs="Tahoma"/>
          <w:sz w:val="22"/>
          <w:szCs w:val="22"/>
        </w:rPr>
        <w:t xml:space="preserve"> </w:t>
      </w:r>
      <w:r w:rsidR="005E5F33">
        <w:rPr>
          <w:rFonts w:ascii="Tahoma" w:hAnsi="Tahoma" w:cs="Tahoma"/>
          <w:sz w:val="22"/>
          <w:szCs w:val="22"/>
        </w:rPr>
        <w:t>Of the 122 accredited contractors</w:t>
      </w:r>
      <w:r w:rsidR="00424273">
        <w:rPr>
          <w:rFonts w:ascii="Tahoma" w:hAnsi="Tahoma" w:cs="Tahoma"/>
          <w:sz w:val="22"/>
          <w:szCs w:val="22"/>
        </w:rPr>
        <w:t>, 10 accredited contractors (8</w:t>
      </w:r>
      <w:r w:rsidR="00E14C9A">
        <w:rPr>
          <w:rFonts w:ascii="Tahoma" w:hAnsi="Tahoma" w:cs="Tahoma"/>
          <w:sz w:val="22"/>
          <w:szCs w:val="22"/>
        </w:rPr>
        <w:t> </w:t>
      </w:r>
      <w:r w:rsidR="00424273">
        <w:rPr>
          <w:rFonts w:ascii="Tahoma" w:hAnsi="Tahoma" w:cs="Tahoma"/>
          <w:sz w:val="22"/>
          <w:szCs w:val="22"/>
        </w:rPr>
        <w:t>per</w:t>
      </w:r>
      <w:r w:rsidR="00E14C9A">
        <w:rPr>
          <w:rFonts w:ascii="Tahoma" w:hAnsi="Tahoma" w:cs="Tahoma"/>
          <w:sz w:val="22"/>
          <w:szCs w:val="22"/>
        </w:rPr>
        <w:t> </w:t>
      </w:r>
      <w:r w:rsidR="00424273">
        <w:rPr>
          <w:rFonts w:ascii="Tahoma" w:hAnsi="Tahoma" w:cs="Tahoma"/>
          <w:sz w:val="22"/>
          <w:szCs w:val="22"/>
        </w:rPr>
        <w:t>cent) reported nil projects.</w:t>
      </w:r>
    </w:p>
    <w:p w:rsidR="00B74BB6" w:rsidRPr="00F147BA" w:rsidRDefault="00E16C87" w:rsidP="00424273">
      <w:pPr>
        <w:spacing w:before="120"/>
        <w:rPr>
          <w:rFonts w:ascii="Tahoma" w:hAnsi="Tahoma" w:cs="Tahoma"/>
          <w:sz w:val="22"/>
          <w:szCs w:val="22"/>
        </w:rPr>
      </w:pPr>
      <w:r>
        <w:rPr>
          <w:rFonts w:ascii="Tahoma" w:hAnsi="Tahoma" w:cs="Tahoma"/>
          <w:noProof/>
          <w:sz w:val="22"/>
          <w:szCs w:val="22"/>
          <w:lang w:eastAsia="en-AU"/>
        </w:rPr>
        <w:drawing>
          <wp:inline distT="0" distB="0" distL="0" distR="0">
            <wp:extent cx="5038725" cy="3571875"/>
            <wp:effectExtent l="19050" t="0" r="9525" b="0"/>
            <wp:docPr id="1" name="Picture 1" descr="Line Graph showing: &#10;&#10;- number of accredited contractors (blue line) steadily increasing from 66 to 122&#10;- number of contractors with nil projects (pink line) rising from approximately 5 to 10. &#10;&#10;These figures have been collected from periods July to December 2007 to July to December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 Graph showing: &#10;&#10;- number of accredited contractors (blue line) steadily increasing from 66 to 122&#10;- number of contractors with nil projects (pink line) rising from approximately 5 to 10. &#10;&#10;These figures have been collected from periods July to December 2007 to July to December 2008."/>
                    <pic:cNvPicPr>
                      <a:picLocks noChangeAspect="1" noChangeArrowheads="1"/>
                    </pic:cNvPicPr>
                  </pic:nvPicPr>
                  <pic:blipFill>
                    <a:blip r:embed="rId11"/>
                    <a:srcRect/>
                    <a:stretch>
                      <a:fillRect/>
                    </a:stretch>
                  </pic:blipFill>
                  <pic:spPr bwMode="auto">
                    <a:xfrm>
                      <a:off x="0" y="0"/>
                      <a:ext cx="5038725" cy="3571875"/>
                    </a:xfrm>
                    <a:prstGeom prst="rect">
                      <a:avLst/>
                    </a:prstGeom>
                    <a:noFill/>
                    <a:ln w="9525">
                      <a:noFill/>
                      <a:miter lim="800000"/>
                      <a:headEnd/>
                      <a:tailEnd/>
                    </a:ln>
                  </pic:spPr>
                </pic:pic>
              </a:graphicData>
            </a:graphic>
          </wp:inline>
        </w:drawing>
      </w:r>
    </w:p>
    <w:p w:rsidR="00ED336C" w:rsidRPr="00571187" w:rsidRDefault="00ED336C" w:rsidP="00692578">
      <w:pPr>
        <w:pStyle w:val="Heading2"/>
        <w:rPr>
          <w:rStyle w:val="Heading2Char"/>
          <w:b/>
          <w:bCs/>
          <w:i/>
          <w:iCs/>
        </w:rPr>
      </w:pPr>
      <w:bookmarkStart w:id="19" w:name="_Toc226431177"/>
      <w:bookmarkStart w:id="20" w:name="_Toc237832459"/>
      <w:r w:rsidRPr="00571187">
        <w:rPr>
          <w:rStyle w:val="Heading2Char"/>
          <w:b/>
          <w:bCs/>
          <w:i/>
          <w:iCs/>
        </w:rPr>
        <w:lastRenderedPageBreak/>
        <w:t xml:space="preserve">Number of </w:t>
      </w:r>
      <w:r w:rsidR="00C3356F" w:rsidRPr="00571187">
        <w:rPr>
          <w:rStyle w:val="Heading2Char"/>
          <w:b/>
          <w:bCs/>
          <w:i/>
          <w:iCs/>
        </w:rPr>
        <w:t>p</w:t>
      </w:r>
      <w:r w:rsidRPr="00571187">
        <w:rPr>
          <w:rStyle w:val="Heading2Char"/>
          <w:b/>
          <w:bCs/>
          <w:i/>
          <w:iCs/>
        </w:rPr>
        <w:t>rojects</w:t>
      </w:r>
      <w:bookmarkEnd w:id="19"/>
      <w:bookmarkEnd w:id="20"/>
    </w:p>
    <w:p w:rsidR="00B74BB6" w:rsidRDefault="00B74BB6" w:rsidP="00643817">
      <w:pPr>
        <w:rPr>
          <w:rFonts w:ascii="Tahoma" w:hAnsi="Tahoma" w:cs="Tahoma"/>
          <w:sz w:val="22"/>
          <w:szCs w:val="22"/>
        </w:rPr>
      </w:pPr>
    </w:p>
    <w:tbl>
      <w:tblPr>
        <w:tblStyle w:val="TableGrid"/>
        <w:tblW w:w="0" w:type="auto"/>
        <w:jc w:val="center"/>
        <w:tblCellMar>
          <w:left w:w="57" w:type="dxa"/>
          <w:right w:w="57" w:type="dxa"/>
        </w:tblCellMar>
        <w:tblLook w:val="01E0" w:firstRow="1" w:lastRow="1" w:firstColumn="1" w:lastColumn="1" w:noHBand="0" w:noVBand="0"/>
      </w:tblPr>
      <w:tblGrid>
        <w:gridCol w:w="1598"/>
        <w:gridCol w:w="1715"/>
        <w:gridCol w:w="1637"/>
        <w:gridCol w:w="1716"/>
        <w:gridCol w:w="1637"/>
      </w:tblGrid>
      <w:tr w:rsidR="00B74BB6" w:rsidTr="00A60F58">
        <w:trPr>
          <w:jc w:val="center"/>
        </w:trPr>
        <w:tc>
          <w:tcPr>
            <w:tcW w:w="1630" w:type="dxa"/>
            <w:vAlign w:val="bottom"/>
          </w:tcPr>
          <w:p w:rsidR="00B74BB6" w:rsidRPr="00341CD4" w:rsidRDefault="005405FD" w:rsidP="00270DD5">
            <w:pPr>
              <w:spacing w:before="20" w:after="20"/>
              <w:jc w:val="center"/>
              <w:rPr>
                <w:rFonts w:ascii="Tahoma" w:hAnsi="Tahoma" w:cs="Tahoma"/>
                <w:b/>
                <w:sz w:val="20"/>
              </w:rPr>
            </w:pPr>
            <w:r w:rsidRPr="00341CD4">
              <w:rPr>
                <w:rFonts w:ascii="Tahoma" w:hAnsi="Tahoma" w:cs="Tahoma"/>
                <w:b/>
                <w:sz w:val="20"/>
              </w:rPr>
              <w:t>Period</w:t>
            </w:r>
          </w:p>
        </w:tc>
        <w:tc>
          <w:tcPr>
            <w:tcW w:w="1733" w:type="dxa"/>
            <w:vAlign w:val="bottom"/>
          </w:tcPr>
          <w:p w:rsidR="00B74BB6" w:rsidRPr="00341CD4" w:rsidRDefault="00A60F58" w:rsidP="00A60F58">
            <w:pPr>
              <w:spacing w:before="20" w:after="20"/>
              <w:jc w:val="center"/>
              <w:rPr>
                <w:rFonts w:ascii="Tahoma" w:hAnsi="Tahoma" w:cs="Tahoma"/>
                <w:b/>
                <w:sz w:val="20"/>
              </w:rPr>
            </w:pPr>
            <w:r w:rsidRPr="00A60F58">
              <w:rPr>
                <w:rFonts w:ascii="Tahoma" w:hAnsi="Tahoma" w:cs="Tahoma"/>
                <w:b/>
                <w:sz w:val="20"/>
              </w:rPr>
              <w:t>Number of accredited contractors with Scheme projects</w:t>
            </w:r>
          </w:p>
        </w:tc>
        <w:tc>
          <w:tcPr>
            <w:tcW w:w="1665" w:type="dxa"/>
            <w:vAlign w:val="bottom"/>
          </w:tcPr>
          <w:p w:rsidR="00B74BB6" w:rsidRPr="00341CD4" w:rsidRDefault="00A60F58" w:rsidP="00A60F58">
            <w:pPr>
              <w:spacing w:before="20" w:after="20"/>
              <w:jc w:val="center"/>
              <w:rPr>
                <w:rFonts w:ascii="Tahoma" w:hAnsi="Tahoma" w:cs="Tahoma"/>
                <w:b/>
                <w:sz w:val="20"/>
              </w:rPr>
            </w:pPr>
            <w:r w:rsidRPr="00A60F58">
              <w:rPr>
                <w:rFonts w:ascii="Tahoma" w:hAnsi="Tahoma" w:cs="Tahoma"/>
                <w:b/>
                <w:sz w:val="20"/>
              </w:rPr>
              <w:t>Number of Scheme projects</w:t>
            </w:r>
          </w:p>
        </w:tc>
        <w:tc>
          <w:tcPr>
            <w:tcW w:w="1734" w:type="dxa"/>
            <w:vAlign w:val="bottom"/>
          </w:tcPr>
          <w:p w:rsidR="00B74BB6" w:rsidRPr="00341CD4" w:rsidRDefault="00A60F58" w:rsidP="00A60F58">
            <w:pPr>
              <w:spacing w:before="20" w:after="20"/>
              <w:jc w:val="center"/>
              <w:rPr>
                <w:rFonts w:ascii="Tahoma" w:hAnsi="Tahoma" w:cs="Tahoma"/>
                <w:b/>
                <w:sz w:val="20"/>
              </w:rPr>
            </w:pPr>
            <w:r w:rsidRPr="00A60F58">
              <w:rPr>
                <w:rFonts w:ascii="Tahoma" w:hAnsi="Tahoma" w:cs="Tahoma"/>
                <w:b/>
                <w:sz w:val="20"/>
              </w:rPr>
              <w:t>Number of accredited contractors with Non-Scheme projects</w:t>
            </w:r>
          </w:p>
        </w:tc>
        <w:tc>
          <w:tcPr>
            <w:tcW w:w="1665" w:type="dxa"/>
            <w:vAlign w:val="bottom"/>
          </w:tcPr>
          <w:p w:rsidR="00B74BB6" w:rsidRPr="00341CD4" w:rsidRDefault="00A60F58" w:rsidP="00A60F58">
            <w:pPr>
              <w:spacing w:before="20" w:after="20"/>
              <w:jc w:val="center"/>
              <w:rPr>
                <w:rFonts w:ascii="Tahoma" w:hAnsi="Tahoma" w:cs="Tahoma"/>
                <w:b/>
                <w:sz w:val="20"/>
              </w:rPr>
            </w:pPr>
            <w:r w:rsidRPr="00A60F58">
              <w:rPr>
                <w:rFonts w:ascii="Tahoma" w:hAnsi="Tahoma" w:cs="Tahoma"/>
                <w:b/>
                <w:sz w:val="20"/>
              </w:rPr>
              <w:t>Number of Non-Scheme projects</w:t>
            </w:r>
          </w:p>
        </w:tc>
      </w:tr>
      <w:tr w:rsidR="00B74BB6" w:rsidTr="00A60F58">
        <w:trPr>
          <w:jc w:val="center"/>
        </w:trPr>
        <w:tc>
          <w:tcPr>
            <w:tcW w:w="1630" w:type="dxa"/>
            <w:vAlign w:val="bottom"/>
          </w:tcPr>
          <w:p w:rsidR="00B74BB6" w:rsidRPr="00341CD4" w:rsidRDefault="00B74BB6" w:rsidP="00270DD5">
            <w:pPr>
              <w:spacing w:before="20" w:after="20"/>
              <w:jc w:val="center"/>
              <w:rPr>
                <w:rFonts w:ascii="Tahoma" w:hAnsi="Tahoma" w:cs="Tahoma"/>
                <w:sz w:val="20"/>
              </w:rPr>
            </w:pPr>
            <w:r w:rsidRPr="00341CD4">
              <w:rPr>
                <w:rFonts w:ascii="Tahoma" w:hAnsi="Tahoma" w:cs="Tahoma"/>
                <w:sz w:val="20"/>
              </w:rPr>
              <w:t>Jul to Dec 2007</w:t>
            </w:r>
          </w:p>
        </w:tc>
        <w:tc>
          <w:tcPr>
            <w:tcW w:w="1733" w:type="dxa"/>
            <w:vAlign w:val="bottom"/>
          </w:tcPr>
          <w:p w:rsidR="00B74BB6" w:rsidRPr="00341CD4" w:rsidRDefault="00B74BB6" w:rsidP="00270DD5">
            <w:pPr>
              <w:spacing w:before="20" w:after="20"/>
              <w:jc w:val="center"/>
              <w:rPr>
                <w:rFonts w:ascii="Tahoma" w:hAnsi="Tahoma" w:cs="Tahoma"/>
                <w:sz w:val="20"/>
              </w:rPr>
            </w:pPr>
            <w:r w:rsidRPr="00341CD4">
              <w:rPr>
                <w:rFonts w:ascii="Tahoma" w:hAnsi="Tahoma" w:cs="Tahoma"/>
                <w:sz w:val="20"/>
              </w:rPr>
              <w:t>25</w:t>
            </w:r>
          </w:p>
        </w:tc>
        <w:tc>
          <w:tcPr>
            <w:tcW w:w="1665" w:type="dxa"/>
            <w:vAlign w:val="bottom"/>
          </w:tcPr>
          <w:p w:rsidR="00B74BB6" w:rsidRPr="00341CD4" w:rsidRDefault="00B74BB6" w:rsidP="00270DD5">
            <w:pPr>
              <w:spacing w:before="20" w:after="20"/>
              <w:jc w:val="center"/>
              <w:rPr>
                <w:rFonts w:ascii="Tahoma" w:hAnsi="Tahoma" w:cs="Tahoma"/>
                <w:sz w:val="20"/>
              </w:rPr>
            </w:pPr>
            <w:r w:rsidRPr="00341CD4">
              <w:rPr>
                <w:rFonts w:ascii="Tahoma" w:hAnsi="Tahoma" w:cs="Tahoma"/>
                <w:sz w:val="20"/>
              </w:rPr>
              <w:t>42</w:t>
            </w:r>
          </w:p>
        </w:tc>
        <w:tc>
          <w:tcPr>
            <w:tcW w:w="1734" w:type="dxa"/>
            <w:vAlign w:val="bottom"/>
          </w:tcPr>
          <w:p w:rsidR="00B74BB6" w:rsidRPr="00341CD4" w:rsidRDefault="00B74BB6" w:rsidP="00270DD5">
            <w:pPr>
              <w:spacing w:before="20" w:after="20"/>
              <w:jc w:val="center"/>
              <w:rPr>
                <w:rFonts w:ascii="Tahoma" w:hAnsi="Tahoma" w:cs="Tahoma"/>
                <w:sz w:val="20"/>
              </w:rPr>
            </w:pPr>
            <w:r w:rsidRPr="00341CD4">
              <w:rPr>
                <w:rFonts w:ascii="Tahoma" w:hAnsi="Tahoma" w:cs="Tahoma"/>
                <w:sz w:val="20"/>
              </w:rPr>
              <w:t>58</w:t>
            </w:r>
          </w:p>
        </w:tc>
        <w:tc>
          <w:tcPr>
            <w:tcW w:w="1665" w:type="dxa"/>
            <w:vAlign w:val="bottom"/>
          </w:tcPr>
          <w:p w:rsidR="00B74BB6" w:rsidRPr="00341CD4" w:rsidRDefault="00B74BB6" w:rsidP="00270DD5">
            <w:pPr>
              <w:spacing w:before="20" w:after="20"/>
              <w:jc w:val="center"/>
              <w:rPr>
                <w:rFonts w:ascii="Tahoma" w:hAnsi="Tahoma" w:cs="Tahoma"/>
                <w:sz w:val="20"/>
              </w:rPr>
            </w:pPr>
            <w:r w:rsidRPr="00341CD4">
              <w:rPr>
                <w:rFonts w:ascii="Tahoma" w:hAnsi="Tahoma" w:cs="Tahoma"/>
                <w:sz w:val="20"/>
              </w:rPr>
              <w:t>1,019</w:t>
            </w:r>
          </w:p>
        </w:tc>
      </w:tr>
      <w:tr w:rsidR="00B74BB6" w:rsidTr="00A60F58">
        <w:trPr>
          <w:jc w:val="center"/>
        </w:trPr>
        <w:tc>
          <w:tcPr>
            <w:tcW w:w="1630" w:type="dxa"/>
            <w:vAlign w:val="bottom"/>
          </w:tcPr>
          <w:p w:rsidR="00B74BB6" w:rsidRPr="00341CD4" w:rsidRDefault="00B74BB6" w:rsidP="00270DD5">
            <w:pPr>
              <w:spacing w:before="20" w:after="20"/>
              <w:jc w:val="center"/>
              <w:rPr>
                <w:rFonts w:ascii="Tahoma" w:hAnsi="Tahoma" w:cs="Tahoma"/>
                <w:sz w:val="20"/>
              </w:rPr>
            </w:pPr>
            <w:r w:rsidRPr="00341CD4">
              <w:rPr>
                <w:rFonts w:ascii="Tahoma" w:hAnsi="Tahoma" w:cs="Tahoma"/>
                <w:sz w:val="20"/>
              </w:rPr>
              <w:t>Jan to Jun 2008</w:t>
            </w:r>
          </w:p>
        </w:tc>
        <w:tc>
          <w:tcPr>
            <w:tcW w:w="1733" w:type="dxa"/>
            <w:vAlign w:val="bottom"/>
          </w:tcPr>
          <w:p w:rsidR="00B74BB6" w:rsidRPr="00341CD4" w:rsidRDefault="00B74BB6" w:rsidP="00270DD5">
            <w:pPr>
              <w:spacing w:before="20" w:after="20"/>
              <w:jc w:val="center"/>
              <w:rPr>
                <w:rFonts w:ascii="Tahoma" w:hAnsi="Tahoma" w:cs="Tahoma"/>
                <w:sz w:val="20"/>
              </w:rPr>
            </w:pPr>
            <w:r w:rsidRPr="00341CD4">
              <w:rPr>
                <w:rFonts w:ascii="Tahoma" w:hAnsi="Tahoma" w:cs="Tahoma"/>
                <w:sz w:val="20"/>
              </w:rPr>
              <w:t>32</w:t>
            </w:r>
          </w:p>
        </w:tc>
        <w:tc>
          <w:tcPr>
            <w:tcW w:w="1665" w:type="dxa"/>
            <w:vAlign w:val="bottom"/>
          </w:tcPr>
          <w:p w:rsidR="00B74BB6" w:rsidRPr="00341CD4" w:rsidRDefault="00B74BB6" w:rsidP="00270DD5">
            <w:pPr>
              <w:spacing w:before="20" w:after="20"/>
              <w:jc w:val="center"/>
              <w:rPr>
                <w:rFonts w:ascii="Tahoma" w:hAnsi="Tahoma" w:cs="Tahoma"/>
                <w:sz w:val="20"/>
              </w:rPr>
            </w:pPr>
            <w:r w:rsidRPr="00341CD4">
              <w:rPr>
                <w:rFonts w:ascii="Tahoma" w:hAnsi="Tahoma" w:cs="Tahoma"/>
                <w:sz w:val="20"/>
              </w:rPr>
              <w:t>71</w:t>
            </w:r>
          </w:p>
        </w:tc>
        <w:tc>
          <w:tcPr>
            <w:tcW w:w="1734" w:type="dxa"/>
            <w:vAlign w:val="bottom"/>
          </w:tcPr>
          <w:p w:rsidR="00B74BB6" w:rsidRPr="00341CD4" w:rsidRDefault="00B74BB6" w:rsidP="00270DD5">
            <w:pPr>
              <w:spacing w:before="20" w:after="20"/>
              <w:jc w:val="center"/>
              <w:rPr>
                <w:rFonts w:ascii="Tahoma" w:hAnsi="Tahoma" w:cs="Tahoma"/>
                <w:sz w:val="20"/>
              </w:rPr>
            </w:pPr>
            <w:r w:rsidRPr="00341CD4">
              <w:rPr>
                <w:rFonts w:ascii="Tahoma" w:hAnsi="Tahoma" w:cs="Tahoma"/>
                <w:sz w:val="20"/>
              </w:rPr>
              <w:t>85</w:t>
            </w:r>
          </w:p>
        </w:tc>
        <w:tc>
          <w:tcPr>
            <w:tcW w:w="1665" w:type="dxa"/>
            <w:vAlign w:val="bottom"/>
          </w:tcPr>
          <w:p w:rsidR="00B74BB6" w:rsidRPr="00341CD4" w:rsidRDefault="00B74BB6" w:rsidP="00270DD5">
            <w:pPr>
              <w:spacing w:before="20" w:after="20"/>
              <w:jc w:val="center"/>
              <w:rPr>
                <w:rFonts w:ascii="Tahoma" w:hAnsi="Tahoma" w:cs="Tahoma"/>
                <w:sz w:val="20"/>
              </w:rPr>
            </w:pPr>
            <w:r w:rsidRPr="00341CD4">
              <w:rPr>
                <w:rFonts w:ascii="Tahoma" w:hAnsi="Tahoma" w:cs="Tahoma"/>
                <w:sz w:val="20"/>
              </w:rPr>
              <w:t>1,212</w:t>
            </w:r>
          </w:p>
        </w:tc>
      </w:tr>
      <w:tr w:rsidR="00B74BB6" w:rsidTr="00A60F58">
        <w:trPr>
          <w:jc w:val="center"/>
        </w:trPr>
        <w:tc>
          <w:tcPr>
            <w:tcW w:w="1630" w:type="dxa"/>
            <w:vAlign w:val="bottom"/>
          </w:tcPr>
          <w:p w:rsidR="00B74BB6" w:rsidRPr="00341CD4" w:rsidRDefault="00B74BB6" w:rsidP="00270DD5">
            <w:pPr>
              <w:spacing w:before="20" w:after="20"/>
              <w:jc w:val="center"/>
              <w:rPr>
                <w:rFonts w:ascii="Tahoma" w:hAnsi="Tahoma" w:cs="Tahoma"/>
                <w:sz w:val="20"/>
              </w:rPr>
            </w:pPr>
            <w:r w:rsidRPr="00341CD4">
              <w:rPr>
                <w:rFonts w:ascii="Tahoma" w:hAnsi="Tahoma" w:cs="Tahoma"/>
                <w:sz w:val="20"/>
              </w:rPr>
              <w:t>Jul to Dec 2008</w:t>
            </w:r>
          </w:p>
        </w:tc>
        <w:tc>
          <w:tcPr>
            <w:tcW w:w="1733" w:type="dxa"/>
            <w:vAlign w:val="bottom"/>
          </w:tcPr>
          <w:p w:rsidR="00B74BB6" w:rsidRPr="00341CD4" w:rsidRDefault="00B74BB6" w:rsidP="00270DD5">
            <w:pPr>
              <w:spacing w:before="20" w:after="20"/>
              <w:jc w:val="center"/>
              <w:rPr>
                <w:rFonts w:ascii="Tahoma" w:hAnsi="Tahoma" w:cs="Tahoma"/>
                <w:sz w:val="20"/>
              </w:rPr>
            </w:pPr>
            <w:r w:rsidRPr="00341CD4">
              <w:rPr>
                <w:rFonts w:ascii="Tahoma" w:hAnsi="Tahoma" w:cs="Tahoma"/>
                <w:sz w:val="20"/>
              </w:rPr>
              <w:t>44</w:t>
            </w:r>
          </w:p>
        </w:tc>
        <w:tc>
          <w:tcPr>
            <w:tcW w:w="1665" w:type="dxa"/>
            <w:vAlign w:val="bottom"/>
          </w:tcPr>
          <w:p w:rsidR="00B74BB6" w:rsidRPr="00341CD4" w:rsidRDefault="00B74BB6" w:rsidP="00270DD5">
            <w:pPr>
              <w:spacing w:before="20" w:after="20"/>
              <w:jc w:val="center"/>
              <w:rPr>
                <w:rFonts w:ascii="Tahoma" w:hAnsi="Tahoma" w:cs="Tahoma"/>
                <w:sz w:val="20"/>
              </w:rPr>
            </w:pPr>
            <w:r w:rsidRPr="00341CD4">
              <w:rPr>
                <w:rFonts w:ascii="Tahoma" w:hAnsi="Tahoma" w:cs="Tahoma"/>
                <w:sz w:val="20"/>
              </w:rPr>
              <w:t>103</w:t>
            </w:r>
          </w:p>
        </w:tc>
        <w:tc>
          <w:tcPr>
            <w:tcW w:w="1734" w:type="dxa"/>
            <w:vAlign w:val="bottom"/>
          </w:tcPr>
          <w:p w:rsidR="00B74BB6" w:rsidRPr="00341CD4" w:rsidRDefault="00B74BB6" w:rsidP="00270DD5">
            <w:pPr>
              <w:spacing w:before="20" w:after="20"/>
              <w:jc w:val="center"/>
              <w:rPr>
                <w:rFonts w:ascii="Tahoma" w:hAnsi="Tahoma" w:cs="Tahoma"/>
                <w:sz w:val="20"/>
              </w:rPr>
            </w:pPr>
            <w:r w:rsidRPr="00341CD4">
              <w:rPr>
                <w:rFonts w:ascii="Tahoma" w:hAnsi="Tahoma" w:cs="Tahoma"/>
                <w:sz w:val="20"/>
              </w:rPr>
              <w:t>107</w:t>
            </w:r>
          </w:p>
        </w:tc>
        <w:tc>
          <w:tcPr>
            <w:tcW w:w="1665" w:type="dxa"/>
            <w:vAlign w:val="bottom"/>
          </w:tcPr>
          <w:p w:rsidR="00B74BB6" w:rsidRPr="00341CD4" w:rsidRDefault="00B74BB6" w:rsidP="00270DD5">
            <w:pPr>
              <w:spacing w:before="20" w:after="20"/>
              <w:jc w:val="center"/>
              <w:rPr>
                <w:rFonts w:ascii="Tahoma" w:hAnsi="Tahoma" w:cs="Tahoma"/>
                <w:sz w:val="20"/>
              </w:rPr>
            </w:pPr>
            <w:r w:rsidRPr="00341CD4">
              <w:rPr>
                <w:rFonts w:ascii="Tahoma" w:hAnsi="Tahoma" w:cs="Tahoma"/>
                <w:sz w:val="20"/>
              </w:rPr>
              <w:t>1,416</w:t>
            </w:r>
          </w:p>
        </w:tc>
      </w:tr>
    </w:tbl>
    <w:p w:rsidR="00341CD4" w:rsidRPr="00341CD4" w:rsidRDefault="00341CD4" w:rsidP="00643817">
      <w:pPr>
        <w:rPr>
          <w:rFonts w:ascii="Tahoma" w:hAnsi="Tahoma" w:cs="Tahoma"/>
          <w:bCs/>
          <w:sz w:val="22"/>
          <w:szCs w:val="22"/>
        </w:rPr>
      </w:pPr>
    </w:p>
    <w:p w:rsidR="00341CD4" w:rsidRPr="00341CD4" w:rsidRDefault="00341CD4" w:rsidP="00D82E88">
      <w:pPr>
        <w:numPr>
          <w:ilvl w:val="0"/>
          <w:numId w:val="8"/>
        </w:numPr>
        <w:ind w:left="714" w:hanging="357"/>
        <w:rPr>
          <w:rFonts w:ascii="Tahoma" w:hAnsi="Tahoma" w:cs="Tahoma"/>
          <w:bCs/>
          <w:sz w:val="22"/>
          <w:szCs w:val="22"/>
        </w:rPr>
      </w:pPr>
      <w:r>
        <w:rPr>
          <w:rFonts w:ascii="Tahoma" w:hAnsi="Tahoma" w:cs="Tahoma"/>
          <w:sz w:val="22"/>
          <w:szCs w:val="22"/>
        </w:rPr>
        <w:t>Between the December 2007 and December 2008 reporting periods the number of Scheme projects increased over 145</w:t>
      </w:r>
      <w:r w:rsidR="00E14C9A">
        <w:rPr>
          <w:rFonts w:ascii="Tahoma" w:hAnsi="Tahoma" w:cs="Tahoma"/>
          <w:sz w:val="22"/>
          <w:szCs w:val="22"/>
        </w:rPr>
        <w:t> </w:t>
      </w:r>
      <w:r>
        <w:rPr>
          <w:rFonts w:ascii="Tahoma" w:hAnsi="Tahoma" w:cs="Tahoma"/>
          <w:sz w:val="22"/>
          <w:szCs w:val="22"/>
        </w:rPr>
        <w:t>per</w:t>
      </w:r>
      <w:r w:rsidR="00E14C9A">
        <w:rPr>
          <w:rFonts w:ascii="Tahoma" w:hAnsi="Tahoma" w:cs="Tahoma"/>
          <w:sz w:val="22"/>
          <w:szCs w:val="22"/>
        </w:rPr>
        <w:t> </w:t>
      </w:r>
      <w:r w:rsidR="00580F1A">
        <w:rPr>
          <w:rFonts w:ascii="Tahoma" w:hAnsi="Tahoma" w:cs="Tahoma"/>
          <w:sz w:val="22"/>
          <w:szCs w:val="22"/>
        </w:rPr>
        <w:t>c</w:t>
      </w:r>
      <w:r>
        <w:rPr>
          <w:rFonts w:ascii="Tahoma" w:hAnsi="Tahoma" w:cs="Tahoma"/>
          <w:sz w:val="22"/>
          <w:szCs w:val="22"/>
        </w:rPr>
        <w:t>ent, while the number of accredited contractors undertaking these projects increased by 76</w:t>
      </w:r>
      <w:r w:rsidR="00E14C9A">
        <w:rPr>
          <w:rFonts w:ascii="Tahoma" w:hAnsi="Tahoma" w:cs="Tahoma"/>
          <w:sz w:val="22"/>
          <w:szCs w:val="22"/>
        </w:rPr>
        <w:t> </w:t>
      </w:r>
      <w:r>
        <w:rPr>
          <w:rFonts w:ascii="Tahoma" w:hAnsi="Tahoma" w:cs="Tahoma"/>
          <w:sz w:val="22"/>
          <w:szCs w:val="22"/>
        </w:rPr>
        <w:t>per</w:t>
      </w:r>
      <w:r w:rsidR="00E14C9A">
        <w:rPr>
          <w:rFonts w:ascii="Tahoma" w:hAnsi="Tahoma" w:cs="Tahoma"/>
          <w:sz w:val="22"/>
          <w:szCs w:val="22"/>
        </w:rPr>
        <w:t> </w:t>
      </w:r>
      <w:r>
        <w:rPr>
          <w:rFonts w:ascii="Tahoma" w:hAnsi="Tahoma" w:cs="Tahoma"/>
          <w:sz w:val="22"/>
          <w:szCs w:val="22"/>
        </w:rPr>
        <w:t>cent.</w:t>
      </w:r>
    </w:p>
    <w:p w:rsidR="00341CD4" w:rsidRPr="00341CD4" w:rsidRDefault="00341CD4" w:rsidP="00D82E88">
      <w:pPr>
        <w:numPr>
          <w:ilvl w:val="0"/>
          <w:numId w:val="8"/>
        </w:numPr>
        <w:ind w:left="714" w:hanging="357"/>
        <w:rPr>
          <w:rFonts w:ascii="Tahoma" w:hAnsi="Tahoma" w:cs="Tahoma"/>
          <w:bCs/>
          <w:sz w:val="22"/>
          <w:szCs w:val="22"/>
        </w:rPr>
      </w:pPr>
      <w:r>
        <w:rPr>
          <w:rFonts w:ascii="Tahoma" w:hAnsi="Tahoma" w:cs="Tahoma"/>
          <w:sz w:val="22"/>
          <w:szCs w:val="22"/>
        </w:rPr>
        <w:t>Over the same time, the number of non-Scheme projects increased 39</w:t>
      </w:r>
      <w:r w:rsidR="00E14C9A">
        <w:rPr>
          <w:rFonts w:ascii="Tahoma" w:hAnsi="Tahoma" w:cs="Tahoma"/>
          <w:sz w:val="22"/>
          <w:szCs w:val="22"/>
        </w:rPr>
        <w:t> </w:t>
      </w:r>
      <w:r>
        <w:rPr>
          <w:rFonts w:ascii="Tahoma" w:hAnsi="Tahoma" w:cs="Tahoma"/>
          <w:sz w:val="22"/>
          <w:szCs w:val="22"/>
        </w:rPr>
        <w:t>per</w:t>
      </w:r>
      <w:r w:rsidR="00E14C9A">
        <w:rPr>
          <w:rFonts w:ascii="Tahoma" w:hAnsi="Tahoma" w:cs="Tahoma"/>
          <w:sz w:val="22"/>
          <w:szCs w:val="22"/>
        </w:rPr>
        <w:t> </w:t>
      </w:r>
      <w:r>
        <w:rPr>
          <w:rFonts w:ascii="Tahoma" w:hAnsi="Tahoma" w:cs="Tahoma"/>
          <w:sz w:val="22"/>
          <w:szCs w:val="22"/>
        </w:rPr>
        <w:t>cent, while the number of accredited contractors undertaking these projects increased 84</w:t>
      </w:r>
      <w:r w:rsidR="00E14C9A">
        <w:rPr>
          <w:rFonts w:ascii="Tahoma" w:hAnsi="Tahoma" w:cs="Tahoma"/>
          <w:sz w:val="22"/>
          <w:szCs w:val="22"/>
        </w:rPr>
        <w:t> </w:t>
      </w:r>
      <w:r>
        <w:rPr>
          <w:rFonts w:ascii="Tahoma" w:hAnsi="Tahoma" w:cs="Tahoma"/>
          <w:sz w:val="22"/>
          <w:szCs w:val="22"/>
        </w:rPr>
        <w:t>per</w:t>
      </w:r>
      <w:r w:rsidR="00E14C9A">
        <w:rPr>
          <w:rFonts w:ascii="Tahoma" w:hAnsi="Tahoma" w:cs="Tahoma"/>
          <w:sz w:val="22"/>
          <w:szCs w:val="22"/>
        </w:rPr>
        <w:t> </w:t>
      </w:r>
      <w:r>
        <w:rPr>
          <w:rFonts w:ascii="Tahoma" w:hAnsi="Tahoma" w:cs="Tahoma"/>
          <w:sz w:val="22"/>
          <w:szCs w:val="22"/>
        </w:rPr>
        <w:t>cent.</w:t>
      </w:r>
    </w:p>
    <w:p w:rsidR="00311AB6" w:rsidRDefault="00311AB6" w:rsidP="00643817">
      <w:pPr>
        <w:outlineLvl w:val="1"/>
        <w:rPr>
          <w:rFonts w:ascii="Tahoma" w:hAnsi="Tahoma" w:cs="Tahoma"/>
          <w:sz w:val="22"/>
          <w:szCs w:val="22"/>
        </w:rPr>
      </w:pPr>
    </w:p>
    <w:p w:rsidR="00643817" w:rsidRPr="00C3356F" w:rsidRDefault="00C3356F" w:rsidP="00571187">
      <w:pPr>
        <w:pStyle w:val="Heading2"/>
      </w:pPr>
      <w:bookmarkStart w:id="21" w:name="_Toc237832460"/>
      <w:r w:rsidRPr="00C3356F">
        <w:t>Number employed</w:t>
      </w:r>
      <w:bookmarkEnd w:id="21"/>
    </w:p>
    <w:p w:rsidR="006B4A68" w:rsidRDefault="006B4A68" w:rsidP="00571187">
      <w:pPr>
        <w:spacing w:after="120"/>
        <w:rPr>
          <w:rFonts w:ascii="Tahoma" w:hAnsi="Tahoma" w:cs="Tahoma"/>
          <w:sz w:val="22"/>
          <w:szCs w:val="22"/>
        </w:rPr>
      </w:pPr>
    </w:p>
    <w:p w:rsidR="00C81EF4" w:rsidRPr="00571187" w:rsidRDefault="00270DD5" w:rsidP="00571187">
      <w:pPr>
        <w:spacing w:after="120"/>
        <w:rPr>
          <w:rFonts w:ascii="Tahoma" w:hAnsi="Tahoma" w:cs="Tahoma"/>
          <w:sz w:val="22"/>
          <w:szCs w:val="22"/>
        </w:rPr>
      </w:pPr>
      <w:r w:rsidRPr="00571187">
        <w:rPr>
          <w:rFonts w:ascii="Tahoma" w:hAnsi="Tahoma" w:cs="Tahoma"/>
          <w:sz w:val="22"/>
          <w:szCs w:val="22"/>
        </w:rPr>
        <w:t>Accredited contractors report the number of head contractor employees and sub-contractor employees for both Scheme and non-Scheme projects.</w:t>
      </w:r>
    </w:p>
    <w:tbl>
      <w:tblPr>
        <w:tblStyle w:val="TableGrid"/>
        <w:tblW w:w="8704" w:type="dxa"/>
        <w:jc w:val="center"/>
        <w:tblCellMar>
          <w:left w:w="57" w:type="dxa"/>
          <w:right w:w="57" w:type="dxa"/>
        </w:tblCellMar>
        <w:tblLook w:val="01E0" w:firstRow="1" w:lastRow="1" w:firstColumn="1" w:lastColumn="1" w:noHBand="0" w:noVBand="0"/>
      </w:tblPr>
      <w:tblGrid>
        <w:gridCol w:w="1626"/>
        <w:gridCol w:w="1833"/>
        <w:gridCol w:w="1701"/>
        <w:gridCol w:w="1843"/>
        <w:gridCol w:w="1701"/>
      </w:tblGrid>
      <w:tr w:rsidR="00456BB0" w:rsidRPr="00571187" w:rsidTr="00A60F58">
        <w:trPr>
          <w:jc w:val="center"/>
        </w:trPr>
        <w:tc>
          <w:tcPr>
            <w:tcW w:w="1626" w:type="dxa"/>
            <w:vAlign w:val="bottom"/>
          </w:tcPr>
          <w:p w:rsidR="00456BB0" w:rsidRPr="009544DF" w:rsidRDefault="00456BB0" w:rsidP="00571187">
            <w:pPr>
              <w:spacing w:before="20" w:after="20"/>
              <w:jc w:val="center"/>
              <w:rPr>
                <w:rFonts w:ascii="Tahoma" w:hAnsi="Tahoma" w:cs="Tahoma"/>
                <w:b/>
                <w:sz w:val="20"/>
              </w:rPr>
            </w:pPr>
            <w:r w:rsidRPr="009544DF">
              <w:rPr>
                <w:rFonts w:ascii="Tahoma" w:hAnsi="Tahoma" w:cs="Tahoma"/>
                <w:b/>
                <w:sz w:val="20"/>
              </w:rPr>
              <w:t>Period</w:t>
            </w:r>
          </w:p>
        </w:tc>
        <w:tc>
          <w:tcPr>
            <w:tcW w:w="1833" w:type="dxa"/>
            <w:vAlign w:val="bottom"/>
          </w:tcPr>
          <w:p w:rsidR="00456BB0" w:rsidRPr="009544DF" w:rsidRDefault="00A60F58" w:rsidP="00A60F58">
            <w:pPr>
              <w:spacing w:before="20" w:after="20"/>
              <w:jc w:val="center"/>
              <w:rPr>
                <w:rFonts w:ascii="Tahoma" w:hAnsi="Tahoma" w:cs="Tahoma"/>
                <w:b/>
                <w:sz w:val="20"/>
              </w:rPr>
            </w:pPr>
            <w:r w:rsidRPr="00A60F58">
              <w:rPr>
                <w:rFonts w:ascii="Tahoma" w:hAnsi="Tahoma" w:cs="Tahoma"/>
                <w:b/>
                <w:sz w:val="20"/>
              </w:rPr>
              <w:t>Number of Head contractor employees on Scheme projects</w:t>
            </w:r>
          </w:p>
        </w:tc>
        <w:tc>
          <w:tcPr>
            <w:tcW w:w="1701" w:type="dxa"/>
            <w:vAlign w:val="bottom"/>
          </w:tcPr>
          <w:p w:rsidR="00456BB0" w:rsidRPr="009544DF" w:rsidRDefault="00A60F58" w:rsidP="00A60F58">
            <w:pPr>
              <w:spacing w:before="20" w:after="20"/>
              <w:jc w:val="center"/>
              <w:rPr>
                <w:rFonts w:ascii="Tahoma" w:hAnsi="Tahoma" w:cs="Tahoma"/>
                <w:b/>
                <w:sz w:val="20"/>
              </w:rPr>
            </w:pPr>
            <w:r w:rsidRPr="00A60F58">
              <w:rPr>
                <w:rFonts w:ascii="Tahoma" w:hAnsi="Tahoma" w:cs="Tahoma"/>
                <w:b/>
                <w:sz w:val="20"/>
              </w:rPr>
              <w:t>Number of Sub-contractors on Scheme projects</w:t>
            </w:r>
          </w:p>
        </w:tc>
        <w:tc>
          <w:tcPr>
            <w:tcW w:w="1843" w:type="dxa"/>
            <w:vAlign w:val="bottom"/>
          </w:tcPr>
          <w:p w:rsidR="00456BB0" w:rsidRPr="009544DF" w:rsidRDefault="00A60F58" w:rsidP="00A60F58">
            <w:pPr>
              <w:spacing w:before="20" w:after="20"/>
              <w:jc w:val="center"/>
              <w:rPr>
                <w:rFonts w:ascii="Tahoma" w:hAnsi="Tahoma" w:cs="Tahoma"/>
                <w:b/>
                <w:sz w:val="20"/>
              </w:rPr>
            </w:pPr>
            <w:r w:rsidRPr="00A60F58">
              <w:rPr>
                <w:rFonts w:ascii="Tahoma" w:hAnsi="Tahoma" w:cs="Tahoma"/>
                <w:b/>
                <w:sz w:val="20"/>
              </w:rPr>
              <w:t>Number of Head contractor employees on Non-Scheme projects</w:t>
            </w:r>
          </w:p>
        </w:tc>
        <w:tc>
          <w:tcPr>
            <w:tcW w:w="1701" w:type="dxa"/>
            <w:vAlign w:val="bottom"/>
          </w:tcPr>
          <w:p w:rsidR="00456BB0" w:rsidRPr="009544DF" w:rsidRDefault="00A60F58" w:rsidP="00A60F58">
            <w:pPr>
              <w:spacing w:before="20" w:after="20"/>
              <w:jc w:val="center"/>
              <w:rPr>
                <w:rFonts w:ascii="Tahoma" w:hAnsi="Tahoma" w:cs="Tahoma"/>
                <w:b/>
                <w:sz w:val="20"/>
              </w:rPr>
            </w:pPr>
            <w:r w:rsidRPr="00A60F58">
              <w:rPr>
                <w:rFonts w:ascii="Tahoma" w:hAnsi="Tahoma" w:cs="Tahoma"/>
                <w:b/>
                <w:sz w:val="20"/>
              </w:rPr>
              <w:t>Number of Sub-contractors on Non-Scheme projects</w:t>
            </w:r>
          </w:p>
        </w:tc>
      </w:tr>
      <w:tr w:rsidR="00456BB0" w:rsidRPr="00571187" w:rsidTr="006B4A68">
        <w:trPr>
          <w:jc w:val="center"/>
        </w:trPr>
        <w:tc>
          <w:tcPr>
            <w:tcW w:w="1626" w:type="dxa"/>
            <w:vAlign w:val="bottom"/>
          </w:tcPr>
          <w:p w:rsidR="00456BB0" w:rsidRPr="00571187" w:rsidRDefault="00456BB0" w:rsidP="00571187">
            <w:pPr>
              <w:spacing w:before="20" w:after="20"/>
              <w:jc w:val="center"/>
              <w:rPr>
                <w:rFonts w:ascii="Tahoma" w:hAnsi="Tahoma" w:cs="Tahoma"/>
                <w:sz w:val="20"/>
              </w:rPr>
            </w:pPr>
            <w:r w:rsidRPr="00571187">
              <w:rPr>
                <w:rFonts w:ascii="Tahoma" w:hAnsi="Tahoma" w:cs="Tahoma"/>
                <w:sz w:val="20"/>
              </w:rPr>
              <w:t>Jul to Dec 2007</w:t>
            </w:r>
          </w:p>
        </w:tc>
        <w:tc>
          <w:tcPr>
            <w:tcW w:w="1833" w:type="dxa"/>
            <w:vAlign w:val="bottom"/>
          </w:tcPr>
          <w:p w:rsidR="00456BB0" w:rsidRPr="00571187" w:rsidRDefault="00456BB0" w:rsidP="00571187">
            <w:pPr>
              <w:spacing w:before="20" w:after="20"/>
              <w:jc w:val="center"/>
              <w:rPr>
                <w:rFonts w:ascii="Tahoma" w:hAnsi="Tahoma" w:cs="Tahoma"/>
                <w:sz w:val="20"/>
              </w:rPr>
            </w:pPr>
            <w:r w:rsidRPr="00571187">
              <w:rPr>
                <w:rFonts w:ascii="Tahoma" w:hAnsi="Tahoma" w:cs="Tahoma"/>
                <w:sz w:val="20"/>
              </w:rPr>
              <w:t>1,562</w:t>
            </w:r>
          </w:p>
        </w:tc>
        <w:tc>
          <w:tcPr>
            <w:tcW w:w="1701" w:type="dxa"/>
            <w:vAlign w:val="bottom"/>
          </w:tcPr>
          <w:p w:rsidR="00456BB0" w:rsidRPr="00571187" w:rsidRDefault="00456BB0" w:rsidP="00571187">
            <w:pPr>
              <w:spacing w:before="20" w:after="20"/>
              <w:jc w:val="center"/>
              <w:rPr>
                <w:rFonts w:ascii="Tahoma" w:hAnsi="Tahoma" w:cs="Tahoma"/>
                <w:sz w:val="20"/>
              </w:rPr>
            </w:pPr>
            <w:r w:rsidRPr="00571187">
              <w:rPr>
                <w:rFonts w:ascii="Tahoma" w:hAnsi="Tahoma" w:cs="Tahoma"/>
                <w:sz w:val="20"/>
              </w:rPr>
              <w:t>20,492</w:t>
            </w:r>
          </w:p>
        </w:tc>
        <w:tc>
          <w:tcPr>
            <w:tcW w:w="1843" w:type="dxa"/>
            <w:vAlign w:val="bottom"/>
          </w:tcPr>
          <w:p w:rsidR="00456BB0" w:rsidRPr="00571187" w:rsidRDefault="00456BB0" w:rsidP="00571187">
            <w:pPr>
              <w:spacing w:before="20" w:after="20"/>
              <w:jc w:val="center"/>
              <w:rPr>
                <w:rFonts w:ascii="Tahoma" w:hAnsi="Tahoma" w:cs="Tahoma"/>
                <w:sz w:val="20"/>
              </w:rPr>
            </w:pPr>
            <w:r w:rsidRPr="00571187">
              <w:rPr>
                <w:rFonts w:ascii="Tahoma" w:hAnsi="Tahoma" w:cs="Tahoma"/>
                <w:sz w:val="20"/>
              </w:rPr>
              <w:t>37,736</w:t>
            </w:r>
          </w:p>
        </w:tc>
        <w:tc>
          <w:tcPr>
            <w:tcW w:w="1701" w:type="dxa"/>
            <w:vAlign w:val="bottom"/>
          </w:tcPr>
          <w:p w:rsidR="00456BB0" w:rsidRPr="00571187" w:rsidRDefault="00663755" w:rsidP="00571187">
            <w:pPr>
              <w:spacing w:before="20" w:after="20"/>
              <w:jc w:val="center"/>
              <w:rPr>
                <w:rFonts w:ascii="Tahoma" w:hAnsi="Tahoma" w:cs="Tahoma"/>
                <w:sz w:val="20"/>
              </w:rPr>
            </w:pPr>
            <w:r w:rsidRPr="00571187">
              <w:rPr>
                <w:rFonts w:ascii="Tahoma" w:hAnsi="Tahoma" w:cs="Tahoma"/>
                <w:sz w:val="20"/>
              </w:rPr>
              <w:t>200,587</w:t>
            </w:r>
          </w:p>
        </w:tc>
      </w:tr>
      <w:tr w:rsidR="00456BB0" w:rsidRPr="00571187" w:rsidTr="006B4A68">
        <w:trPr>
          <w:jc w:val="center"/>
        </w:trPr>
        <w:tc>
          <w:tcPr>
            <w:tcW w:w="1626" w:type="dxa"/>
            <w:vAlign w:val="bottom"/>
          </w:tcPr>
          <w:p w:rsidR="00456BB0" w:rsidRPr="00571187" w:rsidRDefault="00456BB0" w:rsidP="00571187">
            <w:pPr>
              <w:spacing w:before="20" w:after="20"/>
              <w:jc w:val="center"/>
              <w:rPr>
                <w:rFonts w:ascii="Tahoma" w:hAnsi="Tahoma" w:cs="Tahoma"/>
                <w:sz w:val="20"/>
              </w:rPr>
            </w:pPr>
            <w:r w:rsidRPr="00571187">
              <w:rPr>
                <w:rFonts w:ascii="Tahoma" w:hAnsi="Tahoma" w:cs="Tahoma"/>
                <w:sz w:val="20"/>
              </w:rPr>
              <w:t>Jan to Jun 2008</w:t>
            </w:r>
          </w:p>
        </w:tc>
        <w:tc>
          <w:tcPr>
            <w:tcW w:w="1833" w:type="dxa"/>
            <w:vAlign w:val="bottom"/>
          </w:tcPr>
          <w:p w:rsidR="00456BB0" w:rsidRPr="00571187" w:rsidRDefault="000337FD" w:rsidP="00571187">
            <w:pPr>
              <w:spacing w:before="20" w:after="20"/>
              <w:jc w:val="center"/>
              <w:rPr>
                <w:rFonts w:ascii="Tahoma" w:hAnsi="Tahoma" w:cs="Tahoma"/>
                <w:sz w:val="20"/>
              </w:rPr>
            </w:pPr>
            <w:r w:rsidRPr="00571187">
              <w:rPr>
                <w:rFonts w:ascii="Tahoma" w:hAnsi="Tahoma" w:cs="Tahoma"/>
                <w:sz w:val="20"/>
              </w:rPr>
              <w:t>769</w:t>
            </w:r>
          </w:p>
        </w:tc>
        <w:tc>
          <w:tcPr>
            <w:tcW w:w="1701" w:type="dxa"/>
            <w:vAlign w:val="bottom"/>
          </w:tcPr>
          <w:p w:rsidR="00456BB0" w:rsidRPr="00571187" w:rsidRDefault="000337FD" w:rsidP="00571187">
            <w:pPr>
              <w:spacing w:before="20" w:after="20"/>
              <w:jc w:val="center"/>
              <w:rPr>
                <w:rFonts w:ascii="Tahoma" w:hAnsi="Tahoma" w:cs="Tahoma"/>
                <w:sz w:val="20"/>
              </w:rPr>
            </w:pPr>
            <w:r w:rsidRPr="00571187">
              <w:rPr>
                <w:rFonts w:ascii="Tahoma" w:hAnsi="Tahoma" w:cs="Tahoma"/>
                <w:sz w:val="20"/>
              </w:rPr>
              <w:t>13,652</w:t>
            </w:r>
          </w:p>
        </w:tc>
        <w:tc>
          <w:tcPr>
            <w:tcW w:w="1843" w:type="dxa"/>
            <w:vAlign w:val="bottom"/>
          </w:tcPr>
          <w:p w:rsidR="00456BB0" w:rsidRPr="00571187" w:rsidRDefault="000337FD" w:rsidP="00571187">
            <w:pPr>
              <w:spacing w:before="20" w:after="20"/>
              <w:jc w:val="center"/>
              <w:rPr>
                <w:rFonts w:ascii="Tahoma" w:hAnsi="Tahoma" w:cs="Tahoma"/>
                <w:sz w:val="20"/>
              </w:rPr>
            </w:pPr>
            <w:r w:rsidRPr="00571187">
              <w:rPr>
                <w:rFonts w:ascii="Tahoma" w:hAnsi="Tahoma" w:cs="Tahoma"/>
                <w:sz w:val="20"/>
              </w:rPr>
              <w:t>54,921</w:t>
            </w:r>
          </w:p>
        </w:tc>
        <w:tc>
          <w:tcPr>
            <w:tcW w:w="1701" w:type="dxa"/>
            <w:vAlign w:val="bottom"/>
          </w:tcPr>
          <w:p w:rsidR="00456BB0" w:rsidRPr="00571187" w:rsidRDefault="000337FD" w:rsidP="00571187">
            <w:pPr>
              <w:spacing w:before="20" w:after="20"/>
              <w:jc w:val="center"/>
              <w:rPr>
                <w:rFonts w:ascii="Tahoma" w:hAnsi="Tahoma" w:cs="Tahoma"/>
                <w:sz w:val="20"/>
              </w:rPr>
            </w:pPr>
            <w:r w:rsidRPr="00571187">
              <w:rPr>
                <w:rFonts w:ascii="Tahoma" w:hAnsi="Tahoma" w:cs="Tahoma"/>
                <w:sz w:val="20"/>
              </w:rPr>
              <w:t>228,764</w:t>
            </w:r>
          </w:p>
        </w:tc>
      </w:tr>
      <w:tr w:rsidR="00456BB0" w:rsidRPr="00571187" w:rsidTr="006B4A68">
        <w:trPr>
          <w:jc w:val="center"/>
        </w:trPr>
        <w:tc>
          <w:tcPr>
            <w:tcW w:w="1626" w:type="dxa"/>
            <w:vAlign w:val="bottom"/>
          </w:tcPr>
          <w:p w:rsidR="00456BB0" w:rsidRPr="00571187" w:rsidRDefault="00456BB0" w:rsidP="00571187">
            <w:pPr>
              <w:spacing w:before="20" w:after="20"/>
              <w:jc w:val="center"/>
              <w:rPr>
                <w:rFonts w:ascii="Tahoma" w:hAnsi="Tahoma" w:cs="Tahoma"/>
                <w:sz w:val="20"/>
              </w:rPr>
            </w:pPr>
            <w:r w:rsidRPr="00571187">
              <w:rPr>
                <w:rFonts w:ascii="Tahoma" w:hAnsi="Tahoma" w:cs="Tahoma"/>
                <w:sz w:val="20"/>
              </w:rPr>
              <w:t>Jul to Dec 2008</w:t>
            </w:r>
          </w:p>
        </w:tc>
        <w:tc>
          <w:tcPr>
            <w:tcW w:w="1833" w:type="dxa"/>
            <w:vAlign w:val="bottom"/>
          </w:tcPr>
          <w:p w:rsidR="00456BB0" w:rsidRPr="00571187" w:rsidRDefault="000337FD" w:rsidP="00571187">
            <w:pPr>
              <w:spacing w:before="20" w:after="20"/>
              <w:jc w:val="center"/>
              <w:rPr>
                <w:rFonts w:ascii="Tahoma" w:hAnsi="Tahoma" w:cs="Tahoma"/>
                <w:sz w:val="20"/>
              </w:rPr>
            </w:pPr>
            <w:r w:rsidRPr="00571187">
              <w:rPr>
                <w:rFonts w:ascii="Tahoma" w:hAnsi="Tahoma" w:cs="Tahoma"/>
                <w:sz w:val="20"/>
              </w:rPr>
              <w:t>6,053</w:t>
            </w:r>
          </w:p>
        </w:tc>
        <w:tc>
          <w:tcPr>
            <w:tcW w:w="1701" w:type="dxa"/>
            <w:vAlign w:val="bottom"/>
          </w:tcPr>
          <w:p w:rsidR="00456BB0" w:rsidRPr="00571187" w:rsidRDefault="000337FD" w:rsidP="00571187">
            <w:pPr>
              <w:spacing w:before="20" w:after="20"/>
              <w:jc w:val="center"/>
              <w:rPr>
                <w:rFonts w:ascii="Tahoma" w:hAnsi="Tahoma" w:cs="Tahoma"/>
                <w:sz w:val="20"/>
              </w:rPr>
            </w:pPr>
            <w:r w:rsidRPr="00571187">
              <w:rPr>
                <w:rFonts w:ascii="Tahoma" w:hAnsi="Tahoma" w:cs="Tahoma"/>
                <w:sz w:val="20"/>
              </w:rPr>
              <w:t>20,338</w:t>
            </w:r>
          </w:p>
        </w:tc>
        <w:tc>
          <w:tcPr>
            <w:tcW w:w="1843" w:type="dxa"/>
            <w:vAlign w:val="bottom"/>
          </w:tcPr>
          <w:p w:rsidR="00456BB0" w:rsidRPr="00571187" w:rsidRDefault="000337FD" w:rsidP="00571187">
            <w:pPr>
              <w:spacing w:before="20" w:after="20"/>
              <w:jc w:val="center"/>
              <w:rPr>
                <w:rFonts w:ascii="Tahoma" w:hAnsi="Tahoma" w:cs="Tahoma"/>
                <w:sz w:val="20"/>
              </w:rPr>
            </w:pPr>
            <w:r w:rsidRPr="00571187">
              <w:rPr>
                <w:rFonts w:ascii="Tahoma" w:hAnsi="Tahoma" w:cs="Tahoma"/>
                <w:sz w:val="20"/>
              </w:rPr>
              <w:t>77,194</w:t>
            </w:r>
          </w:p>
        </w:tc>
        <w:tc>
          <w:tcPr>
            <w:tcW w:w="1701" w:type="dxa"/>
            <w:vAlign w:val="bottom"/>
          </w:tcPr>
          <w:p w:rsidR="00456BB0" w:rsidRPr="00571187" w:rsidRDefault="000337FD" w:rsidP="00571187">
            <w:pPr>
              <w:spacing w:before="20" w:after="20"/>
              <w:jc w:val="center"/>
              <w:rPr>
                <w:rFonts w:ascii="Tahoma" w:hAnsi="Tahoma" w:cs="Tahoma"/>
                <w:sz w:val="20"/>
              </w:rPr>
            </w:pPr>
            <w:r w:rsidRPr="00571187">
              <w:rPr>
                <w:rFonts w:ascii="Tahoma" w:hAnsi="Tahoma" w:cs="Tahoma"/>
                <w:sz w:val="20"/>
              </w:rPr>
              <w:t>230,752</w:t>
            </w:r>
          </w:p>
        </w:tc>
      </w:tr>
    </w:tbl>
    <w:p w:rsidR="00456BB0" w:rsidRPr="00571187" w:rsidRDefault="00456BB0" w:rsidP="00571187">
      <w:pPr>
        <w:spacing w:after="120"/>
        <w:rPr>
          <w:rFonts w:ascii="Tahoma" w:hAnsi="Tahoma" w:cs="Tahoma"/>
          <w:sz w:val="22"/>
          <w:szCs w:val="22"/>
        </w:rPr>
      </w:pPr>
    </w:p>
    <w:p w:rsidR="000E5671" w:rsidRPr="00571187" w:rsidRDefault="00456BB0" w:rsidP="00A159BB">
      <w:pPr>
        <w:numPr>
          <w:ilvl w:val="0"/>
          <w:numId w:val="17"/>
        </w:numPr>
        <w:spacing w:after="120"/>
        <w:rPr>
          <w:rFonts w:ascii="Tahoma" w:hAnsi="Tahoma" w:cs="Tahoma"/>
          <w:sz w:val="22"/>
          <w:szCs w:val="22"/>
        </w:rPr>
      </w:pPr>
      <w:r w:rsidRPr="00571187">
        <w:rPr>
          <w:rFonts w:ascii="Tahoma" w:hAnsi="Tahoma" w:cs="Tahoma"/>
          <w:sz w:val="22"/>
          <w:szCs w:val="22"/>
        </w:rPr>
        <w:t xml:space="preserve">The total number of Scheme project employees increased nearly </w:t>
      </w:r>
      <w:r w:rsidR="000337FD" w:rsidRPr="00571187">
        <w:rPr>
          <w:rFonts w:ascii="Tahoma" w:hAnsi="Tahoma" w:cs="Tahoma"/>
          <w:sz w:val="22"/>
          <w:szCs w:val="22"/>
        </w:rPr>
        <w:t>20</w:t>
      </w:r>
      <w:r w:rsidRPr="00571187">
        <w:rPr>
          <w:rFonts w:ascii="Tahoma" w:hAnsi="Tahoma" w:cs="Tahoma"/>
          <w:sz w:val="22"/>
          <w:szCs w:val="22"/>
        </w:rPr>
        <w:t xml:space="preserve"> per cent between the December 2007 and December 2008 reporting periods (from 22,054 to </w:t>
      </w:r>
      <w:r w:rsidR="000337FD" w:rsidRPr="00571187">
        <w:rPr>
          <w:rFonts w:ascii="Tahoma" w:hAnsi="Tahoma" w:cs="Tahoma"/>
          <w:sz w:val="22"/>
          <w:szCs w:val="22"/>
        </w:rPr>
        <w:t>26,391</w:t>
      </w:r>
      <w:r w:rsidRPr="00571187">
        <w:rPr>
          <w:rFonts w:ascii="Tahoma" w:hAnsi="Tahoma" w:cs="Tahoma"/>
          <w:sz w:val="22"/>
          <w:szCs w:val="22"/>
        </w:rPr>
        <w:t xml:space="preserve"> employees).</w:t>
      </w:r>
    </w:p>
    <w:p w:rsidR="00456BB0" w:rsidRPr="00571187" w:rsidRDefault="00EB537B" w:rsidP="00A159BB">
      <w:pPr>
        <w:numPr>
          <w:ilvl w:val="0"/>
          <w:numId w:val="17"/>
        </w:numPr>
        <w:spacing w:after="120"/>
        <w:rPr>
          <w:rFonts w:ascii="Tahoma" w:hAnsi="Tahoma" w:cs="Tahoma"/>
          <w:sz w:val="22"/>
          <w:szCs w:val="22"/>
        </w:rPr>
      </w:pPr>
      <w:r w:rsidRPr="00571187">
        <w:rPr>
          <w:rFonts w:ascii="Tahoma" w:hAnsi="Tahoma" w:cs="Tahoma"/>
          <w:sz w:val="22"/>
          <w:szCs w:val="22"/>
        </w:rPr>
        <w:t>Non-</w:t>
      </w:r>
      <w:r w:rsidR="00663755" w:rsidRPr="00571187">
        <w:rPr>
          <w:rFonts w:ascii="Tahoma" w:hAnsi="Tahoma" w:cs="Tahoma"/>
          <w:sz w:val="22"/>
          <w:szCs w:val="22"/>
        </w:rPr>
        <w:t>Scheme</w:t>
      </w:r>
      <w:r w:rsidR="00C81EF4">
        <w:rPr>
          <w:rFonts w:ascii="Tahoma" w:hAnsi="Tahoma" w:cs="Tahoma"/>
          <w:sz w:val="22"/>
          <w:szCs w:val="22"/>
        </w:rPr>
        <w:t xml:space="preserve"> project</w:t>
      </w:r>
      <w:r w:rsidR="00663755" w:rsidRPr="00571187">
        <w:rPr>
          <w:rFonts w:ascii="Tahoma" w:hAnsi="Tahoma" w:cs="Tahoma"/>
          <w:sz w:val="22"/>
          <w:szCs w:val="22"/>
        </w:rPr>
        <w:t xml:space="preserve"> employees increased from 238,323 </w:t>
      </w:r>
      <w:r w:rsidRPr="00571187">
        <w:rPr>
          <w:rFonts w:ascii="Tahoma" w:hAnsi="Tahoma" w:cs="Tahoma"/>
          <w:sz w:val="22"/>
          <w:szCs w:val="22"/>
        </w:rPr>
        <w:t xml:space="preserve">to </w:t>
      </w:r>
      <w:r w:rsidR="000337FD" w:rsidRPr="00571187">
        <w:rPr>
          <w:rFonts w:ascii="Tahoma" w:hAnsi="Tahoma" w:cs="Tahoma"/>
          <w:sz w:val="22"/>
          <w:szCs w:val="22"/>
        </w:rPr>
        <w:t>307,946</w:t>
      </w:r>
      <w:r w:rsidRPr="00571187">
        <w:rPr>
          <w:rFonts w:ascii="Tahoma" w:hAnsi="Tahoma" w:cs="Tahoma"/>
          <w:sz w:val="22"/>
          <w:szCs w:val="22"/>
        </w:rPr>
        <w:t xml:space="preserve"> over the same period, an increase of </w:t>
      </w:r>
      <w:r w:rsidR="000337FD" w:rsidRPr="00571187">
        <w:rPr>
          <w:rFonts w:ascii="Tahoma" w:hAnsi="Tahoma" w:cs="Tahoma"/>
          <w:sz w:val="22"/>
          <w:szCs w:val="22"/>
        </w:rPr>
        <w:t>29</w:t>
      </w:r>
      <w:r w:rsidR="00951098" w:rsidRPr="00571187">
        <w:rPr>
          <w:rFonts w:ascii="Tahoma" w:hAnsi="Tahoma" w:cs="Tahoma"/>
          <w:sz w:val="22"/>
          <w:szCs w:val="22"/>
        </w:rPr>
        <w:t> </w:t>
      </w:r>
      <w:r w:rsidRPr="00571187">
        <w:rPr>
          <w:rFonts w:ascii="Tahoma" w:hAnsi="Tahoma" w:cs="Tahoma"/>
          <w:sz w:val="22"/>
          <w:szCs w:val="22"/>
        </w:rPr>
        <w:t>per</w:t>
      </w:r>
      <w:r w:rsidR="00951098" w:rsidRPr="00571187">
        <w:rPr>
          <w:rFonts w:ascii="Tahoma" w:hAnsi="Tahoma" w:cs="Tahoma"/>
          <w:sz w:val="22"/>
          <w:szCs w:val="22"/>
        </w:rPr>
        <w:t> </w:t>
      </w:r>
      <w:r w:rsidRPr="00571187">
        <w:rPr>
          <w:rFonts w:ascii="Tahoma" w:hAnsi="Tahoma" w:cs="Tahoma"/>
          <w:sz w:val="22"/>
          <w:szCs w:val="22"/>
        </w:rPr>
        <w:t>cent.</w:t>
      </w:r>
    </w:p>
    <w:p w:rsidR="0026169C" w:rsidRPr="00571187" w:rsidRDefault="00986FFF" w:rsidP="00A159BB">
      <w:pPr>
        <w:numPr>
          <w:ilvl w:val="0"/>
          <w:numId w:val="17"/>
        </w:numPr>
        <w:spacing w:after="120"/>
        <w:rPr>
          <w:rFonts w:ascii="Tahoma" w:hAnsi="Tahoma" w:cs="Tahoma"/>
          <w:sz w:val="22"/>
          <w:szCs w:val="22"/>
        </w:rPr>
      </w:pPr>
      <w:r w:rsidRPr="00571187">
        <w:rPr>
          <w:rFonts w:ascii="Tahoma" w:hAnsi="Tahoma" w:cs="Tahoma"/>
          <w:sz w:val="22"/>
          <w:szCs w:val="22"/>
        </w:rPr>
        <w:t>T</w:t>
      </w:r>
      <w:r w:rsidR="0026169C" w:rsidRPr="00571187">
        <w:rPr>
          <w:rFonts w:ascii="Tahoma" w:hAnsi="Tahoma" w:cs="Tahoma"/>
          <w:sz w:val="22"/>
          <w:szCs w:val="22"/>
        </w:rPr>
        <w:t>he total number of employees of accredited contractors (both Scheme and non-Scheme project</w:t>
      </w:r>
      <w:r w:rsidR="00951098" w:rsidRPr="00571187">
        <w:rPr>
          <w:rFonts w:ascii="Tahoma" w:hAnsi="Tahoma" w:cs="Tahoma"/>
          <w:sz w:val="22"/>
          <w:szCs w:val="22"/>
        </w:rPr>
        <w:t xml:space="preserve"> employees</w:t>
      </w:r>
      <w:r w:rsidR="0026169C" w:rsidRPr="00571187">
        <w:rPr>
          <w:rFonts w:ascii="Tahoma" w:hAnsi="Tahoma" w:cs="Tahoma"/>
          <w:sz w:val="22"/>
          <w:szCs w:val="22"/>
        </w:rPr>
        <w:t xml:space="preserve">) </w:t>
      </w:r>
      <w:r w:rsidR="00663755" w:rsidRPr="00571187">
        <w:rPr>
          <w:rFonts w:ascii="Tahoma" w:hAnsi="Tahoma" w:cs="Tahoma"/>
          <w:sz w:val="22"/>
          <w:szCs w:val="22"/>
        </w:rPr>
        <w:t xml:space="preserve">for the December 2008 reporting period </w:t>
      </w:r>
      <w:r w:rsidR="0026169C" w:rsidRPr="00571187">
        <w:rPr>
          <w:rFonts w:ascii="Tahoma" w:hAnsi="Tahoma" w:cs="Tahoma"/>
          <w:sz w:val="22"/>
          <w:szCs w:val="22"/>
        </w:rPr>
        <w:t xml:space="preserve">accounted for approximately </w:t>
      </w:r>
      <w:r w:rsidR="00CB3EFA" w:rsidRPr="00571187">
        <w:rPr>
          <w:rFonts w:ascii="Tahoma" w:hAnsi="Tahoma" w:cs="Tahoma"/>
          <w:sz w:val="22"/>
          <w:szCs w:val="22"/>
        </w:rPr>
        <w:t>48</w:t>
      </w:r>
      <w:r w:rsidR="0026169C" w:rsidRPr="00571187">
        <w:rPr>
          <w:rFonts w:ascii="Tahoma" w:hAnsi="Tahoma" w:cs="Tahoma"/>
          <w:sz w:val="22"/>
          <w:szCs w:val="22"/>
        </w:rPr>
        <w:t xml:space="preserve"> per cent of all construction industry employees (the number of accredited contractor employees was </w:t>
      </w:r>
      <w:r w:rsidR="000337FD" w:rsidRPr="00571187">
        <w:rPr>
          <w:rFonts w:ascii="Tahoma" w:hAnsi="Tahoma" w:cs="Tahoma"/>
          <w:sz w:val="22"/>
          <w:szCs w:val="22"/>
        </w:rPr>
        <w:t>334,337</w:t>
      </w:r>
      <w:r w:rsidR="0026169C" w:rsidRPr="00571187">
        <w:rPr>
          <w:rFonts w:ascii="Tahoma" w:hAnsi="Tahoma" w:cs="Tahoma"/>
          <w:sz w:val="22"/>
          <w:szCs w:val="22"/>
        </w:rPr>
        <w:t xml:space="preserve"> and the total number of</w:t>
      </w:r>
      <w:r w:rsidR="00A159BB">
        <w:rPr>
          <w:rFonts w:ascii="Tahoma" w:hAnsi="Tahoma" w:cs="Tahoma"/>
          <w:sz w:val="22"/>
          <w:szCs w:val="22"/>
        </w:rPr>
        <w:t xml:space="preserve"> </w:t>
      </w:r>
      <w:r w:rsidR="0026169C" w:rsidRPr="00571187">
        <w:rPr>
          <w:rFonts w:ascii="Tahoma" w:hAnsi="Tahoma" w:cs="Tahoma"/>
          <w:sz w:val="22"/>
          <w:szCs w:val="22"/>
        </w:rPr>
        <w:t xml:space="preserve">construction industry employees was </w:t>
      </w:r>
      <w:r w:rsidR="009F3097" w:rsidRPr="00571187">
        <w:rPr>
          <w:rFonts w:ascii="Tahoma" w:hAnsi="Tahoma" w:cs="Tahoma"/>
          <w:sz w:val="22"/>
          <w:szCs w:val="22"/>
        </w:rPr>
        <w:t xml:space="preserve">estimated as </w:t>
      </w:r>
      <w:r w:rsidR="008E3E96" w:rsidRPr="00571187">
        <w:rPr>
          <w:rFonts w:ascii="Tahoma" w:hAnsi="Tahoma" w:cs="Tahoma"/>
          <w:sz w:val="22"/>
          <w:szCs w:val="22"/>
        </w:rPr>
        <w:t>70</w:t>
      </w:r>
      <w:r w:rsidR="00E3560C" w:rsidRPr="00571187">
        <w:rPr>
          <w:rFonts w:ascii="Tahoma" w:hAnsi="Tahoma" w:cs="Tahoma"/>
          <w:sz w:val="22"/>
          <w:szCs w:val="22"/>
        </w:rPr>
        <w:t>1</w:t>
      </w:r>
      <w:r w:rsidR="008E3E96" w:rsidRPr="00571187">
        <w:rPr>
          <w:rFonts w:ascii="Tahoma" w:hAnsi="Tahoma" w:cs="Tahoma"/>
          <w:sz w:val="22"/>
          <w:szCs w:val="22"/>
        </w:rPr>
        <w:t>,</w:t>
      </w:r>
      <w:r w:rsidR="00E3560C" w:rsidRPr="00571187">
        <w:rPr>
          <w:rFonts w:ascii="Tahoma" w:hAnsi="Tahoma" w:cs="Tahoma"/>
          <w:sz w:val="22"/>
          <w:szCs w:val="22"/>
        </w:rPr>
        <w:t>687</w:t>
      </w:r>
      <w:r w:rsidR="0026169C" w:rsidRPr="00571187">
        <w:rPr>
          <w:rStyle w:val="FootnoteReference"/>
          <w:rFonts w:ascii="Tahoma" w:hAnsi="Tahoma" w:cs="Tahoma"/>
          <w:sz w:val="22"/>
          <w:szCs w:val="22"/>
        </w:rPr>
        <w:footnoteReference w:id="1"/>
      </w:r>
      <w:r w:rsidR="0026169C" w:rsidRPr="00571187">
        <w:rPr>
          <w:rFonts w:ascii="Tahoma" w:hAnsi="Tahoma" w:cs="Tahoma"/>
          <w:sz w:val="22"/>
          <w:szCs w:val="22"/>
        </w:rPr>
        <w:t>)</w:t>
      </w:r>
      <w:r w:rsidR="00B43059" w:rsidRPr="00571187">
        <w:rPr>
          <w:rFonts w:ascii="Tahoma" w:hAnsi="Tahoma" w:cs="Tahoma"/>
          <w:sz w:val="22"/>
          <w:szCs w:val="22"/>
        </w:rPr>
        <w:t xml:space="preserve"> compared to </w:t>
      </w:r>
      <w:r w:rsidR="00537F70" w:rsidRPr="00571187">
        <w:rPr>
          <w:rFonts w:ascii="Tahoma" w:hAnsi="Tahoma" w:cs="Tahoma"/>
          <w:sz w:val="22"/>
          <w:szCs w:val="22"/>
        </w:rPr>
        <w:t>around 39 per cent for the December 2007 reporting period.</w:t>
      </w:r>
    </w:p>
    <w:p w:rsidR="00787DF9" w:rsidRPr="00E821EE" w:rsidRDefault="00787DF9" w:rsidP="00787DF9">
      <w:pPr>
        <w:rPr>
          <w:rFonts w:ascii="Tahoma" w:hAnsi="Tahoma" w:cs="Tahoma"/>
          <w:sz w:val="22"/>
          <w:szCs w:val="22"/>
        </w:rPr>
      </w:pPr>
    </w:p>
    <w:p w:rsidR="00787DF9" w:rsidRPr="007A5319" w:rsidRDefault="00787DF9" w:rsidP="00787DF9">
      <w:pPr>
        <w:pStyle w:val="Heading2"/>
      </w:pPr>
      <w:bookmarkStart w:id="22" w:name="_Toc237832461"/>
      <w:r w:rsidRPr="007A5319">
        <w:t>Injury frequency rates</w:t>
      </w:r>
      <w:bookmarkEnd w:id="22"/>
    </w:p>
    <w:p w:rsidR="00787DF9" w:rsidRDefault="00787DF9" w:rsidP="00787DF9">
      <w:pPr>
        <w:outlineLvl w:val="1"/>
        <w:rPr>
          <w:rFonts w:ascii="Tahoma" w:hAnsi="Tahoma" w:cs="Tahoma"/>
          <w:sz w:val="22"/>
          <w:szCs w:val="22"/>
        </w:rPr>
      </w:pPr>
    </w:p>
    <w:p w:rsidR="00787DF9" w:rsidRPr="001614C9" w:rsidRDefault="00787DF9" w:rsidP="00787DF9">
      <w:pPr>
        <w:pStyle w:val="Heading3"/>
        <w:rPr>
          <w:rStyle w:val="Heading3Char"/>
          <w:b/>
          <w:bCs/>
        </w:rPr>
      </w:pPr>
      <w:bookmarkStart w:id="23" w:name="_Toc237832462"/>
      <w:r w:rsidRPr="001614C9">
        <w:rPr>
          <w:rStyle w:val="Heading3Char"/>
          <w:b/>
          <w:bCs/>
        </w:rPr>
        <w:t>Lost Time Injury Frequency Rate (LTIFR)</w:t>
      </w:r>
      <w:bookmarkEnd w:id="23"/>
    </w:p>
    <w:p w:rsidR="00787DF9" w:rsidRDefault="00787DF9" w:rsidP="00787DF9">
      <w:pPr>
        <w:outlineLvl w:val="1"/>
        <w:rPr>
          <w:rFonts w:ascii="Tahoma" w:hAnsi="Tahoma" w:cs="Tahoma"/>
          <w:sz w:val="22"/>
          <w:szCs w:val="22"/>
        </w:rPr>
      </w:pPr>
    </w:p>
    <w:tbl>
      <w:tblPr>
        <w:tblStyle w:val="TableGrid"/>
        <w:tblW w:w="9244" w:type="dxa"/>
        <w:jc w:val="center"/>
        <w:tblLayout w:type="fixed"/>
        <w:tblLook w:val="01E0" w:firstRow="1" w:lastRow="1" w:firstColumn="1" w:lastColumn="1" w:noHBand="0" w:noVBand="0"/>
      </w:tblPr>
      <w:tblGrid>
        <w:gridCol w:w="1588"/>
        <w:gridCol w:w="1276"/>
        <w:gridCol w:w="1276"/>
        <w:gridCol w:w="1276"/>
        <w:gridCol w:w="1276"/>
        <w:gridCol w:w="1276"/>
        <w:gridCol w:w="1276"/>
      </w:tblGrid>
      <w:tr w:rsidR="00787DF9" w:rsidRPr="003F2F98" w:rsidTr="00A60F58">
        <w:trPr>
          <w:jc w:val="center"/>
        </w:trPr>
        <w:tc>
          <w:tcPr>
            <w:tcW w:w="1588" w:type="dxa"/>
            <w:noWrap/>
            <w:tcMar>
              <w:left w:w="57" w:type="dxa"/>
              <w:right w:w="57" w:type="dxa"/>
            </w:tcMar>
            <w:vAlign w:val="bottom"/>
          </w:tcPr>
          <w:p w:rsidR="00787DF9" w:rsidRPr="003F2F98" w:rsidRDefault="00A60F58" w:rsidP="00A60F58">
            <w:pPr>
              <w:jc w:val="center"/>
              <w:rPr>
                <w:rFonts w:ascii="Tahoma" w:hAnsi="Tahoma" w:cs="Tahoma"/>
                <w:b/>
                <w:sz w:val="20"/>
              </w:rPr>
            </w:pPr>
            <w:r>
              <w:rPr>
                <w:rFonts w:ascii="Tahoma" w:hAnsi="Tahoma" w:cs="Tahoma"/>
                <w:b/>
                <w:sz w:val="20"/>
              </w:rPr>
              <w:t>Period</w:t>
            </w:r>
          </w:p>
        </w:tc>
        <w:tc>
          <w:tcPr>
            <w:tcW w:w="1276" w:type="dxa"/>
            <w:noWrap/>
            <w:tcMar>
              <w:left w:w="57" w:type="dxa"/>
              <w:right w:w="57" w:type="dxa"/>
            </w:tcMar>
            <w:vAlign w:val="bottom"/>
          </w:tcPr>
          <w:p w:rsidR="00787DF9" w:rsidRPr="003F2F98" w:rsidRDefault="00787DF9" w:rsidP="00A60F58">
            <w:pPr>
              <w:jc w:val="center"/>
              <w:rPr>
                <w:rFonts w:ascii="Tahoma" w:hAnsi="Tahoma" w:cs="Tahoma"/>
                <w:b/>
                <w:sz w:val="20"/>
              </w:rPr>
            </w:pPr>
          </w:p>
          <w:p w:rsidR="00787DF9" w:rsidRPr="003F2F98" w:rsidRDefault="00A60F58" w:rsidP="00A60F58">
            <w:pPr>
              <w:jc w:val="center"/>
              <w:rPr>
                <w:rFonts w:ascii="Tahoma" w:hAnsi="Tahoma" w:cs="Tahoma"/>
                <w:b/>
                <w:sz w:val="20"/>
              </w:rPr>
            </w:pPr>
            <w:r w:rsidRPr="00A60F58">
              <w:rPr>
                <w:rFonts w:ascii="Tahoma" w:hAnsi="Tahoma" w:cs="Tahoma"/>
                <w:b/>
                <w:sz w:val="20"/>
              </w:rPr>
              <w:t>LTIFR Median on Scheme projects</w:t>
            </w:r>
          </w:p>
        </w:tc>
        <w:tc>
          <w:tcPr>
            <w:tcW w:w="1276" w:type="dxa"/>
            <w:noWrap/>
            <w:tcMar>
              <w:left w:w="57" w:type="dxa"/>
              <w:right w:w="57" w:type="dxa"/>
            </w:tcMar>
            <w:vAlign w:val="bottom"/>
          </w:tcPr>
          <w:p w:rsidR="00A60F58" w:rsidRPr="00A60F58" w:rsidRDefault="00A60F58" w:rsidP="00A60F58">
            <w:pPr>
              <w:jc w:val="center"/>
              <w:rPr>
                <w:rFonts w:ascii="Tahoma" w:hAnsi="Tahoma" w:cs="Tahoma"/>
                <w:b/>
                <w:sz w:val="20"/>
              </w:rPr>
            </w:pPr>
            <w:r w:rsidRPr="00A60F58">
              <w:rPr>
                <w:rFonts w:ascii="Tahoma" w:hAnsi="Tahoma" w:cs="Tahoma"/>
                <w:b/>
                <w:sz w:val="20"/>
              </w:rPr>
              <w:t>LTIFR Arithmetic</w:t>
            </w:r>
          </w:p>
          <w:p w:rsidR="00787DF9" w:rsidRPr="003F2F98" w:rsidRDefault="00A60F58" w:rsidP="00A60F58">
            <w:pPr>
              <w:jc w:val="center"/>
              <w:rPr>
                <w:rFonts w:ascii="Tahoma" w:hAnsi="Tahoma" w:cs="Tahoma"/>
                <w:b/>
                <w:sz w:val="20"/>
              </w:rPr>
            </w:pPr>
            <w:r w:rsidRPr="00A60F58">
              <w:rPr>
                <w:rFonts w:ascii="Tahoma" w:hAnsi="Tahoma" w:cs="Tahoma"/>
                <w:b/>
                <w:sz w:val="20"/>
              </w:rPr>
              <w:t>Mean on Scheme projects</w:t>
            </w:r>
          </w:p>
        </w:tc>
        <w:tc>
          <w:tcPr>
            <w:tcW w:w="1276" w:type="dxa"/>
            <w:noWrap/>
            <w:tcMar>
              <w:left w:w="57" w:type="dxa"/>
              <w:right w:w="57" w:type="dxa"/>
            </w:tcMar>
            <w:vAlign w:val="bottom"/>
          </w:tcPr>
          <w:p w:rsidR="00A60F58" w:rsidRPr="00A60F58" w:rsidRDefault="00A60F58" w:rsidP="00A60F58">
            <w:pPr>
              <w:jc w:val="center"/>
              <w:rPr>
                <w:rFonts w:ascii="Tahoma" w:hAnsi="Tahoma" w:cs="Tahoma"/>
                <w:b/>
                <w:sz w:val="20"/>
              </w:rPr>
            </w:pPr>
            <w:r w:rsidRPr="00A60F58">
              <w:rPr>
                <w:rFonts w:ascii="Tahoma" w:hAnsi="Tahoma" w:cs="Tahoma"/>
                <w:b/>
                <w:sz w:val="20"/>
              </w:rPr>
              <w:t>LTIFR Winsorized</w:t>
            </w:r>
          </w:p>
          <w:p w:rsidR="00787DF9" w:rsidRPr="003F2F98" w:rsidRDefault="00A60F58" w:rsidP="00A60F58">
            <w:pPr>
              <w:jc w:val="center"/>
              <w:rPr>
                <w:rFonts w:ascii="Tahoma" w:hAnsi="Tahoma" w:cs="Tahoma"/>
                <w:b/>
                <w:sz w:val="20"/>
              </w:rPr>
            </w:pPr>
            <w:r w:rsidRPr="00A60F58">
              <w:rPr>
                <w:rFonts w:ascii="Tahoma" w:hAnsi="Tahoma" w:cs="Tahoma"/>
                <w:b/>
                <w:sz w:val="20"/>
              </w:rPr>
              <w:t>Mean on Scheme projects</w:t>
            </w:r>
          </w:p>
        </w:tc>
        <w:tc>
          <w:tcPr>
            <w:tcW w:w="1276" w:type="dxa"/>
            <w:noWrap/>
            <w:tcMar>
              <w:left w:w="57" w:type="dxa"/>
              <w:right w:w="57" w:type="dxa"/>
            </w:tcMar>
            <w:vAlign w:val="bottom"/>
          </w:tcPr>
          <w:p w:rsidR="00787DF9" w:rsidRPr="003F2F98" w:rsidRDefault="00787DF9" w:rsidP="00A60F58">
            <w:pPr>
              <w:jc w:val="center"/>
              <w:rPr>
                <w:rFonts w:ascii="Tahoma" w:hAnsi="Tahoma" w:cs="Tahoma"/>
                <w:b/>
                <w:sz w:val="20"/>
              </w:rPr>
            </w:pPr>
          </w:p>
          <w:p w:rsidR="00787DF9" w:rsidRPr="003F2F98" w:rsidRDefault="00A60F58" w:rsidP="00A60F58">
            <w:pPr>
              <w:jc w:val="center"/>
              <w:rPr>
                <w:rFonts w:ascii="Tahoma" w:hAnsi="Tahoma" w:cs="Tahoma"/>
                <w:b/>
                <w:sz w:val="20"/>
              </w:rPr>
            </w:pPr>
            <w:r w:rsidRPr="00A60F58">
              <w:rPr>
                <w:rFonts w:ascii="Tahoma" w:hAnsi="Tahoma" w:cs="Tahoma"/>
                <w:b/>
                <w:sz w:val="20"/>
              </w:rPr>
              <w:t>LTIFR Median on Non-Scheme projects</w:t>
            </w:r>
          </w:p>
        </w:tc>
        <w:tc>
          <w:tcPr>
            <w:tcW w:w="1276" w:type="dxa"/>
            <w:noWrap/>
            <w:tcMar>
              <w:left w:w="57" w:type="dxa"/>
              <w:right w:w="57" w:type="dxa"/>
            </w:tcMar>
            <w:vAlign w:val="bottom"/>
          </w:tcPr>
          <w:p w:rsidR="00A60F58" w:rsidRPr="00A60F58" w:rsidRDefault="00A60F58" w:rsidP="00A60F58">
            <w:pPr>
              <w:jc w:val="center"/>
              <w:rPr>
                <w:rFonts w:ascii="Tahoma" w:hAnsi="Tahoma" w:cs="Tahoma"/>
                <w:b/>
                <w:sz w:val="20"/>
              </w:rPr>
            </w:pPr>
            <w:r w:rsidRPr="00A60F58">
              <w:rPr>
                <w:rFonts w:ascii="Tahoma" w:hAnsi="Tahoma" w:cs="Tahoma"/>
                <w:b/>
                <w:sz w:val="20"/>
              </w:rPr>
              <w:t>LTIFR Arithmetic</w:t>
            </w:r>
          </w:p>
          <w:p w:rsidR="00787DF9" w:rsidRPr="003F2F98" w:rsidRDefault="00A60F58" w:rsidP="00A60F58">
            <w:pPr>
              <w:jc w:val="center"/>
              <w:rPr>
                <w:rFonts w:ascii="Tahoma" w:hAnsi="Tahoma" w:cs="Tahoma"/>
                <w:b/>
                <w:sz w:val="20"/>
              </w:rPr>
            </w:pPr>
            <w:r w:rsidRPr="00A60F58">
              <w:rPr>
                <w:rFonts w:ascii="Tahoma" w:hAnsi="Tahoma" w:cs="Tahoma"/>
                <w:b/>
                <w:sz w:val="20"/>
              </w:rPr>
              <w:t>Mean on Non-Scheme projects</w:t>
            </w:r>
          </w:p>
        </w:tc>
        <w:tc>
          <w:tcPr>
            <w:tcW w:w="1276" w:type="dxa"/>
            <w:noWrap/>
            <w:tcMar>
              <w:left w:w="57" w:type="dxa"/>
              <w:right w:w="57" w:type="dxa"/>
            </w:tcMar>
            <w:vAlign w:val="bottom"/>
          </w:tcPr>
          <w:p w:rsidR="00A60F58" w:rsidRPr="00A60F58" w:rsidRDefault="00A60F58" w:rsidP="00A60F58">
            <w:pPr>
              <w:jc w:val="center"/>
              <w:rPr>
                <w:rFonts w:ascii="Tahoma" w:hAnsi="Tahoma" w:cs="Tahoma"/>
                <w:b/>
                <w:sz w:val="20"/>
              </w:rPr>
            </w:pPr>
            <w:r w:rsidRPr="00A60F58">
              <w:rPr>
                <w:rFonts w:ascii="Tahoma" w:hAnsi="Tahoma" w:cs="Tahoma"/>
                <w:b/>
                <w:sz w:val="20"/>
              </w:rPr>
              <w:t>LTIFR Winsorized</w:t>
            </w:r>
          </w:p>
          <w:p w:rsidR="00787DF9" w:rsidRPr="003F2F98" w:rsidRDefault="00A60F58" w:rsidP="00A60F58">
            <w:pPr>
              <w:jc w:val="center"/>
              <w:rPr>
                <w:rFonts w:ascii="Tahoma" w:hAnsi="Tahoma" w:cs="Tahoma"/>
                <w:b/>
                <w:sz w:val="20"/>
              </w:rPr>
            </w:pPr>
            <w:r w:rsidRPr="00A60F58">
              <w:rPr>
                <w:rFonts w:ascii="Tahoma" w:hAnsi="Tahoma" w:cs="Tahoma"/>
                <w:b/>
                <w:sz w:val="20"/>
              </w:rPr>
              <w:t>Mean on Non-Scheme projects</w:t>
            </w:r>
          </w:p>
        </w:tc>
      </w:tr>
      <w:tr w:rsidR="00787DF9" w:rsidRPr="003F2F98" w:rsidTr="00A60F58">
        <w:trPr>
          <w:jc w:val="center"/>
        </w:trPr>
        <w:tc>
          <w:tcPr>
            <w:tcW w:w="1588" w:type="dxa"/>
            <w:noWrap/>
            <w:tcMar>
              <w:left w:w="57" w:type="dxa"/>
              <w:right w:w="57" w:type="dxa"/>
            </w:tcMar>
            <w:vAlign w:val="bottom"/>
          </w:tcPr>
          <w:p w:rsidR="00787DF9" w:rsidRPr="003F2F98" w:rsidRDefault="00787DF9" w:rsidP="00787DF9">
            <w:pPr>
              <w:spacing w:before="20" w:after="20"/>
              <w:jc w:val="center"/>
              <w:rPr>
                <w:rFonts w:ascii="Tahoma" w:hAnsi="Tahoma" w:cs="Tahoma"/>
                <w:sz w:val="20"/>
              </w:rPr>
            </w:pPr>
            <w:r w:rsidRPr="003F2F98">
              <w:rPr>
                <w:rFonts w:ascii="Tahoma" w:hAnsi="Tahoma" w:cs="Tahoma"/>
                <w:sz w:val="20"/>
              </w:rPr>
              <w:t>Jul to Dec 2007</w:t>
            </w:r>
          </w:p>
        </w:tc>
        <w:tc>
          <w:tcPr>
            <w:tcW w:w="1276" w:type="dxa"/>
            <w:noWrap/>
            <w:tcMar>
              <w:left w:w="57" w:type="dxa"/>
              <w:right w:w="57" w:type="dxa"/>
            </w:tcMar>
            <w:vAlign w:val="bottom"/>
          </w:tcPr>
          <w:p w:rsidR="00787DF9" w:rsidRPr="003F2F98" w:rsidRDefault="00787DF9" w:rsidP="00787DF9">
            <w:pPr>
              <w:spacing w:before="20" w:after="20"/>
              <w:jc w:val="center"/>
              <w:rPr>
                <w:rFonts w:ascii="Tahoma" w:hAnsi="Tahoma" w:cs="Tahoma"/>
                <w:sz w:val="20"/>
              </w:rPr>
            </w:pPr>
            <w:r w:rsidRPr="003F2F98">
              <w:rPr>
                <w:rFonts w:ascii="Tahoma" w:hAnsi="Tahoma" w:cs="Tahoma"/>
                <w:sz w:val="20"/>
              </w:rPr>
              <w:t>0</w:t>
            </w:r>
            <w:r>
              <w:rPr>
                <w:rFonts w:ascii="Tahoma" w:hAnsi="Tahoma" w:cs="Tahoma"/>
                <w:sz w:val="20"/>
              </w:rPr>
              <w:t>.00</w:t>
            </w:r>
          </w:p>
        </w:tc>
        <w:tc>
          <w:tcPr>
            <w:tcW w:w="1276" w:type="dxa"/>
            <w:noWrap/>
            <w:tcMar>
              <w:left w:w="57" w:type="dxa"/>
              <w:right w:w="57" w:type="dxa"/>
            </w:tcMar>
            <w:vAlign w:val="bottom"/>
          </w:tcPr>
          <w:p w:rsidR="00787DF9" w:rsidRPr="003F2F98" w:rsidRDefault="00787DF9" w:rsidP="00787DF9">
            <w:pPr>
              <w:spacing w:before="20" w:after="20"/>
              <w:jc w:val="center"/>
              <w:rPr>
                <w:rFonts w:ascii="Tahoma" w:hAnsi="Tahoma" w:cs="Tahoma"/>
                <w:sz w:val="20"/>
              </w:rPr>
            </w:pPr>
            <w:r w:rsidRPr="003F2F98">
              <w:rPr>
                <w:rFonts w:ascii="Tahoma" w:hAnsi="Tahoma" w:cs="Tahoma"/>
                <w:sz w:val="20"/>
              </w:rPr>
              <w:t>6.</w:t>
            </w:r>
            <w:r>
              <w:rPr>
                <w:rFonts w:ascii="Tahoma" w:hAnsi="Tahoma" w:cs="Tahoma"/>
                <w:sz w:val="20"/>
              </w:rPr>
              <w:t>62</w:t>
            </w:r>
          </w:p>
        </w:tc>
        <w:tc>
          <w:tcPr>
            <w:tcW w:w="1276" w:type="dxa"/>
            <w:noWrap/>
            <w:tcMar>
              <w:left w:w="57" w:type="dxa"/>
              <w:right w:w="57" w:type="dxa"/>
            </w:tcMar>
          </w:tcPr>
          <w:p w:rsidR="00787DF9" w:rsidRPr="003F2F98" w:rsidRDefault="00787DF9" w:rsidP="00787DF9">
            <w:pPr>
              <w:jc w:val="center"/>
              <w:rPr>
                <w:rFonts w:ascii="Tahoma" w:hAnsi="Tahoma" w:cs="Tahoma"/>
                <w:sz w:val="20"/>
              </w:rPr>
            </w:pPr>
            <w:r>
              <w:rPr>
                <w:rFonts w:ascii="Tahoma" w:hAnsi="Tahoma" w:cs="Tahoma"/>
                <w:sz w:val="20"/>
              </w:rPr>
              <w:t>4.04</w:t>
            </w:r>
          </w:p>
        </w:tc>
        <w:tc>
          <w:tcPr>
            <w:tcW w:w="1276" w:type="dxa"/>
            <w:noWrap/>
            <w:tcMar>
              <w:left w:w="57" w:type="dxa"/>
              <w:right w:w="57" w:type="dxa"/>
            </w:tcMar>
            <w:vAlign w:val="bottom"/>
          </w:tcPr>
          <w:p w:rsidR="00787DF9" w:rsidRPr="003F2F98" w:rsidRDefault="00787DF9" w:rsidP="00787DF9">
            <w:pPr>
              <w:spacing w:before="20" w:after="20"/>
              <w:jc w:val="center"/>
              <w:rPr>
                <w:rFonts w:ascii="Tahoma" w:hAnsi="Tahoma" w:cs="Tahoma"/>
                <w:sz w:val="20"/>
              </w:rPr>
            </w:pPr>
            <w:r w:rsidRPr="003F2F98">
              <w:rPr>
                <w:rFonts w:ascii="Tahoma" w:hAnsi="Tahoma" w:cs="Tahoma"/>
                <w:sz w:val="20"/>
              </w:rPr>
              <w:t>4.</w:t>
            </w:r>
            <w:r>
              <w:rPr>
                <w:rFonts w:ascii="Tahoma" w:hAnsi="Tahoma" w:cs="Tahoma"/>
                <w:sz w:val="20"/>
              </w:rPr>
              <w:t>30</w:t>
            </w:r>
          </w:p>
        </w:tc>
        <w:tc>
          <w:tcPr>
            <w:tcW w:w="1276" w:type="dxa"/>
            <w:noWrap/>
            <w:tcMar>
              <w:left w:w="57" w:type="dxa"/>
              <w:right w:w="57" w:type="dxa"/>
            </w:tcMar>
            <w:vAlign w:val="bottom"/>
          </w:tcPr>
          <w:p w:rsidR="00787DF9" w:rsidRPr="003F2F98" w:rsidRDefault="00787DF9" w:rsidP="00787DF9">
            <w:pPr>
              <w:spacing w:before="20" w:after="20"/>
              <w:jc w:val="center"/>
              <w:rPr>
                <w:rFonts w:ascii="Tahoma" w:hAnsi="Tahoma" w:cs="Tahoma"/>
                <w:sz w:val="20"/>
              </w:rPr>
            </w:pPr>
            <w:r>
              <w:rPr>
                <w:rFonts w:ascii="Tahoma" w:hAnsi="Tahoma" w:cs="Tahoma"/>
                <w:sz w:val="20"/>
              </w:rPr>
              <w:t>9.97</w:t>
            </w:r>
          </w:p>
        </w:tc>
        <w:tc>
          <w:tcPr>
            <w:tcW w:w="1276" w:type="dxa"/>
            <w:noWrap/>
            <w:tcMar>
              <w:left w:w="57" w:type="dxa"/>
              <w:right w:w="57" w:type="dxa"/>
            </w:tcMar>
          </w:tcPr>
          <w:p w:rsidR="00787DF9" w:rsidRPr="003F2F98" w:rsidRDefault="00787DF9" w:rsidP="00787DF9">
            <w:pPr>
              <w:jc w:val="center"/>
              <w:rPr>
                <w:rFonts w:ascii="Tahoma" w:hAnsi="Tahoma" w:cs="Tahoma"/>
                <w:sz w:val="20"/>
              </w:rPr>
            </w:pPr>
            <w:r>
              <w:rPr>
                <w:rFonts w:ascii="Tahoma" w:hAnsi="Tahoma" w:cs="Tahoma"/>
                <w:sz w:val="20"/>
              </w:rPr>
              <w:t>7.52</w:t>
            </w:r>
          </w:p>
        </w:tc>
      </w:tr>
      <w:tr w:rsidR="00787DF9" w:rsidRPr="003F2F98" w:rsidTr="00A60F58">
        <w:trPr>
          <w:jc w:val="center"/>
        </w:trPr>
        <w:tc>
          <w:tcPr>
            <w:tcW w:w="1588" w:type="dxa"/>
            <w:noWrap/>
            <w:tcMar>
              <w:left w:w="57" w:type="dxa"/>
              <w:right w:w="57" w:type="dxa"/>
            </w:tcMar>
            <w:vAlign w:val="bottom"/>
          </w:tcPr>
          <w:p w:rsidR="00787DF9" w:rsidRPr="003F2F98" w:rsidRDefault="00787DF9" w:rsidP="00787DF9">
            <w:pPr>
              <w:spacing w:before="20" w:after="20"/>
              <w:jc w:val="center"/>
              <w:rPr>
                <w:rFonts w:ascii="Tahoma" w:hAnsi="Tahoma" w:cs="Tahoma"/>
                <w:sz w:val="20"/>
              </w:rPr>
            </w:pPr>
            <w:r w:rsidRPr="003F2F98">
              <w:rPr>
                <w:rFonts w:ascii="Tahoma" w:hAnsi="Tahoma" w:cs="Tahoma"/>
                <w:sz w:val="20"/>
              </w:rPr>
              <w:t>Jan to Jun 2008</w:t>
            </w:r>
          </w:p>
        </w:tc>
        <w:tc>
          <w:tcPr>
            <w:tcW w:w="1276" w:type="dxa"/>
            <w:noWrap/>
            <w:tcMar>
              <w:left w:w="57" w:type="dxa"/>
              <w:right w:w="57" w:type="dxa"/>
            </w:tcMar>
            <w:vAlign w:val="bottom"/>
          </w:tcPr>
          <w:p w:rsidR="00787DF9" w:rsidRPr="003F2F98" w:rsidRDefault="00787DF9" w:rsidP="00787DF9">
            <w:pPr>
              <w:spacing w:before="20" w:after="20"/>
              <w:jc w:val="center"/>
              <w:rPr>
                <w:rFonts w:ascii="Tahoma" w:hAnsi="Tahoma" w:cs="Tahoma"/>
                <w:sz w:val="20"/>
              </w:rPr>
            </w:pPr>
            <w:r w:rsidRPr="003F2F98">
              <w:rPr>
                <w:rFonts w:ascii="Tahoma" w:hAnsi="Tahoma" w:cs="Tahoma"/>
                <w:sz w:val="20"/>
              </w:rPr>
              <w:t>0</w:t>
            </w:r>
            <w:r>
              <w:rPr>
                <w:rFonts w:ascii="Tahoma" w:hAnsi="Tahoma" w:cs="Tahoma"/>
                <w:sz w:val="20"/>
              </w:rPr>
              <w:t>.00</w:t>
            </w:r>
          </w:p>
        </w:tc>
        <w:tc>
          <w:tcPr>
            <w:tcW w:w="1276" w:type="dxa"/>
            <w:noWrap/>
            <w:tcMar>
              <w:left w:w="57" w:type="dxa"/>
              <w:right w:w="57" w:type="dxa"/>
            </w:tcMar>
            <w:vAlign w:val="bottom"/>
          </w:tcPr>
          <w:p w:rsidR="00787DF9" w:rsidRPr="003F2F98" w:rsidRDefault="00787DF9" w:rsidP="00787DF9">
            <w:pPr>
              <w:spacing w:before="20" w:after="20"/>
              <w:jc w:val="center"/>
              <w:rPr>
                <w:rFonts w:ascii="Tahoma" w:hAnsi="Tahoma" w:cs="Tahoma"/>
                <w:sz w:val="20"/>
              </w:rPr>
            </w:pPr>
            <w:r w:rsidRPr="003F2F98">
              <w:rPr>
                <w:rFonts w:ascii="Tahoma" w:hAnsi="Tahoma" w:cs="Tahoma"/>
                <w:sz w:val="20"/>
              </w:rPr>
              <w:t>9.24</w:t>
            </w:r>
          </w:p>
        </w:tc>
        <w:tc>
          <w:tcPr>
            <w:tcW w:w="1276" w:type="dxa"/>
            <w:noWrap/>
            <w:tcMar>
              <w:left w:w="57" w:type="dxa"/>
              <w:right w:w="57" w:type="dxa"/>
            </w:tcMar>
          </w:tcPr>
          <w:p w:rsidR="00787DF9" w:rsidRPr="003F2F98" w:rsidRDefault="00787DF9" w:rsidP="00787DF9">
            <w:pPr>
              <w:jc w:val="center"/>
              <w:rPr>
                <w:rFonts w:ascii="Tahoma" w:hAnsi="Tahoma" w:cs="Tahoma"/>
                <w:sz w:val="20"/>
              </w:rPr>
            </w:pPr>
            <w:r>
              <w:rPr>
                <w:rFonts w:ascii="Tahoma" w:hAnsi="Tahoma" w:cs="Tahoma"/>
                <w:sz w:val="20"/>
              </w:rPr>
              <w:t>8.72</w:t>
            </w:r>
          </w:p>
        </w:tc>
        <w:tc>
          <w:tcPr>
            <w:tcW w:w="1276" w:type="dxa"/>
            <w:noWrap/>
            <w:tcMar>
              <w:left w:w="57" w:type="dxa"/>
              <w:right w:w="57" w:type="dxa"/>
            </w:tcMar>
            <w:vAlign w:val="bottom"/>
          </w:tcPr>
          <w:p w:rsidR="00787DF9" w:rsidRPr="003F2F98" w:rsidRDefault="00787DF9" w:rsidP="00787DF9">
            <w:pPr>
              <w:spacing w:before="20" w:after="20"/>
              <w:jc w:val="center"/>
              <w:rPr>
                <w:rFonts w:ascii="Tahoma" w:hAnsi="Tahoma" w:cs="Tahoma"/>
                <w:sz w:val="20"/>
              </w:rPr>
            </w:pPr>
            <w:r w:rsidRPr="003F2F98">
              <w:rPr>
                <w:rFonts w:ascii="Tahoma" w:hAnsi="Tahoma" w:cs="Tahoma"/>
                <w:sz w:val="20"/>
              </w:rPr>
              <w:t>4.95</w:t>
            </w:r>
          </w:p>
        </w:tc>
        <w:tc>
          <w:tcPr>
            <w:tcW w:w="1276" w:type="dxa"/>
            <w:noWrap/>
            <w:tcMar>
              <w:left w:w="57" w:type="dxa"/>
              <w:right w:w="57" w:type="dxa"/>
            </w:tcMar>
            <w:vAlign w:val="bottom"/>
          </w:tcPr>
          <w:p w:rsidR="00787DF9" w:rsidRPr="003F2F98" w:rsidRDefault="00787DF9" w:rsidP="00787DF9">
            <w:pPr>
              <w:spacing w:before="20" w:after="20"/>
              <w:jc w:val="center"/>
              <w:rPr>
                <w:rFonts w:ascii="Tahoma" w:hAnsi="Tahoma" w:cs="Tahoma"/>
                <w:sz w:val="20"/>
              </w:rPr>
            </w:pPr>
            <w:r w:rsidRPr="003F2F98">
              <w:rPr>
                <w:rFonts w:ascii="Tahoma" w:hAnsi="Tahoma" w:cs="Tahoma"/>
                <w:sz w:val="20"/>
              </w:rPr>
              <w:t>10.41</w:t>
            </w:r>
          </w:p>
        </w:tc>
        <w:tc>
          <w:tcPr>
            <w:tcW w:w="1276" w:type="dxa"/>
            <w:noWrap/>
            <w:tcMar>
              <w:left w:w="57" w:type="dxa"/>
              <w:right w:w="57" w:type="dxa"/>
            </w:tcMar>
          </w:tcPr>
          <w:p w:rsidR="00787DF9" w:rsidRPr="003F2F98" w:rsidRDefault="00787DF9" w:rsidP="00787DF9">
            <w:pPr>
              <w:jc w:val="center"/>
              <w:rPr>
                <w:rFonts w:ascii="Tahoma" w:hAnsi="Tahoma" w:cs="Tahoma"/>
                <w:sz w:val="20"/>
              </w:rPr>
            </w:pPr>
            <w:r>
              <w:rPr>
                <w:rFonts w:ascii="Tahoma" w:hAnsi="Tahoma" w:cs="Tahoma"/>
                <w:sz w:val="20"/>
              </w:rPr>
              <w:t>9.05</w:t>
            </w:r>
          </w:p>
        </w:tc>
      </w:tr>
      <w:tr w:rsidR="00787DF9" w:rsidRPr="003F2F98" w:rsidTr="00A60F58">
        <w:trPr>
          <w:jc w:val="center"/>
        </w:trPr>
        <w:tc>
          <w:tcPr>
            <w:tcW w:w="1588" w:type="dxa"/>
            <w:noWrap/>
            <w:tcMar>
              <w:left w:w="57" w:type="dxa"/>
              <w:right w:w="57" w:type="dxa"/>
            </w:tcMar>
            <w:vAlign w:val="bottom"/>
          </w:tcPr>
          <w:p w:rsidR="00787DF9" w:rsidRPr="003F2F98" w:rsidRDefault="00787DF9" w:rsidP="00787DF9">
            <w:pPr>
              <w:spacing w:before="20" w:after="20"/>
              <w:jc w:val="center"/>
              <w:rPr>
                <w:rFonts w:ascii="Tahoma" w:hAnsi="Tahoma" w:cs="Tahoma"/>
                <w:sz w:val="20"/>
              </w:rPr>
            </w:pPr>
            <w:r w:rsidRPr="003F2F98">
              <w:rPr>
                <w:rFonts w:ascii="Tahoma" w:hAnsi="Tahoma" w:cs="Tahoma"/>
                <w:sz w:val="20"/>
              </w:rPr>
              <w:t>Jul to Dec 2008</w:t>
            </w:r>
          </w:p>
        </w:tc>
        <w:tc>
          <w:tcPr>
            <w:tcW w:w="1276" w:type="dxa"/>
            <w:noWrap/>
            <w:tcMar>
              <w:left w:w="57" w:type="dxa"/>
              <w:right w:w="57" w:type="dxa"/>
            </w:tcMar>
            <w:vAlign w:val="bottom"/>
          </w:tcPr>
          <w:p w:rsidR="00787DF9" w:rsidRPr="003F2F98" w:rsidRDefault="00787DF9" w:rsidP="00787DF9">
            <w:pPr>
              <w:spacing w:before="20" w:after="20"/>
              <w:jc w:val="center"/>
              <w:rPr>
                <w:rFonts w:ascii="Tahoma" w:hAnsi="Tahoma" w:cs="Tahoma"/>
                <w:sz w:val="20"/>
              </w:rPr>
            </w:pPr>
            <w:r w:rsidRPr="003F2F98">
              <w:rPr>
                <w:rFonts w:ascii="Tahoma" w:hAnsi="Tahoma" w:cs="Tahoma"/>
                <w:sz w:val="20"/>
              </w:rPr>
              <w:t>0</w:t>
            </w:r>
            <w:r>
              <w:rPr>
                <w:rFonts w:ascii="Tahoma" w:hAnsi="Tahoma" w:cs="Tahoma"/>
                <w:sz w:val="20"/>
              </w:rPr>
              <w:t>.00</w:t>
            </w:r>
          </w:p>
        </w:tc>
        <w:tc>
          <w:tcPr>
            <w:tcW w:w="1276" w:type="dxa"/>
            <w:noWrap/>
            <w:tcMar>
              <w:left w:w="57" w:type="dxa"/>
              <w:right w:w="57" w:type="dxa"/>
            </w:tcMar>
            <w:vAlign w:val="bottom"/>
          </w:tcPr>
          <w:p w:rsidR="00787DF9" w:rsidRPr="003F2F98" w:rsidRDefault="00787DF9" w:rsidP="00787DF9">
            <w:pPr>
              <w:spacing w:before="20" w:after="20"/>
              <w:jc w:val="center"/>
              <w:rPr>
                <w:rFonts w:ascii="Tahoma" w:hAnsi="Tahoma" w:cs="Tahoma"/>
                <w:sz w:val="20"/>
              </w:rPr>
            </w:pPr>
            <w:r w:rsidRPr="003F2F98">
              <w:rPr>
                <w:rFonts w:ascii="Tahoma" w:hAnsi="Tahoma" w:cs="Tahoma"/>
                <w:sz w:val="20"/>
              </w:rPr>
              <w:t>7.44</w:t>
            </w:r>
          </w:p>
        </w:tc>
        <w:tc>
          <w:tcPr>
            <w:tcW w:w="1276" w:type="dxa"/>
            <w:noWrap/>
            <w:tcMar>
              <w:left w:w="57" w:type="dxa"/>
              <w:right w:w="57" w:type="dxa"/>
            </w:tcMar>
          </w:tcPr>
          <w:p w:rsidR="00787DF9" w:rsidRPr="003F2F98" w:rsidRDefault="00787DF9" w:rsidP="00787DF9">
            <w:pPr>
              <w:jc w:val="center"/>
              <w:rPr>
                <w:rFonts w:ascii="Tahoma" w:hAnsi="Tahoma" w:cs="Tahoma"/>
                <w:sz w:val="20"/>
              </w:rPr>
            </w:pPr>
            <w:r>
              <w:rPr>
                <w:rFonts w:ascii="Tahoma" w:hAnsi="Tahoma" w:cs="Tahoma"/>
                <w:sz w:val="20"/>
              </w:rPr>
              <w:t>6.21</w:t>
            </w:r>
          </w:p>
        </w:tc>
        <w:tc>
          <w:tcPr>
            <w:tcW w:w="1276" w:type="dxa"/>
            <w:noWrap/>
            <w:tcMar>
              <w:left w:w="57" w:type="dxa"/>
              <w:right w:w="57" w:type="dxa"/>
            </w:tcMar>
            <w:vAlign w:val="bottom"/>
          </w:tcPr>
          <w:p w:rsidR="00787DF9" w:rsidRPr="003F2F98" w:rsidRDefault="00787DF9" w:rsidP="00787DF9">
            <w:pPr>
              <w:spacing w:before="20" w:after="20"/>
              <w:jc w:val="center"/>
              <w:rPr>
                <w:rFonts w:ascii="Tahoma" w:hAnsi="Tahoma" w:cs="Tahoma"/>
                <w:sz w:val="20"/>
              </w:rPr>
            </w:pPr>
            <w:r w:rsidRPr="003F2F98">
              <w:rPr>
                <w:rFonts w:ascii="Tahoma" w:hAnsi="Tahoma" w:cs="Tahoma"/>
                <w:sz w:val="20"/>
              </w:rPr>
              <w:t>4.65</w:t>
            </w:r>
          </w:p>
        </w:tc>
        <w:tc>
          <w:tcPr>
            <w:tcW w:w="1276" w:type="dxa"/>
            <w:noWrap/>
            <w:tcMar>
              <w:left w:w="57" w:type="dxa"/>
              <w:right w:w="57" w:type="dxa"/>
            </w:tcMar>
            <w:vAlign w:val="bottom"/>
          </w:tcPr>
          <w:p w:rsidR="00787DF9" w:rsidRPr="003F2F98" w:rsidRDefault="00787DF9" w:rsidP="00787DF9">
            <w:pPr>
              <w:spacing w:before="20" w:after="20"/>
              <w:jc w:val="center"/>
              <w:rPr>
                <w:rFonts w:ascii="Tahoma" w:hAnsi="Tahoma" w:cs="Tahoma"/>
                <w:sz w:val="20"/>
              </w:rPr>
            </w:pPr>
            <w:r w:rsidRPr="003F2F98">
              <w:rPr>
                <w:rFonts w:ascii="Tahoma" w:hAnsi="Tahoma" w:cs="Tahoma"/>
                <w:sz w:val="20"/>
              </w:rPr>
              <w:t>12.22</w:t>
            </w:r>
          </w:p>
        </w:tc>
        <w:tc>
          <w:tcPr>
            <w:tcW w:w="1276" w:type="dxa"/>
            <w:noWrap/>
            <w:tcMar>
              <w:left w:w="57" w:type="dxa"/>
              <w:right w:w="57" w:type="dxa"/>
            </w:tcMar>
          </w:tcPr>
          <w:p w:rsidR="00787DF9" w:rsidRPr="003F2F98" w:rsidRDefault="00787DF9" w:rsidP="00787DF9">
            <w:pPr>
              <w:jc w:val="center"/>
              <w:rPr>
                <w:rFonts w:ascii="Tahoma" w:hAnsi="Tahoma" w:cs="Tahoma"/>
                <w:sz w:val="20"/>
              </w:rPr>
            </w:pPr>
            <w:r>
              <w:rPr>
                <w:rFonts w:ascii="Tahoma" w:hAnsi="Tahoma" w:cs="Tahoma"/>
                <w:sz w:val="20"/>
              </w:rPr>
              <w:t>7.36</w:t>
            </w:r>
          </w:p>
        </w:tc>
      </w:tr>
    </w:tbl>
    <w:p w:rsidR="00787DF9" w:rsidRDefault="00787DF9" w:rsidP="00787DF9">
      <w:pPr>
        <w:rPr>
          <w:rFonts w:ascii="Tahoma" w:hAnsi="Tahoma" w:cs="Tahoma"/>
          <w:sz w:val="22"/>
          <w:szCs w:val="22"/>
        </w:rPr>
      </w:pPr>
    </w:p>
    <w:p w:rsidR="00787DF9" w:rsidRDefault="00787DF9" w:rsidP="00787DF9">
      <w:pPr>
        <w:numPr>
          <w:ilvl w:val="0"/>
          <w:numId w:val="10"/>
        </w:numPr>
        <w:rPr>
          <w:rFonts w:ascii="Tahoma" w:hAnsi="Tahoma" w:cs="Tahoma"/>
          <w:sz w:val="22"/>
          <w:szCs w:val="22"/>
        </w:rPr>
      </w:pPr>
      <w:r w:rsidRPr="00E62A8D">
        <w:rPr>
          <w:rFonts w:ascii="Tahoma" w:hAnsi="Tahoma" w:cs="Tahoma"/>
          <w:sz w:val="22"/>
          <w:szCs w:val="22"/>
        </w:rPr>
        <w:t xml:space="preserve">The median LTIFR </w:t>
      </w:r>
      <w:r>
        <w:rPr>
          <w:rFonts w:ascii="Tahoma" w:hAnsi="Tahoma" w:cs="Tahoma"/>
          <w:sz w:val="22"/>
          <w:szCs w:val="22"/>
        </w:rPr>
        <w:t>for Scheme</w:t>
      </w:r>
      <w:r w:rsidRPr="00E62A8D">
        <w:rPr>
          <w:rFonts w:ascii="Tahoma" w:hAnsi="Tahoma" w:cs="Tahoma"/>
          <w:sz w:val="22"/>
          <w:szCs w:val="22"/>
        </w:rPr>
        <w:t xml:space="preserve"> projects has remained at zero since the inception of biannual reporting, while the median LTIFR for non-</w:t>
      </w:r>
      <w:r>
        <w:rPr>
          <w:rFonts w:ascii="Tahoma" w:hAnsi="Tahoma" w:cs="Tahoma"/>
          <w:sz w:val="22"/>
          <w:szCs w:val="22"/>
        </w:rPr>
        <w:t>Scheme</w:t>
      </w:r>
      <w:r w:rsidRPr="00E62A8D">
        <w:rPr>
          <w:rFonts w:ascii="Tahoma" w:hAnsi="Tahoma" w:cs="Tahoma"/>
          <w:sz w:val="22"/>
          <w:szCs w:val="22"/>
        </w:rPr>
        <w:t xml:space="preserve"> projects has remained relatively steady.</w:t>
      </w:r>
    </w:p>
    <w:p w:rsidR="00787DF9" w:rsidRDefault="00787DF9" w:rsidP="00787DF9">
      <w:pPr>
        <w:ind w:left="360"/>
        <w:rPr>
          <w:rFonts w:ascii="Tahoma" w:hAnsi="Tahoma" w:cs="Tahoma"/>
          <w:sz w:val="22"/>
          <w:szCs w:val="22"/>
        </w:rPr>
      </w:pPr>
    </w:p>
    <w:p w:rsidR="00787DF9" w:rsidRDefault="00787DF9" w:rsidP="00787DF9">
      <w:pPr>
        <w:numPr>
          <w:ilvl w:val="0"/>
          <w:numId w:val="10"/>
        </w:numPr>
        <w:rPr>
          <w:rFonts w:ascii="Tahoma" w:hAnsi="Tahoma" w:cs="Tahoma"/>
          <w:sz w:val="22"/>
          <w:szCs w:val="22"/>
        </w:rPr>
      </w:pPr>
      <w:r>
        <w:rPr>
          <w:rFonts w:ascii="Tahoma" w:hAnsi="Tahoma" w:cs="Tahoma"/>
          <w:sz w:val="22"/>
          <w:szCs w:val="22"/>
        </w:rPr>
        <w:t>For each of the three reporting periods, more than half of the accredited contractors reported no LTI’s for Scheme projects, while around one quarter of accredited contractors reported no LTI’s for non-Scheme projects.</w:t>
      </w:r>
    </w:p>
    <w:p w:rsidR="00787DF9" w:rsidRDefault="00787DF9" w:rsidP="00787DF9">
      <w:pPr>
        <w:rPr>
          <w:rFonts w:ascii="Tahoma" w:hAnsi="Tahoma" w:cs="Tahoma"/>
          <w:sz w:val="22"/>
          <w:szCs w:val="22"/>
        </w:rPr>
      </w:pPr>
    </w:p>
    <w:p w:rsidR="00787DF9" w:rsidRDefault="00787DF9" w:rsidP="00787DF9">
      <w:pPr>
        <w:numPr>
          <w:ilvl w:val="0"/>
          <w:numId w:val="10"/>
        </w:numPr>
        <w:rPr>
          <w:rFonts w:ascii="Tahoma" w:hAnsi="Tahoma" w:cs="Tahoma"/>
          <w:sz w:val="22"/>
          <w:szCs w:val="22"/>
        </w:rPr>
      </w:pPr>
      <w:r>
        <w:rPr>
          <w:rFonts w:ascii="Tahoma" w:hAnsi="Tahoma" w:cs="Tahoma"/>
          <w:sz w:val="22"/>
          <w:szCs w:val="22"/>
        </w:rPr>
        <w:t>For both Scheme and non-Scheme projects there were extreme LTIFR values which suggest these observations could be treated as outliers.</w:t>
      </w:r>
    </w:p>
    <w:p w:rsidR="00787DF9" w:rsidRDefault="00787DF9" w:rsidP="00787DF9">
      <w:pPr>
        <w:rPr>
          <w:rFonts w:ascii="Tahoma" w:hAnsi="Tahoma" w:cs="Tahoma"/>
          <w:sz w:val="22"/>
          <w:szCs w:val="22"/>
        </w:rPr>
      </w:pPr>
    </w:p>
    <w:p w:rsidR="00787DF9" w:rsidRDefault="00787DF9" w:rsidP="00787DF9">
      <w:pPr>
        <w:numPr>
          <w:ilvl w:val="0"/>
          <w:numId w:val="10"/>
        </w:numPr>
        <w:rPr>
          <w:rFonts w:ascii="Tahoma" w:hAnsi="Tahoma" w:cs="Tahoma"/>
          <w:sz w:val="22"/>
          <w:szCs w:val="22"/>
        </w:rPr>
      </w:pPr>
      <w:r w:rsidRPr="00430AC9">
        <w:rPr>
          <w:rFonts w:ascii="Tahoma" w:hAnsi="Tahoma" w:cs="Tahoma"/>
          <w:sz w:val="22"/>
          <w:szCs w:val="22"/>
        </w:rPr>
        <w:t>The 90</w:t>
      </w:r>
      <w:r>
        <w:rPr>
          <w:rFonts w:ascii="Tahoma" w:hAnsi="Tahoma" w:cs="Tahoma"/>
          <w:sz w:val="22"/>
          <w:szCs w:val="22"/>
        </w:rPr>
        <w:t> per cent</w:t>
      </w:r>
      <w:r w:rsidRPr="00430AC9">
        <w:rPr>
          <w:rFonts w:ascii="Tahoma" w:hAnsi="Tahoma" w:cs="Tahoma"/>
          <w:sz w:val="22"/>
          <w:szCs w:val="22"/>
        </w:rPr>
        <w:t xml:space="preserve"> Winsorized mean (a Winsorized mean is regarded as a more robust estimator of the central tendency as it is less sensitive to outliers</w:t>
      </w:r>
      <w:r>
        <w:rPr>
          <w:rFonts w:ascii="Tahoma" w:hAnsi="Tahoma" w:cs="Tahoma"/>
          <w:sz w:val="22"/>
          <w:szCs w:val="22"/>
        </w:rPr>
        <w:t xml:space="preserve"> – see Glossary</w:t>
      </w:r>
      <w:r w:rsidRPr="00430AC9">
        <w:rPr>
          <w:rFonts w:ascii="Tahoma" w:hAnsi="Tahoma" w:cs="Tahoma"/>
          <w:sz w:val="22"/>
          <w:szCs w:val="22"/>
        </w:rPr>
        <w:t>)</w:t>
      </w:r>
      <w:r>
        <w:rPr>
          <w:rFonts w:ascii="Tahoma" w:hAnsi="Tahoma" w:cs="Tahoma"/>
          <w:sz w:val="22"/>
          <w:szCs w:val="22"/>
        </w:rPr>
        <w:t xml:space="preserve"> for </w:t>
      </w:r>
      <w:r w:rsidRPr="00430AC9">
        <w:rPr>
          <w:rFonts w:ascii="Tahoma" w:hAnsi="Tahoma" w:cs="Tahoma"/>
          <w:sz w:val="22"/>
          <w:szCs w:val="22"/>
        </w:rPr>
        <w:t>LTIFR</w:t>
      </w:r>
      <w:r>
        <w:rPr>
          <w:rFonts w:ascii="Tahoma" w:hAnsi="Tahoma" w:cs="Tahoma"/>
          <w:sz w:val="22"/>
          <w:szCs w:val="22"/>
        </w:rPr>
        <w:t xml:space="preserve"> for both scheme and non-scheme projects, improved in the last biannual period.</w:t>
      </w:r>
    </w:p>
    <w:p w:rsidR="00787DF9" w:rsidRDefault="00787DF9" w:rsidP="00787DF9">
      <w:pPr>
        <w:rPr>
          <w:rFonts w:ascii="Tahoma" w:hAnsi="Tahoma" w:cs="Tahoma"/>
          <w:sz w:val="22"/>
          <w:szCs w:val="22"/>
        </w:rPr>
      </w:pPr>
    </w:p>
    <w:p w:rsidR="00787DF9" w:rsidRPr="001614C9" w:rsidRDefault="00787DF9" w:rsidP="00787DF9">
      <w:pPr>
        <w:pStyle w:val="Heading3"/>
        <w:rPr>
          <w:rStyle w:val="Heading3Char"/>
          <w:b/>
          <w:bCs/>
        </w:rPr>
      </w:pPr>
      <w:bookmarkStart w:id="24" w:name="_Toc237832463"/>
      <w:r w:rsidRPr="001614C9">
        <w:rPr>
          <w:rStyle w:val="Heading3Char"/>
          <w:b/>
          <w:bCs/>
        </w:rPr>
        <w:t>Medically Treated Injury Frequency Rate (MTIFR)</w:t>
      </w:r>
      <w:bookmarkEnd w:id="24"/>
    </w:p>
    <w:p w:rsidR="00787DF9" w:rsidRPr="00430AC9" w:rsidRDefault="00787DF9" w:rsidP="00787DF9">
      <w:pPr>
        <w:rPr>
          <w:rFonts w:ascii="Tahoma" w:hAnsi="Tahoma" w:cs="Tahoma"/>
          <w:sz w:val="22"/>
          <w:szCs w:val="22"/>
        </w:rPr>
      </w:pPr>
    </w:p>
    <w:tbl>
      <w:tblPr>
        <w:tblStyle w:val="TableGrid"/>
        <w:tblW w:w="9244" w:type="dxa"/>
        <w:jc w:val="center"/>
        <w:tblLayout w:type="fixed"/>
        <w:tblLook w:val="01E0" w:firstRow="1" w:lastRow="1" w:firstColumn="1" w:lastColumn="1" w:noHBand="0" w:noVBand="0"/>
      </w:tblPr>
      <w:tblGrid>
        <w:gridCol w:w="1588"/>
        <w:gridCol w:w="1276"/>
        <w:gridCol w:w="1276"/>
        <w:gridCol w:w="1276"/>
        <w:gridCol w:w="1276"/>
        <w:gridCol w:w="1276"/>
        <w:gridCol w:w="1276"/>
      </w:tblGrid>
      <w:tr w:rsidR="00787DF9" w:rsidRPr="003F2F98" w:rsidTr="003402FB">
        <w:trPr>
          <w:jc w:val="center"/>
        </w:trPr>
        <w:tc>
          <w:tcPr>
            <w:tcW w:w="1588" w:type="dxa"/>
            <w:noWrap/>
            <w:tcMar>
              <w:left w:w="57" w:type="dxa"/>
              <w:right w:w="57" w:type="dxa"/>
            </w:tcMar>
            <w:vAlign w:val="bottom"/>
          </w:tcPr>
          <w:p w:rsidR="00787DF9" w:rsidRPr="003F2F98" w:rsidRDefault="003402FB" w:rsidP="003402FB">
            <w:pPr>
              <w:jc w:val="center"/>
              <w:rPr>
                <w:rFonts w:ascii="Tahoma" w:hAnsi="Tahoma" w:cs="Tahoma"/>
                <w:b/>
                <w:sz w:val="20"/>
              </w:rPr>
            </w:pPr>
            <w:r>
              <w:rPr>
                <w:rFonts w:ascii="Tahoma" w:hAnsi="Tahoma" w:cs="Tahoma"/>
                <w:b/>
                <w:sz w:val="20"/>
              </w:rPr>
              <w:t>Period</w:t>
            </w:r>
          </w:p>
        </w:tc>
        <w:tc>
          <w:tcPr>
            <w:tcW w:w="1276" w:type="dxa"/>
            <w:noWrap/>
            <w:tcMar>
              <w:left w:w="57" w:type="dxa"/>
              <w:right w:w="57" w:type="dxa"/>
            </w:tcMar>
            <w:vAlign w:val="bottom"/>
          </w:tcPr>
          <w:p w:rsidR="00787DF9" w:rsidRPr="003F2F98" w:rsidRDefault="00787DF9" w:rsidP="003402FB">
            <w:pPr>
              <w:jc w:val="center"/>
              <w:rPr>
                <w:rFonts w:ascii="Tahoma" w:hAnsi="Tahoma" w:cs="Tahoma"/>
                <w:b/>
                <w:sz w:val="20"/>
              </w:rPr>
            </w:pPr>
          </w:p>
          <w:p w:rsidR="00787DF9" w:rsidRPr="003F2F98" w:rsidRDefault="00A60F58" w:rsidP="003402FB">
            <w:pPr>
              <w:jc w:val="center"/>
              <w:rPr>
                <w:rFonts w:ascii="Tahoma" w:hAnsi="Tahoma" w:cs="Tahoma"/>
                <w:b/>
                <w:sz w:val="20"/>
              </w:rPr>
            </w:pPr>
            <w:r w:rsidRPr="00A60F58">
              <w:rPr>
                <w:rFonts w:ascii="Tahoma" w:hAnsi="Tahoma" w:cs="Tahoma"/>
                <w:b/>
                <w:sz w:val="20"/>
              </w:rPr>
              <w:t>MTIFR Median on Scheme projects</w:t>
            </w:r>
          </w:p>
        </w:tc>
        <w:tc>
          <w:tcPr>
            <w:tcW w:w="1276" w:type="dxa"/>
            <w:noWrap/>
            <w:tcMar>
              <w:left w:w="57" w:type="dxa"/>
              <w:right w:w="57" w:type="dxa"/>
            </w:tcMar>
            <w:vAlign w:val="bottom"/>
          </w:tcPr>
          <w:p w:rsidR="00A60F58" w:rsidRPr="00A60F58" w:rsidRDefault="00A60F58" w:rsidP="003402FB">
            <w:pPr>
              <w:jc w:val="center"/>
              <w:rPr>
                <w:rFonts w:ascii="Tahoma" w:hAnsi="Tahoma" w:cs="Tahoma"/>
                <w:b/>
                <w:sz w:val="20"/>
              </w:rPr>
            </w:pPr>
            <w:r w:rsidRPr="00A60F58">
              <w:rPr>
                <w:rFonts w:ascii="Tahoma" w:hAnsi="Tahoma" w:cs="Tahoma"/>
                <w:b/>
                <w:sz w:val="20"/>
              </w:rPr>
              <w:t>MTIFR Arithmetic</w:t>
            </w:r>
          </w:p>
          <w:p w:rsidR="00787DF9" w:rsidRPr="003F2F98" w:rsidRDefault="00A60F58" w:rsidP="003402FB">
            <w:pPr>
              <w:jc w:val="center"/>
              <w:rPr>
                <w:rFonts w:ascii="Tahoma" w:hAnsi="Tahoma" w:cs="Tahoma"/>
                <w:b/>
                <w:sz w:val="20"/>
              </w:rPr>
            </w:pPr>
            <w:r w:rsidRPr="00A60F58">
              <w:rPr>
                <w:rFonts w:ascii="Tahoma" w:hAnsi="Tahoma" w:cs="Tahoma"/>
                <w:b/>
                <w:sz w:val="20"/>
              </w:rPr>
              <w:t>Mean on Scheme projects</w:t>
            </w:r>
          </w:p>
        </w:tc>
        <w:tc>
          <w:tcPr>
            <w:tcW w:w="1276" w:type="dxa"/>
            <w:noWrap/>
            <w:tcMar>
              <w:left w:w="57" w:type="dxa"/>
              <w:right w:w="57" w:type="dxa"/>
            </w:tcMar>
            <w:vAlign w:val="bottom"/>
          </w:tcPr>
          <w:p w:rsidR="00A60F58" w:rsidRPr="00A60F58" w:rsidRDefault="00A60F58" w:rsidP="003402FB">
            <w:pPr>
              <w:jc w:val="center"/>
              <w:rPr>
                <w:rFonts w:ascii="Tahoma" w:hAnsi="Tahoma" w:cs="Tahoma"/>
                <w:b/>
                <w:sz w:val="20"/>
              </w:rPr>
            </w:pPr>
            <w:r w:rsidRPr="00A60F58">
              <w:rPr>
                <w:rFonts w:ascii="Tahoma" w:hAnsi="Tahoma" w:cs="Tahoma"/>
                <w:b/>
                <w:sz w:val="20"/>
              </w:rPr>
              <w:t>MTIFR Winsorized</w:t>
            </w:r>
          </w:p>
          <w:p w:rsidR="00787DF9" w:rsidRPr="003F2F98" w:rsidRDefault="00A60F58" w:rsidP="003402FB">
            <w:pPr>
              <w:jc w:val="center"/>
              <w:rPr>
                <w:rFonts w:ascii="Tahoma" w:hAnsi="Tahoma" w:cs="Tahoma"/>
                <w:b/>
                <w:sz w:val="20"/>
              </w:rPr>
            </w:pPr>
            <w:r w:rsidRPr="00A60F58">
              <w:rPr>
                <w:rFonts w:ascii="Tahoma" w:hAnsi="Tahoma" w:cs="Tahoma"/>
                <w:b/>
                <w:sz w:val="20"/>
              </w:rPr>
              <w:t>Mean on Scheme projects</w:t>
            </w:r>
          </w:p>
        </w:tc>
        <w:tc>
          <w:tcPr>
            <w:tcW w:w="1276" w:type="dxa"/>
            <w:noWrap/>
            <w:tcMar>
              <w:left w:w="57" w:type="dxa"/>
              <w:right w:w="57" w:type="dxa"/>
            </w:tcMar>
            <w:vAlign w:val="bottom"/>
          </w:tcPr>
          <w:p w:rsidR="00787DF9" w:rsidRPr="003F2F98" w:rsidRDefault="00787DF9" w:rsidP="003402FB">
            <w:pPr>
              <w:jc w:val="center"/>
              <w:rPr>
                <w:rFonts w:ascii="Tahoma" w:hAnsi="Tahoma" w:cs="Tahoma"/>
                <w:b/>
                <w:sz w:val="20"/>
              </w:rPr>
            </w:pPr>
          </w:p>
          <w:p w:rsidR="00787DF9" w:rsidRPr="003F2F98" w:rsidRDefault="003402FB" w:rsidP="003402FB">
            <w:pPr>
              <w:jc w:val="center"/>
              <w:rPr>
                <w:rFonts w:ascii="Tahoma" w:hAnsi="Tahoma" w:cs="Tahoma"/>
                <w:b/>
                <w:sz w:val="20"/>
              </w:rPr>
            </w:pPr>
            <w:r w:rsidRPr="003402FB">
              <w:rPr>
                <w:rFonts w:ascii="Tahoma" w:hAnsi="Tahoma" w:cs="Tahoma"/>
                <w:b/>
                <w:sz w:val="20"/>
              </w:rPr>
              <w:t>MTIFR Median on Non-Scheme projects</w:t>
            </w:r>
          </w:p>
        </w:tc>
        <w:tc>
          <w:tcPr>
            <w:tcW w:w="1276" w:type="dxa"/>
            <w:noWrap/>
            <w:tcMar>
              <w:left w:w="57" w:type="dxa"/>
              <w:right w:w="57" w:type="dxa"/>
            </w:tcMar>
            <w:vAlign w:val="bottom"/>
          </w:tcPr>
          <w:p w:rsidR="003402FB" w:rsidRPr="003402FB" w:rsidRDefault="003402FB" w:rsidP="003402FB">
            <w:pPr>
              <w:jc w:val="center"/>
              <w:rPr>
                <w:rFonts w:ascii="Tahoma" w:hAnsi="Tahoma" w:cs="Tahoma"/>
                <w:b/>
                <w:sz w:val="20"/>
              </w:rPr>
            </w:pPr>
            <w:r w:rsidRPr="003402FB">
              <w:rPr>
                <w:rFonts w:ascii="Tahoma" w:hAnsi="Tahoma" w:cs="Tahoma"/>
                <w:b/>
                <w:sz w:val="20"/>
              </w:rPr>
              <w:t>MTIFR Arithmetic</w:t>
            </w:r>
          </w:p>
          <w:p w:rsidR="00787DF9" w:rsidRPr="003F2F98" w:rsidRDefault="003402FB" w:rsidP="003402FB">
            <w:pPr>
              <w:jc w:val="center"/>
              <w:rPr>
                <w:rFonts w:ascii="Tahoma" w:hAnsi="Tahoma" w:cs="Tahoma"/>
                <w:b/>
                <w:sz w:val="20"/>
              </w:rPr>
            </w:pPr>
            <w:r w:rsidRPr="003402FB">
              <w:rPr>
                <w:rFonts w:ascii="Tahoma" w:hAnsi="Tahoma" w:cs="Tahoma"/>
                <w:b/>
                <w:sz w:val="20"/>
              </w:rPr>
              <w:t>Mean on Non-Scheme projects</w:t>
            </w:r>
          </w:p>
        </w:tc>
        <w:tc>
          <w:tcPr>
            <w:tcW w:w="1276" w:type="dxa"/>
            <w:noWrap/>
            <w:tcMar>
              <w:left w:w="57" w:type="dxa"/>
              <w:right w:w="57" w:type="dxa"/>
            </w:tcMar>
            <w:vAlign w:val="bottom"/>
          </w:tcPr>
          <w:p w:rsidR="003402FB" w:rsidRPr="003402FB" w:rsidRDefault="003402FB" w:rsidP="003402FB">
            <w:pPr>
              <w:jc w:val="center"/>
              <w:rPr>
                <w:rFonts w:ascii="Tahoma" w:hAnsi="Tahoma" w:cs="Tahoma"/>
                <w:b/>
                <w:sz w:val="20"/>
              </w:rPr>
            </w:pPr>
            <w:r w:rsidRPr="003402FB">
              <w:rPr>
                <w:rFonts w:ascii="Tahoma" w:hAnsi="Tahoma" w:cs="Tahoma"/>
                <w:b/>
                <w:sz w:val="20"/>
              </w:rPr>
              <w:t>MTIFR Winsorized</w:t>
            </w:r>
          </w:p>
          <w:p w:rsidR="00787DF9" w:rsidRPr="003F2F98" w:rsidRDefault="003402FB" w:rsidP="003402FB">
            <w:pPr>
              <w:jc w:val="center"/>
              <w:rPr>
                <w:rFonts w:ascii="Tahoma" w:hAnsi="Tahoma" w:cs="Tahoma"/>
                <w:b/>
                <w:sz w:val="20"/>
              </w:rPr>
            </w:pPr>
            <w:r w:rsidRPr="003402FB">
              <w:rPr>
                <w:rFonts w:ascii="Tahoma" w:hAnsi="Tahoma" w:cs="Tahoma"/>
                <w:b/>
                <w:sz w:val="20"/>
              </w:rPr>
              <w:t>Mean on Non-Scheme projects</w:t>
            </w:r>
          </w:p>
        </w:tc>
      </w:tr>
      <w:tr w:rsidR="00787DF9" w:rsidRPr="003F2F98" w:rsidTr="003402FB">
        <w:trPr>
          <w:jc w:val="center"/>
        </w:trPr>
        <w:tc>
          <w:tcPr>
            <w:tcW w:w="1588" w:type="dxa"/>
            <w:noWrap/>
            <w:tcMar>
              <w:left w:w="57" w:type="dxa"/>
              <w:right w:w="57" w:type="dxa"/>
            </w:tcMar>
            <w:vAlign w:val="bottom"/>
          </w:tcPr>
          <w:p w:rsidR="00787DF9" w:rsidRPr="003F2F98" w:rsidRDefault="00787DF9" w:rsidP="00787DF9">
            <w:pPr>
              <w:spacing w:before="20" w:after="20"/>
              <w:jc w:val="center"/>
              <w:rPr>
                <w:rFonts w:ascii="Tahoma" w:hAnsi="Tahoma" w:cs="Tahoma"/>
                <w:sz w:val="20"/>
              </w:rPr>
            </w:pPr>
            <w:r w:rsidRPr="003F2F98">
              <w:rPr>
                <w:rFonts w:ascii="Tahoma" w:hAnsi="Tahoma" w:cs="Tahoma"/>
                <w:sz w:val="20"/>
              </w:rPr>
              <w:t>Jul to Dec 2007</w:t>
            </w:r>
          </w:p>
        </w:tc>
        <w:tc>
          <w:tcPr>
            <w:tcW w:w="1276" w:type="dxa"/>
            <w:noWrap/>
            <w:tcMar>
              <w:left w:w="57" w:type="dxa"/>
              <w:right w:w="57" w:type="dxa"/>
            </w:tcMar>
            <w:vAlign w:val="bottom"/>
          </w:tcPr>
          <w:p w:rsidR="00787DF9" w:rsidRPr="003F2F98" w:rsidRDefault="00787DF9" w:rsidP="00787DF9">
            <w:pPr>
              <w:spacing w:before="20" w:after="20"/>
              <w:jc w:val="center"/>
              <w:rPr>
                <w:rFonts w:ascii="Tahoma" w:hAnsi="Tahoma" w:cs="Tahoma"/>
                <w:sz w:val="20"/>
              </w:rPr>
            </w:pPr>
            <w:r>
              <w:rPr>
                <w:rFonts w:ascii="Tahoma" w:hAnsi="Tahoma" w:cs="Tahoma"/>
                <w:sz w:val="20"/>
              </w:rPr>
              <w:t>1.75</w:t>
            </w:r>
          </w:p>
        </w:tc>
        <w:tc>
          <w:tcPr>
            <w:tcW w:w="1276" w:type="dxa"/>
            <w:noWrap/>
            <w:tcMar>
              <w:left w:w="57" w:type="dxa"/>
              <w:right w:w="57" w:type="dxa"/>
            </w:tcMar>
            <w:vAlign w:val="bottom"/>
          </w:tcPr>
          <w:p w:rsidR="00787DF9" w:rsidRPr="00341CD4" w:rsidRDefault="00787DF9" w:rsidP="00787DF9">
            <w:pPr>
              <w:spacing w:before="20" w:after="20"/>
              <w:jc w:val="center"/>
              <w:rPr>
                <w:rFonts w:ascii="Tahoma" w:hAnsi="Tahoma" w:cs="Tahoma"/>
                <w:sz w:val="20"/>
              </w:rPr>
            </w:pPr>
            <w:r>
              <w:rPr>
                <w:rFonts w:ascii="Tahoma" w:hAnsi="Tahoma" w:cs="Tahoma"/>
                <w:sz w:val="20"/>
              </w:rPr>
              <w:t>12.57</w:t>
            </w:r>
          </w:p>
        </w:tc>
        <w:tc>
          <w:tcPr>
            <w:tcW w:w="1276" w:type="dxa"/>
            <w:noWrap/>
            <w:tcMar>
              <w:left w:w="57" w:type="dxa"/>
              <w:right w:w="57" w:type="dxa"/>
            </w:tcMar>
          </w:tcPr>
          <w:p w:rsidR="00787DF9" w:rsidRPr="003F2F98" w:rsidRDefault="00787DF9" w:rsidP="00787DF9">
            <w:pPr>
              <w:jc w:val="center"/>
              <w:rPr>
                <w:rFonts w:ascii="Tahoma" w:hAnsi="Tahoma" w:cs="Tahoma"/>
                <w:sz w:val="20"/>
              </w:rPr>
            </w:pPr>
            <w:r>
              <w:rPr>
                <w:rFonts w:ascii="Tahoma" w:hAnsi="Tahoma" w:cs="Tahoma"/>
                <w:sz w:val="20"/>
              </w:rPr>
              <w:t>9.53</w:t>
            </w:r>
          </w:p>
        </w:tc>
        <w:tc>
          <w:tcPr>
            <w:tcW w:w="1276" w:type="dxa"/>
            <w:noWrap/>
            <w:tcMar>
              <w:left w:w="57" w:type="dxa"/>
              <w:right w:w="57" w:type="dxa"/>
            </w:tcMar>
            <w:vAlign w:val="bottom"/>
          </w:tcPr>
          <w:p w:rsidR="00787DF9" w:rsidRPr="00341CD4" w:rsidRDefault="00787DF9" w:rsidP="00787DF9">
            <w:pPr>
              <w:spacing w:before="20" w:after="20"/>
              <w:jc w:val="center"/>
              <w:rPr>
                <w:rFonts w:ascii="Tahoma" w:hAnsi="Tahoma" w:cs="Tahoma"/>
                <w:sz w:val="20"/>
              </w:rPr>
            </w:pPr>
            <w:r>
              <w:rPr>
                <w:rFonts w:ascii="Tahoma" w:hAnsi="Tahoma" w:cs="Tahoma"/>
                <w:sz w:val="20"/>
              </w:rPr>
              <w:t>21.44</w:t>
            </w:r>
          </w:p>
        </w:tc>
        <w:tc>
          <w:tcPr>
            <w:tcW w:w="1276" w:type="dxa"/>
            <w:noWrap/>
            <w:tcMar>
              <w:left w:w="57" w:type="dxa"/>
              <w:right w:w="57" w:type="dxa"/>
            </w:tcMar>
            <w:vAlign w:val="bottom"/>
          </w:tcPr>
          <w:p w:rsidR="00787DF9" w:rsidRPr="00341CD4" w:rsidRDefault="00787DF9" w:rsidP="00787DF9">
            <w:pPr>
              <w:spacing w:before="20" w:after="20"/>
              <w:jc w:val="center"/>
              <w:rPr>
                <w:rFonts w:ascii="Tahoma" w:hAnsi="Tahoma" w:cs="Tahoma"/>
                <w:sz w:val="20"/>
              </w:rPr>
            </w:pPr>
            <w:r>
              <w:rPr>
                <w:rFonts w:ascii="Tahoma" w:hAnsi="Tahoma" w:cs="Tahoma"/>
                <w:sz w:val="20"/>
              </w:rPr>
              <w:t>53.47</w:t>
            </w:r>
          </w:p>
        </w:tc>
        <w:tc>
          <w:tcPr>
            <w:tcW w:w="1276" w:type="dxa"/>
            <w:noWrap/>
            <w:tcMar>
              <w:left w:w="57" w:type="dxa"/>
              <w:right w:w="57" w:type="dxa"/>
            </w:tcMar>
          </w:tcPr>
          <w:p w:rsidR="00787DF9" w:rsidRPr="003F2F98" w:rsidRDefault="00787DF9" w:rsidP="00787DF9">
            <w:pPr>
              <w:jc w:val="center"/>
              <w:rPr>
                <w:rFonts w:ascii="Tahoma" w:hAnsi="Tahoma" w:cs="Tahoma"/>
                <w:sz w:val="20"/>
              </w:rPr>
            </w:pPr>
            <w:r>
              <w:rPr>
                <w:rFonts w:ascii="Tahoma" w:hAnsi="Tahoma" w:cs="Tahoma"/>
                <w:sz w:val="20"/>
              </w:rPr>
              <w:t>23.32</w:t>
            </w:r>
          </w:p>
        </w:tc>
      </w:tr>
      <w:tr w:rsidR="00787DF9" w:rsidRPr="003F2F98" w:rsidTr="003402FB">
        <w:trPr>
          <w:jc w:val="center"/>
        </w:trPr>
        <w:tc>
          <w:tcPr>
            <w:tcW w:w="1588" w:type="dxa"/>
            <w:noWrap/>
            <w:tcMar>
              <w:left w:w="57" w:type="dxa"/>
              <w:right w:w="57" w:type="dxa"/>
            </w:tcMar>
            <w:vAlign w:val="bottom"/>
          </w:tcPr>
          <w:p w:rsidR="00787DF9" w:rsidRPr="003F2F98" w:rsidRDefault="00787DF9" w:rsidP="00787DF9">
            <w:pPr>
              <w:spacing w:before="20" w:after="20"/>
              <w:jc w:val="center"/>
              <w:rPr>
                <w:rFonts w:ascii="Tahoma" w:hAnsi="Tahoma" w:cs="Tahoma"/>
                <w:sz w:val="20"/>
              </w:rPr>
            </w:pPr>
            <w:r w:rsidRPr="003F2F98">
              <w:rPr>
                <w:rFonts w:ascii="Tahoma" w:hAnsi="Tahoma" w:cs="Tahoma"/>
                <w:sz w:val="20"/>
              </w:rPr>
              <w:t>Jan to Jun 2008</w:t>
            </w:r>
          </w:p>
        </w:tc>
        <w:tc>
          <w:tcPr>
            <w:tcW w:w="1276" w:type="dxa"/>
            <w:noWrap/>
            <w:tcMar>
              <w:left w:w="57" w:type="dxa"/>
              <w:right w:w="57" w:type="dxa"/>
            </w:tcMar>
            <w:vAlign w:val="bottom"/>
          </w:tcPr>
          <w:p w:rsidR="00787DF9" w:rsidRPr="003F2F98" w:rsidRDefault="00787DF9" w:rsidP="00787DF9">
            <w:pPr>
              <w:spacing w:before="20" w:after="20"/>
              <w:jc w:val="center"/>
              <w:rPr>
                <w:rFonts w:ascii="Tahoma" w:hAnsi="Tahoma" w:cs="Tahoma"/>
                <w:sz w:val="20"/>
              </w:rPr>
            </w:pPr>
            <w:r w:rsidRPr="003F2F98">
              <w:rPr>
                <w:rFonts w:ascii="Tahoma" w:hAnsi="Tahoma" w:cs="Tahoma"/>
                <w:sz w:val="20"/>
              </w:rPr>
              <w:t>0</w:t>
            </w:r>
            <w:r>
              <w:rPr>
                <w:rFonts w:ascii="Tahoma" w:hAnsi="Tahoma" w:cs="Tahoma"/>
                <w:sz w:val="20"/>
              </w:rPr>
              <w:t>.00</w:t>
            </w:r>
          </w:p>
        </w:tc>
        <w:tc>
          <w:tcPr>
            <w:tcW w:w="1276" w:type="dxa"/>
            <w:noWrap/>
            <w:tcMar>
              <w:left w:w="57" w:type="dxa"/>
              <w:right w:w="57" w:type="dxa"/>
            </w:tcMar>
            <w:vAlign w:val="bottom"/>
          </w:tcPr>
          <w:p w:rsidR="00787DF9" w:rsidRPr="00341CD4" w:rsidRDefault="00787DF9" w:rsidP="00787DF9">
            <w:pPr>
              <w:spacing w:before="20" w:after="20"/>
              <w:jc w:val="center"/>
              <w:rPr>
                <w:rFonts w:ascii="Tahoma" w:hAnsi="Tahoma" w:cs="Tahoma"/>
                <w:sz w:val="20"/>
              </w:rPr>
            </w:pPr>
            <w:r>
              <w:rPr>
                <w:rFonts w:ascii="Tahoma" w:hAnsi="Tahoma" w:cs="Tahoma"/>
                <w:sz w:val="20"/>
              </w:rPr>
              <w:t>18.65</w:t>
            </w:r>
          </w:p>
        </w:tc>
        <w:tc>
          <w:tcPr>
            <w:tcW w:w="1276" w:type="dxa"/>
            <w:noWrap/>
            <w:tcMar>
              <w:left w:w="57" w:type="dxa"/>
              <w:right w:w="57" w:type="dxa"/>
            </w:tcMar>
          </w:tcPr>
          <w:p w:rsidR="00787DF9" w:rsidRPr="003F2F98" w:rsidRDefault="00787DF9" w:rsidP="00787DF9">
            <w:pPr>
              <w:jc w:val="center"/>
              <w:rPr>
                <w:rFonts w:ascii="Tahoma" w:hAnsi="Tahoma" w:cs="Tahoma"/>
                <w:sz w:val="20"/>
              </w:rPr>
            </w:pPr>
            <w:r>
              <w:rPr>
                <w:rFonts w:ascii="Tahoma" w:hAnsi="Tahoma" w:cs="Tahoma"/>
                <w:sz w:val="20"/>
              </w:rPr>
              <w:t>16.29</w:t>
            </w:r>
          </w:p>
        </w:tc>
        <w:tc>
          <w:tcPr>
            <w:tcW w:w="1276" w:type="dxa"/>
            <w:noWrap/>
            <w:tcMar>
              <w:left w:w="57" w:type="dxa"/>
              <w:right w:w="57" w:type="dxa"/>
            </w:tcMar>
            <w:vAlign w:val="bottom"/>
          </w:tcPr>
          <w:p w:rsidR="00787DF9" w:rsidRPr="00341CD4" w:rsidRDefault="00787DF9" w:rsidP="00787DF9">
            <w:pPr>
              <w:spacing w:before="20" w:after="20"/>
              <w:jc w:val="center"/>
              <w:rPr>
                <w:rFonts w:ascii="Tahoma" w:hAnsi="Tahoma" w:cs="Tahoma"/>
                <w:sz w:val="20"/>
              </w:rPr>
            </w:pPr>
            <w:r>
              <w:rPr>
                <w:rFonts w:ascii="Tahoma" w:hAnsi="Tahoma" w:cs="Tahoma"/>
                <w:sz w:val="20"/>
              </w:rPr>
              <w:t>19.42</w:t>
            </w:r>
          </w:p>
        </w:tc>
        <w:tc>
          <w:tcPr>
            <w:tcW w:w="1276" w:type="dxa"/>
            <w:noWrap/>
            <w:tcMar>
              <w:left w:w="57" w:type="dxa"/>
              <w:right w:w="57" w:type="dxa"/>
            </w:tcMar>
            <w:vAlign w:val="bottom"/>
          </w:tcPr>
          <w:p w:rsidR="00787DF9" w:rsidRPr="00341CD4" w:rsidRDefault="00787DF9" w:rsidP="00787DF9">
            <w:pPr>
              <w:spacing w:before="20" w:after="20"/>
              <w:jc w:val="center"/>
              <w:rPr>
                <w:rFonts w:ascii="Tahoma" w:hAnsi="Tahoma" w:cs="Tahoma"/>
                <w:sz w:val="20"/>
              </w:rPr>
            </w:pPr>
            <w:r>
              <w:rPr>
                <w:rFonts w:ascii="Tahoma" w:hAnsi="Tahoma" w:cs="Tahoma"/>
                <w:sz w:val="20"/>
              </w:rPr>
              <w:t>30.10</w:t>
            </w:r>
          </w:p>
        </w:tc>
        <w:tc>
          <w:tcPr>
            <w:tcW w:w="1276" w:type="dxa"/>
            <w:noWrap/>
            <w:tcMar>
              <w:left w:w="57" w:type="dxa"/>
              <w:right w:w="57" w:type="dxa"/>
            </w:tcMar>
          </w:tcPr>
          <w:p w:rsidR="00787DF9" w:rsidRPr="003F2F98" w:rsidRDefault="00787DF9" w:rsidP="00787DF9">
            <w:pPr>
              <w:jc w:val="center"/>
              <w:rPr>
                <w:rFonts w:ascii="Tahoma" w:hAnsi="Tahoma" w:cs="Tahoma"/>
                <w:sz w:val="20"/>
              </w:rPr>
            </w:pPr>
            <w:r>
              <w:rPr>
                <w:rFonts w:ascii="Tahoma" w:hAnsi="Tahoma" w:cs="Tahoma"/>
                <w:sz w:val="20"/>
              </w:rPr>
              <w:t>24.36</w:t>
            </w:r>
          </w:p>
        </w:tc>
      </w:tr>
      <w:tr w:rsidR="00787DF9" w:rsidRPr="003F2F98" w:rsidTr="003402FB">
        <w:trPr>
          <w:jc w:val="center"/>
        </w:trPr>
        <w:tc>
          <w:tcPr>
            <w:tcW w:w="1588" w:type="dxa"/>
            <w:noWrap/>
            <w:tcMar>
              <w:left w:w="57" w:type="dxa"/>
              <w:right w:w="57" w:type="dxa"/>
            </w:tcMar>
            <w:vAlign w:val="bottom"/>
          </w:tcPr>
          <w:p w:rsidR="00787DF9" w:rsidRPr="003F2F98" w:rsidRDefault="00787DF9" w:rsidP="00787DF9">
            <w:pPr>
              <w:spacing w:before="20" w:after="20"/>
              <w:jc w:val="center"/>
              <w:rPr>
                <w:rFonts w:ascii="Tahoma" w:hAnsi="Tahoma" w:cs="Tahoma"/>
                <w:sz w:val="20"/>
              </w:rPr>
            </w:pPr>
            <w:r w:rsidRPr="003F2F98">
              <w:rPr>
                <w:rFonts w:ascii="Tahoma" w:hAnsi="Tahoma" w:cs="Tahoma"/>
                <w:sz w:val="20"/>
              </w:rPr>
              <w:t>Jul to Dec 2008</w:t>
            </w:r>
          </w:p>
        </w:tc>
        <w:tc>
          <w:tcPr>
            <w:tcW w:w="1276" w:type="dxa"/>
            <w:noWrap/>
            <w:tcMar>
              <w:left w:w="57" w:type="dxa"/>
              <w:right w:w="57" w:type="dxa"/>
            </w:tcMar>
            <w:vAlign w:val="bottom"/>
          </w:tcPr>
          <w:p w:rsidR="00787DF9" w:rsidRPr="003F2F98" w:rsidRDefault="00787DF9" w:rsidP="00787DF9">
            <w:pPr>
              <w:spacing w:before="20" w:after="20"/>
              <w:jc w:val="center"/>
              <w:rPr>
                <w:rFonts w:ascii="Tahoma" w:hAnsi="Tahoma" w:cs="Tahoma"/>
                <w:sz w:val="20"/>
              </w:rPr>
            </w:pPr>
            <w:r>
              <w:rPr>
                <w:rFonts w:ascii="Tahoma" w:hAnsi="Tahoma" w:cs="Tahoma"/>
                <w:sz w:val="20"/>
              </w:rPr>
              <w:t>2.78</w:t>
            </w:r>
          </w:p>
        </w:tc>
        <w:tc>
          <w:tcPr>
            <w:tcW w:w="1276" w:type="dxa"/>
            <w:noWrap/>
            <w:tcMar>
              <w:left w:w="57" w:type="dxa"/>
              <w:right w:w="57" w:type="dxa"/>
            </w:tcMar>
            <w:vAlign w:val="bottom"/>
          </w:tcPr>
          <w:p w:rsidR="00787DF9" w:rsidRPr="00341CD4" w:rsidRDefault="00787DF9" w:rsidP="00787DF9">
            <w:pPr>
              <w:spacing w:before="20" w:after="20"/>
              <w:jc w:val="center"/>
              <w:rPr>
                <w:rFonts w:ascii="Tahoma" w:hAnsi="Tahoma" w:cs="Tahoma"/>
                <w:sz w:val="20"/>
              </w:rPr>
            </w:pPr>
            <w:r>
              <w:rPr>
                <w:rFonts w:ascii="Tahoma" w:hAnsi="Tahoma" w:cs="Tahoma"/>
                <w:sz w:val="20"/>
              </w:rPr>
              <w:t>21.79</w:t>
            </w:r>
          </w:p>
        </w:tc>
        <w:tc>
          <w:tcPr>
            <w:tcW w:w="1276" w:type="dxa"/>
            <w:noWrap/>
            <w:tcMar>
              <w:left w:w="57" w:type="dxa"/>
              <w:right w:w="57" w:type="dxa"/>
            </w:tcMar>
          </w:tcPr>
          <w:p w:rsidR="00787DF9" w:rsidRPr="003F2F98" w:rsidRDefault="00787DF9" w:rsidP="00787DF9">
            <w:pPr>
              <w:jc w:val="center"/>
              <w:rPr>
                <w:rFonts w:ascii="Tahoma" w:hAnsi="Tahoma" w:cs="Tahoma"/>
                <w:sz w:val="20"/>
              </w:rPr>
            </w:pPr>
            <w:r>
              <w:rPr>
                <w:rFonts w:ascii="Tahoma" w:hAnsi="Tahoma" w:cs="Tahoma"/>
                <w:sz w:val="20"/>
              </w:rPr>
              <w:t>14.50</w:t>
            </w:r>
          </w:p>
        </w:tc>
        <w:tc>
          <w:tcPr>
            <w:tcW w:w="1276" w:type="dxa"/>
            <w:noWrap/>
            <w:tcMar>
              <w:left w:w="57" w:type="dxa"/>
              <w:right w:w="57" w:type="dxa"/>
            </w:tcMar>
            <w:vAlign w:val="bottom"/>
          </w:tcPr>
          <w:p w:rsidR="00787DF9" w:rsidRPr="00341CD4" w:rsidRDefault="00787DF9" w:rsidP="00787DF9">
            <w:pPr>
              <w:spacing w:before="20" w:after="20"/>
              <w:jc w:val="center"/>
              <w:rPr>
                <w:rFonts w:ascii="Tahoma" w:hAnsi="Tahoma" w:cs="Tahoma"/>
                <w:sz w:val="20"/>
              </w:rPr>
            </w:pPr>
            <w:r>
              <w:rPr>
                <w:rFonts w:ascii="Tahoma" w:hAnsi="Tahoma" w:cs="Tahoma"/>
                <w:sz w:val="20"/>
              </w:rPr>
              <w:t>13.18</w:t>
            </w:r>
          </w:p>
        </w:tc>
        <w:tc>
          <w:tcPr>
            <w:tcW w:w="1276" w:type="dxa"/>
            <w:noWrap/>
            <w:tcMar>
              <w:left w:w="57" w:type="dxa"/>
              <w:right w:w="57" w:type="dxa"/>
            </w:tcMar>
            <w:vAlign w:val="bottom"/>
          </w:tcPr>
          <w:p w:rsidR="00787DF9" w:rsidRPr="00341CD4" w:rsidRDefault="00787DF9" w:rsidP="00787DF9">
            <w:pPr>
              <w:spacing w:before="20" w:after="20"/>
              <w:jc w:val="center"/>
              <w:rPr>
                <w:rFonts w:ascii="Tahoma" w:hAnsi="Tahoma" w:cs="Tahoma"/>
                <w:sz w:val="20"/>
              </w:rPr>
            </w:pPr>
            <w:r>
              <w:rPr>
                <w:rFonts w:ascii="Tahoma" w:hAnsi="Tahoma" w:cs="Tahoma"/>
                <w:sz w:val="20"/>
              </w:rPr>
              <w:t>21.10</w:t>
            </w:r>
          </w:p>
        </w:tc>
        <w:tc>
          <w:tcPr>
            <w:tcW w:w="1276" w:type="dxa"/>
            <w:noWrap/>
            <w:tcMar>
              <w:left w:w="57" w:type="dxa"/>
              <w:right w:w="57" w:type="dxa"/>
            </w:tcMar>
          </w:tcPr>
          <w:p w:rsidR="00787DF9" w:rsidRPr="003F2F98" w:rsidRDefault="00787DF9" w:rsidP="00787DF9">
            <w:pPr>
              <w:jc w:val="center"/>
              <w:rPr>
                <w:rFonts w:ascii="Tahoma" w:hAnsi="Tahoma" w:cs="Tahoma"/>
                <w:sz w:val="20"/>
              </w:rPr>
            </w:pPr>
            <w:r>
              <w:rPr>
                <w:rFonts w:ascii="Tahoma" w:hAnsi="Tahoma" w:cs="Tahoma"/>
                <w:sz w:val="20"/>
              </w:rPr>
              <w:t>16.67</w:t>
            </w:r>
          </w:p>
        </w:tc>
      </w:tr>
    </w:tbl>
    <w:p w:rsidR="00787DF9" w:rsidRDefault="00787DF9" w:rsidP="00787DF9">
      <w:pPr>
        <w:rPr>
          <w:rFonts w:ascii="Tahoma" w:hAnsi="Tahoma" w:cs="Tahoma"/>
          <w:sz w:val="22"/>
          <w:szCs w:val="22"/>
        </w:rPr>
      </w:pPr>
    </w:p>
    <w:p w:rsidR="00787DF9" w:rsidRDefault="00787DF9" w:rsidP="00787DF9">
      <w:pPr>
        <w:numPr>
          <w:ilvl w:val="0"/>
          <w:numId w:val="10"/>
        </w:numPr>
        <w:rPr>
          <w:rFonts w:ascii="Tahoma" w:hAnsi="Tahoma" w:cs="Tahoma"/>
          <w:sz w:val="22"/>
          <w:szCs w:val="22"/>
        </w:rPr>
      </w:pPr>
      <w:r>
        <w:rPr>
          <w:rFonts w:ascii="Tahoma" w:hAnsi="Tahoma" w:cs="Tahoma"/>
          <w:sz w:val="22"/>
          <w:szCs w:val="22"/>
        </w:rPr>
        <w:t>For each of the three reporting periods, around half of the accredited contractors reported no MTI’s for Scheme projects, while around one quarter of accredited contractors reported no MTI’s for non-Scheme projects.</w:t>
      </w:r>
    </w:p>
    <w:p w:rsidR="00787DF9" w:rsidRDefault="00787DF9" w:rsidP="00787DF9">
      <w:pPr>
        <w:ind w:left="360"/>
        <w:rPr>
          <w:rFonts w:ascii="Tahoma" w:hAnsi="Tahoma" w:cs="Tahoma"/>
          <w:sz w:val="22"/>
          <w:szCs w:val="22"/>
        </w:rPr>
      </w:pPr>
    </w:p>
    <w:p w:rsidR="00787DF9" w:rsidRPr="00A93138" w:rsidRDefault="00787DF9" w:rsidP="00787DF9">
      <w:pPr>
        <w:numPr>
          <w:ilvl w:val="0"/>
          <w:numId w:val="10"/>
        </w:numPr>
        <w:rPr>
          <w:rFonts w:ascii="Tahoma" w:hAnsi="Tahoma" w:cs="Tahoma"/>
          <w:sz w:val="22"/>
          <w:szCs w:val="22"/>
        </w:rPr>
      </w:pPr>
      <w:r w:rsidRPr="00A93138">
        <w:rPr>
          <w:rFonts w:ascii="Tahoma" w:hAnsi="Tahoma" w:cs="Tahoma"/>
          <w:sz w:val="22"/>
          <w:szCs w:val="22"/>
        </w:rPr>
        <w:t>For both Scheme and non-Scheme projects there were extreme MTIFR values which suggest these observations could be treated as outliers.</w:t>
      </w:r>
    </w:p>
    <w:p w:rsidR="00787DF9" w:rsidRPr="00A93138" w:rsidRDefault="00787DF9" w:rsidP="00787DF9">
      <w:pPr>
        <w:rPr>
          <w:rFonts w:ascii="Tahoma" w:hAnsi="Tahoma" w:cs="Tahoma"/>
          <w:sz w:val="22"/>
          <w:szCs w:val="22"/>
        </w:rPr>
      </w:pPr>
    </w:p>
    <w:p w:rsidR="00787DF9" w:rsidRPr="00787DF9" w:rsidRDefault="00787DF9" w:rsidP="00787DF9">
      <w:pPr>
        <w:numPr>
          <w:ilvl w:val="0"/>
          <w:numId w:val="10"/>
        </w:numPr>
        <w:rPr>
          <w:rFonts w:ascii="Tahoma" w:hAnsi="Tahoma" w:cs="Tahoma"/>
          <w:sz w:val="22"/>
          <w:szCs w:val="22"/>
        </w:rPr>
      </w:pPr>
      <w:r w:rsidRPr="00A93138">
        <w:rPr>
          <w:rFonts w:ascii="Tahoma" w:hAnsi="Tahoma" w:cs="Tahoma"/>
          <w:sz w:val="22"/>
          <w:szCs w:val="22"/>
        </w:rPr>
        <w:t>The 90 per cent Winsorized mean (a Winsorized mean is regarded as a more robust estimator of the central tendency as it is less sensitive to outliers – see Glossary) for MTIFR for both scheme and non-scheme projects, improved in the last biannual period</w:t>
      </w:r>
      <w:r>
        <w:t>.</w:t>
      </w:r>
    </w:p>
    <w:p w:rsidR="00787DF9" w:rsidRPr="00951098" w:rsidRDefault="00787DF9" w:rsidP="00787DF9">
      <w:pPr>
        <w:pStyle w:val="Heading2"/>
      </w:pPr>
      <w:bookmarkStart w:id="25" w:name="_Toc237832464"/>
      <w:r w:rsidRPr="00951098">
        <w:t>Fatalities</w:t>
      </w:r>
      <w:bookmarkEnd w:id="25"/>
    </w:p>
    <w:p w:rsidR="00787DF9" w:rsidRDefault="00787DF9" w:rsidP="00787DF9">
      <w:pPr>
        <w:outlineLvl w:val="1"/>
        <w:rPr>
          <w:rFonts w:ascii="Tahoma" w:hAnsi="Tahoma" w:cs="Tahoma"/>
          <w:sz w:val="22"/>
          <w:szCs w:val="22"/>
        </w:rPr>
      </w:pPr>
    </w:p>
    <w:tbl>
      <w:tblPr>
        <w:tblStyle w:val="TableGrid"/>
        <w:tblW w:w="9187" w:type="dxa"/>
        <w:jc w:val="center"/>
        <w:tblLayout w:type="fixed"/>
        <w:tblCellMar>
          <w:left w:w="57" w:type="dxa"/>
          <w:right w:w="57" w:type="dxa"/>
        </w:tblCellMar>
        <w:tblLook w:val="01E0" w:firstRow="1" w:lastRow="1" w:firstColumn="1" w:lastColumn="1" w:noHBand="0" w:noVBand="0"/>
      </w:tblPr>
      <w:tblGrid>
        <w:gridCol w:w="2041"/>
        <w:gridCol w:w="1191"/>
        <w:gridCol w:w="1191"/>
        <w:gridCol w:w="1191"/>
        <w:gridCol w:w="1344"/>
        <w:gridCol w:w="1038"/>
        <w:gridCol w:w="1191"/>
      </w:tblGrid>
      <w:tr w:rsidR="00787DF9" w:rsidRPr="00341CD4" w:rsidTr="00E16C87">
        <w:trPr>
          <w:jc w:val="center"/>
        </w:trPr>
        <w:tc>
          <w:tcPr>
            <w:tcW w:w="2041" w:type="dxa"/>
            <w:vAlign w:val="bottom"/>
          </w:tcPr>
          <w:p w:rsidR="00787DF9" w:rsidRPr="00341CD4" w:rsidRDefault="00787DF9" w:rsidP="00787DF9">
            <w:pPr>
              <w:spacing w:before="20" w:after="20"/>
              <w:jc w:val="center"/>
              <w:rPr>
                <w:rFonts w:ascii="Tahoma" w:hAnsi="Tahoma" w:cs="Tahoma"/>
                <w:b/>
                <w:sz w:val="20"/>
              </w:rPr>
            </w:pPr>
            <w:r w:rsidRPr="00341CD4">
              <w:rPr>
                <w:rFonts w:ascii="Tahoma" w:hAnsi="Tahoma" w:cs="Tahoma"/>
                <w:b/>
                <w:sz w:val="20"/>
              </w:rPr>
              <w:t>Period</w:t>
            </w:r>
          </w:p>
        </w:tc>
        <w:tc>
          <w:tcPr>
            <w:tcW w:w="1191" w:type="dxa"/>
            <w:vAlign w:val="bottom"/>
          </w:tcPr>
          <w:p w:rsidR="003402FB" w:rsidRPr="003402FB" w:rsidRDefault="003402FB" w:rsidP="003402FB">
            <w:pPr>
              <w:spacing w:before="20" w:after="20"/>
              <w:jc w:val="center"/>
              <w:rPr>
                <w:rFonts w:ascii="Tahoma" w:hAnsi="Tahoma" w:cs="Tahoma"/>
                <w:b/>
                <w:sz w:val="20"/>
              </w:rPr>
            </w:pPr>
            <w:r w:rsidRPr="003402FB">
              <w:rPr>
                <w:rFonts w:ascii="Tahoma" w:hAnsi="Tahoma" w:cs="Tahoma"/>
                <w:b/>
                <w:sz w:val="20"/>
              </w:rPr>
              <w:t>Number of Fatalities</w:t>
            </w:r>
          </w:p>
          <w:p w:rsidR="00787DF9" w:rsidRPr="00341CD4" w:rsidRDefault="003402FB" w:rsidP="003402FB">
            <w:pPr>
              <w:spacing w:before="20" w:after="20"/>
              <w:jc w:val="center"/>
              <w:rPr>
                <w:rFonts w:ascii="Tahoma" w:hAnsi="Tahoma" w:cs="Tahoma"/>
                <w:b/>
                <w:sz w:val="20"/>
              </w:rPr>
            </w:pPr>
            <w:r w:rsidRPr="003402FB">
              <w:rPr>
                <w:rFonts w:ascii="Tahoma" w:hAnsi="Tahoma" w:cs="Tahoma"/>
                <w:b/>
                <w:sz w:val="20"/>
              </w:rPr>
              <w:t>on Scheme projects</w:t>
            </w:r>
            <w:r>
              <w:rPr>
                <w:rFonts w:ascii="Tahoma" w:hAnsi="Tahoma" w:cs="Tahoma"/>
                <w:b/>
                <w:sz w:val="20"/>
              </w:rPr>
              <w:fldChar w:fldCharType="begin"/>
            </w:r>
            <w:r>
              <w:rPr>
                <w:rFonts w:ascii="Tahoma" w:hAnsi="Tahoma" w:cs="Tahoma"/>
                <w:b/>
                <w:sz w:val="20"/>
              </w:rPr>
              <w:instrText xml:space="preserve"> NOTEREF _Ref338407377 \f \h </w:instrText>
            </w:r>
            <w:r>
              <w:rPr>
                <w:rFonts w:ascii="Tahoma" w:hAnsi="Tahoma" w:cs="Tahoma"/>
                <w:b/>
                <w:sz w:val="20"/>
              </w:rPr>
            </w:r>
            <w:r>
              <w:rPr>
                <w:rFonts w:ascii="Tahoma" w:hAnsi="Tahoma" w:cs="Tahoma"/>
                <w:b/>
                <w:sz w:val="20"/>
              </w:rPr>
              <w:fldChar w:fldCharType="separate"/>
            </w:r>
            <w:r w:rsidRPr="003402FB">
              <w:rPr>
                <w:rStyle w:val="FootnoteReference"/>
              </w:rPr>
              <w:t>3</w:t>
            </w:r>
            <w:r>
              <w:rPr>
                <w:rFonts w:ascii="Tahoma" w:hAnsi="Tahoma" w:cs="Tahoma"/>
                <w:b/>
                <w:sz w:val="20"/>
              </w:rPr>
              <w:fldChar w:fldCharType="end"/>
            </w:r>
          </w:p>
        </w:tc>
        <w:tc>
          <w:tcPr>
            <w:tcW w:w="1191" w:type="dxa"/>
            <w:vAlign w:val="bottom"/>
          </w:tcPr>
          <w:p w:rsidR="003402FB" w:rsidRPr="003402FB" w:rsidRDefault="003402FB" w:rsidP="003402FB">
            <w:pPr>
              <w:spacing w:before="20" w:after="20"/>
              <w:jc w:val="center"/>
              <w:rPr>
                <w:rFonts w:ascii="Tahoma" w:hAnsi="Tahoma" w:cs="Tahoma"/>
                <w:b/>
                <w:sz w:val="20"/>
              </w:rPr>
            </w:pPr>
            <w:r w:rsidRPr="003402FB">
              <w:rPr>
                <w:rFonts w:ascii="Tahoma" w:hAnsi="Tahoma" w:cs="Tahoma"/>
                <w:b/>
                <w:sz w:val="20"/>
              </w:rPr>
              <w:t>Fatalities</w:t>
            </w:r>
          </w:p>
          <w:p w:rsidR="003402FB" w:rsidRPr="003402FB" w:rsidRDefault="003402FB" w:rsidP="003402FB">
            <w:pPr>
              <w:spacing w:before="20" w:after="20"/>
              <w:jc w:val="center"/>
              <w:rPr>
                <w:rFonts w:ascii="Tahoma" w:hAnsi="Tahoma" w:cs="Tahoma"/>
                <w:b/>
                <w:sz w:val="20"/>
              </w:rPr>
            </w:pPr>
            <w:r w:rsidRPr="003402FB">
              <w:rPr>
                <w:rFonts w:ascii="Tahoma" w:hAnsi="Tahoma" w:cs="Tahoma"/>
                <w:b/>
                <w:sz w:val="20"/>
              </w:rPr>
              <w:t>incidence</w:t>
            </w:r>
          </w:p>
          <w:p w:rsidR="00787DF9" w:rsidRPr="00341CD4" w:rsidRDefault="003402FB" w:rsidP="003402FB">
            <w:pPr>
              <w:spacing w:before="20" w:after="20"/>
              <w:jc w:val="center"/>
              <w:rPr>
                <w:rFonts w:ascii="Tahoma" w:hAnsi="Tahoma" w:cs="Tahoma"/>
                <w:b/>
                <w:sz w:val="20"/>
              </w:rPr>
            </w:pPr>
            <w:r w:rsidRPr="003402FB">
              <w:rPr>
                <w:rFonts w:ascii="Tahoma" w:hAnsi="Tahoma" w:cs="Tahoma"/>
                <w:b/>
                <w:sz w:val="20"/>
              </w:rPr>
              <w:t>rate on Scheme projects</w:t>
            </w:r>
            <w:r w:rsidR="00E16C87">
              <w:rPr>
                <w:rFonts w:ascii="Tahoma" w:hAnsi="Tahoma" w:cs="Tahoma"/>
                <w:b/>
                <w:sz w:val="20"/>
              </w:rPr>
              <w:fldChar w:fldCharType="begin"/>
            </w:r>
            <w:r w:rsidR="00E16C87">
              <w:rPr>
                <w:rFonts w:ascii="Tahoma" w:hAnsi="Tahoma" w:cs="Tahoma"/>
                <w:b/>
                <w:sz w:val="20"/>
              </w:rPr>
              <w:instrText xml:space="preserve"> NOTEREF _Ref338407377 \f \h </w:instrText>
            </w:r>
            <w:r w:rsidR="00E16C87">
              <w:rPr>
                <w:rFonts w:ascii="Tahoma" w:hAnsi="Tahoma" w:cs="Tahoma"/>
                <w:b/>
                <w:sz w:val="20"/>
              </w:rPr>
            </w:r>
            <w:r w:rsidR="00E16C87">
              <w:rPr>
                <w:rFonts w:ascii="Tahoma" w:hAnsi="Tahoma" w:cs="Tahoma"/>
                <w:b/>
                <w:sz w:val="20"/>
              </w:rPr>
              <w:fldChar w:fldCharType="separate"/>
            </w:r>
            <w:r w:rsidR="00E16C87" w:rsidRPr="00E16C87">
              <w:rPr>
                <w:rStyle w:val="FootnoteReference"/>
              </w:rPr>
              <w:t>3</w:t>
            </w:r>
            <w:r w:rsidR="00E16C87">
              <w:rPr>
                <w:rFonts w:ascii="Tahoma" w:hAnsi="Tahoma" w:cs="Tahoma"/>
                <w:b/>
                <w:sz w:val="20"/>
              </w:rPr>
              <w:fldChar w:fldCharType="end"/>
            </w:r>
          </w:p>
        </w:tc>
        <w:tc>
          <w:tcPr>
            <w:tcW w:w="1191" w:type="dxa"/>
            <w:vAlign w:val="bottom"/>
          </w:tcPr>
          <w:p w:rsidR="00787DF9" w:rsidRPr="00341CD4" w:rsidRDefault="003402FB" w:rsidP="003402FB">
            <w:pPr>
              <w:spacing w:before="20" w:after="20"/>
              <w:jc w:val="center"/>
              <w:rPr>
                <w:rFonts w:ascii="Tahoma" w:hAnsi="Tahoma" w:cs="Tahoma"/>
                <w:b/>
                <w:sz w:val="20"/>
              </w:rPr>
            </w:pPr>
            <w:r w:rsidRPr="003402FB">
              <w:rPr>
                <w:rFonts w:ascii="Tahoma" w:hAnsi="Tahoma" w:cs="Tahoma"/>
                <w:b/>
                <w:sz w:val="20"/>
              </w:rPr>
              <w:t>Number of Fatalities on Non-Scheme projects</w:t>
            </w:r>
            <w:r w:rsidR="00E16C87">
              <w:rPr>
                <w:rFonts w:ascii="Tahoma" w:hAnsi="Tahoma" w:cs="Tahoma"/>
                <w:b/>
                <w:sz w:val="20"/>
              </w:rPr>
              <w:fldChar w:fldCharType="begin"/>
            </w:r>
            <w:r w:rsidR="00E16C87">
              <w:rPr>
                <w:rFonts w:ascii="Tahoma" w:hAnsi="Tahoma" w:cs="Tahoma"/>
                <w:b/>
                <w:sz w:val="20"/>
              </w:rPr>
              <w:instrText xml:space="preserve"> NOTEREF _Ref338407377 \f \h </w:instrText>
            </w:r>
            <w:r w:rsidR="00E16C87">
              <w:rPr>
                <w:rFonts w:ascii="Tahoma" w:hAnsi="Tahoma" w:cs="Tahoma"/>
                <w:b/>
                <w:sz w:val="20"/>
              </w:rPr>
            </w:r>
            <w:r w:rsidR="00E16C87">
              <w:rPr>
                <w:rFonts w:ascii="Tahoma" w:hAnsi="Tahoma" w:cs="Tahoma"/>
                <w:b/>
                <w:sz w:val="20"/>
              </w:rPr>
              <w:fldChar w:fldCharType="separate"/>
            </w:r>
            <w:r w:rsidR="00E16C87" w:rsidRPr="00E16C87">
              <w:rPr>
                <w:rStyle w:val="FootnoteReference"/>
              </w:rPr>
              <w:t>3</w:t>
            </w:r>
            <w:r w:rsidR="00E16C87">
              <w:rPr>
                <w:rFonts w:ascii="Tahoma" w:hAnsi="Tahoma" w:cs="Tahoma"/>
                <w:b/>
                <w:sz w:val="20"/>
              </w:rPr>
              <w:fldChar w:fldCharType="end"/>
            </w:r>
          </w:p>
        </w:tc>
        <w:tc>
          <w:tcPr>
            <w:tcW w:w="1344" w:type="dxa"/>
            <w:vAlign w:val="bottom"/>
          </w:tcPr>
          <w:p w:rsidR="003402FB" w:rsidRPr="003402FB" w:rsidRDefault="003402FB" w:rsidP="003402FB">
            <w:pPr>
              <w:jc w:val="center"/>
              <w:rPr>
                <w:rFonts w:ascii="Tahoma" w:hAnsi="Tahoma" w:cs="Tahoma"/>
                <w:b/>
                <w:sz w:val="20"/>
              </w:rPr>
            </w:pPr>
            <w:r w:rsidRPr="003402FB">
              <w:rPr>
                <w:rFonts w:ascii="Tahoma" w:hAnsi="Tahoma" w:cs="Tahoma"/>
                <w:b/>
                <w:sz w:val="20"/>
              </w:rPr>
              <w:t>Fatalities</w:t>
            </w:r>
          </w:p>
          <w:p w:rsidR="003402FB" w:rsidRPr="003402FB" w:rsidRDefault="003402FB" w:rsidP="003402FB">
            <w:pPr>
              <w:jc w:val="center"/>
              <w:rPr>
                <w:rFonts w:ascii="Tahoma" w:hAnsi="Tahoma" w:cs="Tahoma"/>
                <w:b/>
                <w:sz w:val="20"/>
              </w:rPr>
            </w:pPr>
            <w:r w:rsidRPr="003402FB">
              <w:rPr>
                <w:rFonts w:ascii="Tahoma" w:hAnsi="Tahoma" w:cs="Tahoma"/>
                <w:b/>
                <w:sz w:val="20"/>
              </w:rPr>
              <w:t>incidence</w:t>
            </w:r>
          </w:p>
          <w:p w:rsidR="00787DF9" w:rsidRPr="00341CD4" w:rsidRDefault="003402FB" w:rsidP="003402FB">
            <w:pPr>
              <w:spacing w:before="20" w:after="20"/>
              <w:jc w:val="center"/>
              <w:rPr>
                <w:rFonts w:ascii="Tahoma" w:hAnsi="Tahoma" w:cs="Tahoma"/>
                <w:b/>
                <w:sz w:val="20"/>
              </w:rPr>
            </w:pPr>
            <w:r w:rsidRPr="003402FB">
              <w:rPr>
                <w:rFonts w:ascii="Tahoma" w:hAnsi="Tahoma" w:cs="Tahoma"/>
                <w:b/>
                <w:sz w:val="20"/>
              </w:rPr>
              <w:t>rate on Non-Scheme projects</w:t>
            </w:r>
            <w:r w:rsidR="00E16C87">
              <w:rPr>
                <w:rFonts w:ascii="Tahoma" w:hAnsi="Tahoma" w:cs="Tahoma"/>
                <w:b/>
                <w:sz w:val="20"/>
              </w:rPr>
              <w:fldChar w:fldCharType="begin"/>
            </w:r>
            <w:r w:rsidR="00E16C87">
              <w:rPr>
                <w:rFonts w:ascii="Tahoma" w:hAnsi="Tahoma" w:cs="Tahoma"/>
                <w:b/>
                <w:sz w:val="20"/>
              </w:rPr>
              <w:instrText xml:space="preserve"> NOTEREF _Ref338407377 \f \h </w:instrText>
            </w:r>
            <w:r w:rsidR="00E16C87">
              <w:rPr>
                <w:rFonts w:ascii="Tahoma" w:hAnsi="Tahoma" w:cs="Tahoma"/>
                <w:b/>
                <w:sz w:val="20"/>
              </w:rPr>
            </w:r>
            <w:r w:rsidR="00E16C87">
              <w:rPr>
                <w:rFonts w:ascii="Tahoma" w:hAnsi="Tahoma" w:cs="Tahoma"/>
                <w:b/>
                <w:sz w:val="20"/>
              </w:rPr>
              <w:fldChar w:fldCharType="separate"/>
            </w:r>
            <w:r w:rsidR="00E16C87" w:rsidRPr="00E16C87">
              <w:rPr>
                <w:rStyle w:val="FootnoteReference"/>
              </w:rPr>
              <w:t>3</w:t>
            </w:r>
            <w:r w:rsidR="00E16C87">
              <w:rPr>
                <w:rFonts w:ascii="Tahoma" w:hAnsi="Tahoma" w:cs="Tahoma"/>
                <w:b/>
                <w:sz w:val="20"/>
              </w:rPr>
              <w:fldChar w:fldCharType="end"/>
            </w:r>
          </w:p>
        </w:tc>
        <w:tc>
          <w:tcPr>
            <w:tcW w:w="1038" w:type="dxa"/>
            <w:vAlign w:val="bottom"/>
          </w:tcPr>
          <w:p w:rsidR="00787DF9" w:rsidRPr="00341CD4" w:rsidRDefault="003402FB" w:rsidP="003402FB">
            <w:pPr>
              <w:spacing w:before="20" w:after="20"/>
              <w:jc w:val="center"/>
              <w:rPr>
                <w:rFonts w:ascii="Tahoma" w:hAnsi="Tahoma" w:cs="Tahoma"/>
                <w:b/>
                <w:sz w:val="20"/>
              </w:rPr>
            </w:pPr>
            <w:r w:rsidRPr="003402FB">
              <w:rPr>
                <w:rFonts w:ascii="Tahoma" w:hAnsi="Tahoma" w:cs="Tahoma"/>
                <w:b/>
                <w:sz w:val="20"/>
              </w:rPr>
              <w:t>Number of Fatalities from</w:t>
            </w:r>
            <w:r>
              <w:rPr>
                <w:rFonts w:ascii="Tahoma" w:hAnsi="Tahoma" w:cs="Tahoma"/>
                <w:b/>
                <w:sz w:val="20"/>
              </w:rPr>
              <w:t xml:space="preserve"> ASCC</w:t>
            </w:r>
            <w:r w:rsidRPr="003402FB">
              <w:rPr>
                <w:rFonts w:ascii="Tahoma" w:hAnsi="Tahoma" w:cs="Tahoma"/>
                <w:b/>
                <w:sz w:val="20"/>
              </w:rPr>
              <w:t xml:space="preserve"> construction industry data</w:t>
            </w:r>
            <w:r w:rsidR="00E16C87">
              <w:rPr>
                <w:rFonts w:ascii="Tahoma" w:hAnsi="Tahoma" w:cs="Tahoma"/>
                <w:b/>
                <w:sz w:val="20"/>
              </w:rPr>
              <w:fldChar w:fldCharType="begin"/>
            </w:r>
            <w:r w:rsidR="00E16C87">
              <w:rPr>
                <w:rFonts w:ascii="Tahoma" w:hAnsi="Tahoma" w:cs="Tahoma"/>
                <w:b/>
                <w:sz w:val="20"/>
              </w:rPr>
              <w:instrText xml:space="preserve"> NOTEREF _Ref338407438 \f \h </w:instrText>
            </w:r>
            <w:r w:rsidR="00E16C87">
              <w:rPr>
                <w:rFonts w:ascii="Tahoma" w:hAnsi="Tahoma" w:cs="Tahoma"/>
                <w:b/>
                <w:sz w:val="20"/>
              </w:rPr>
            </w:r>
            <w:r w:rsidR="00E16C87">
              <w:rPr>
                <w:rFonts w:ascii="Tahoma" w:hAnsi="Tahoma" w:cs="Tahoma"/>
                <w:b/>
                <w:sz w:val="20"/>
              </w:rPr>
              <w:fldChar w:fldCharType="separate"/>
            </w:r>
            <w:r w:rsidR="00E16C87" w:rsidRPr="00E16C87">
              <w:rPr>
                <w:rStyle w:val="FootnoteReference"/>
              </w:rPr>
              <w:t>2</w:t>
            </w:r>
            <w:r w:rsidR="00E16C87">
              <w:rPr>
                <w:rFonts w:ascii="Tahoma" w:hAnsi="Tahoma" w:cs="Tahoma"/>
                <w:b/>
                <w:sz w:val="20"/>
              </w:rPr>
              <w:fldChar w:fldCharType="end"/>
            </w:r>
          </w:p>
        </w:tc>
        <w:tc>
          <w:tcPr>
            <w:tcW w:w="1191" w:type="dxa"/>
            <w:vAlign w:val="bottom"/>
          </w:tcPr>
          <w:p w:rsidR="003402FB" w:rsidRPr="003402FB" w:rsidRDefault="003402FB" w:rsidP="003402FB">
            <w:pPr>
              <w:spacing w:before="20" w:after="20"/>
              <w:jc w:val="center"/>
              <w:rPr>
                <w:rFonts w:ascii="Tahoma" w:hAnsi="Tahoma" w:cs="Tahoma"/>
                <w:b/>
                <w:sz w:val="20"/>
              </w:rPr>
            </w:pPr>
            <w:r w:rsidRPr="003402FB">
              <w:rPr>
                <w:rFonts w:ascii="Tahoma" w:hAnsi="Tahoma" w:cs="Tahoma"/>
                <w:b/>
                <w:sz w:val="20"/>
              </w:rPr>
              <w:t>Fatalities</w:t>
            </w:r>
          </w:p>
          <w:p w:rsidR="003402FB" w:rsidRPr="003402FB" w:rsidRDefault="003402FB" w:rsidP="003402FB">
            <w:pPr>
              <w:spacing w:before="20" w:after="20"/>
              <w:jc w:val="center"/>
              <w:rPr>
                <w:rFonts w:ascii="Tahoma" w:hAnsi="Tahoma" w:cs="Tahoma"/>
                <w:b/>
                <w:sz w:val="20"/>
              </w:rPr>
            </w:pPr>
            <w:r w:rsidRPr="003402FB">
              <w:rPr>
                <w:rFonts w:ascii="Tahoma" w:hAnsi="Tahoma" w:cs="Tahoma"/>
                <w:b/>
                <w:sz w:val="20"/>
              </w:rPr>
              <w:t>incidence</w:t>
            </w:r>
          </w:p>
          <w:p w:rsidR="00787DF9" w:rsidRPr="00341CD4" w:rsidRDefault="003402FB" w:rsidP="003402FB">
            <w:pPr>
              <w:spacing w:before="20" w:after="20"/>
              <w:jc w:val="center"/>
              <w:rPr>
                <w:rFonts w:ascii="Tahoma" w:hAnsi="Tahoma" w:cs="Tahoma"/>
                <w:b/>
                <w:sz w:val="20"/>
              </w:rPr>
            </w:pPr>
            <w:r w:rsidRPr="003402FB">
              <w:rPr>
                <w:rFonts w:ascii="Tahoma" w:hAnsi="Tahoma" w:cs="Tahoma"/>
                <w:b/>
                <w:sz w:val="20"/>
              </w:rPr>
              <w:t>rate from</w:t>
            </w:r>
            <w:r>
              <w:rPr>
                <w:rFonts w:ascii="Tahoma" w:hAnsi="Tahoma" w:cs="Tahoma"/>
                <w:b/>
                <w:sz w:val="20"/>
              </w:rPr>
              <w:t xml:space="preserve"> ASCC</w:t>
            </w:r>
            <w:r w:rsidRPr="003402FB">
              <w:rPr>
                <w:rFonts w:ascii="Tahoma" w:hAnsi="Tahoma" w:cs="Tahoma"/>
                <w:b/>
                <w:sz w:val="20"/>
              </w:rPr>
              <w:t xml:space="preserve"> construction industry data</w:t>
            </w:r>
            <w:r w:rsidR="00E16C87">
              <w:rPr>
                <w:rFonts w:ascii="Tahoma" w:hAnsi="Tahoma" w:cs="Tahoma"/>
                <w:b/>
                <w:sz w:val="20"/>
              </w:rPr>
              <w:fldChar w:fldCharType="begin"/>
            </w:r>
            <w:r w:rsidR="00E16C87">
              <w:rPr>
                <w:rFonts w:ascii="Tahoma" w:hAnsi="Tahoma" w:cs="Tahoma"/>
                <w:b/>
                <w:sz w:val="20"/>
              </w:rPr>
              <w:instrText xml:space="preserve"> NOTEREF _Ref338407438 \f \h </w:instrText>
            </w:r>
            <w:r w:rsidR="00E16C87">
              <w:rPr>
                <w:rFonts w:ascii="Tahoma" w:hAnsi="Tahoma" w:cs="Tahoma"/>
                <w:b/>
                <w:sz w:val="20"/>
              </w:rPr>
            </w:r>
            <w:r w:rsidR="00E16C87">
              <w:rPr>
                <w:rFonts w:ascii="Tahoma" w:hAnsi="Tahoma" w:cs="Tahoma"/>
                <w:b/>
                <w:sz w:val="20"/>
              </w:rPr>
              <w:fldChar w:fldCharType="separate"/>
            </w:r>
            <w:r w:rsidR="00E16C87" w:rsidRPr="00E16C87">
              <w:rPr>
                <w:rStyle w:val="FootnoteReference"/>
              </w:rPr>
              <w:t>2</w:t>
            </w:r>
            <w:r w:rsidR="00E16C87">
              <w:rPr>
                <w:rFonts w:ascii="Tahoma" w:hAnsi="Tahoma" w:cs="Tahoma"/>
                <w:b/>
                <w:sz w:val="20"/>
              </w:rPr>
              <w:fldChar w:fldCharType="end"/>
            </w:r>
          </w:p>
        </w:tc>
      </w:tr>
      <w:tr w:rsidR="00787DF9" w:rsidRPr="00341CD4" w:rsidTr="00787DF9">
        <w:trPr>
          <w:jc w:val="center"/>
        </w:trPr>
        <w:tc>
          <w:tcPr>
            <w:tcW w:w="2041" w:type="dxa"/>
            <w:vAlign w:val="bottom"/>
          </w:tcPr>
          <w:p w:rsidR="00787DF9" w:rsidRPr="00341CD4" w:rsidRDefault="00787DF9" w:rsidP="00787DF9">
            <w:pPr>
              <w:spacing w:before="20" w:after="20"/>
              <w:jc w:val="center"/>
              <w:rPr>
                <w:rFonts w:ascii="Tahoma" w:hAnsi="Tahoma" w:cs="Tahoma"/>
                <w:sz w:val="20"/>
              </w:rPr>
            </w:pPr>
            <w:r w:rsidRPr="00341CD4">
              <w:rPr>
                <w:rFonts w:ascii="Tahoma" w:hAnsi="Tahoma" w:cs="Tahoma"/>
                <w:sz w:val="20"/>
              </w:rPr>
              <w:t>Jul to Dec 2007</w:t>
            </w:r>
          </w:p>
        </w:tc>
        <w:tc>
          <w:tcPr>
            <w:tcW w:w="1191" w:type="dxa"/>
            <w:vAlign w:val="center"/>
          </w:tcPr>
          <w:p w:rsidR="00787DF9" w:rsidRPr="00341CD4" w:rsidRDefault="00787DF9" w:rsidP="00787DF9">
            <w:pPr>
              <w:spacing w:before="20" w:after="20"/>
              <w:jc w:val="center"/>
              <w:rPr>
                <w:rFonts w:ascii="Tahoma" w:hAnsi="Tahoma" w:cs="Tahoma"/>
                <w:sz w:val="20"/>
              </w:rPr>
            </w:pPr>
            <w:r>
              <w:rPr>
                <w:rFonts w:ascii="Tahoma" w:hAnsi="Tahoma" w:cs="Tahoma"/>
                <w:sz w:val="20"/>
              </w:rPr>
              <w:t>1</w:t>
            </w:r>
          </w:p>
        </w:tc>
        <w:tc>
          <w:tcPr>
            <w:tcW w:w="1191" w:type="dxa"/>
            <w:vAlign w:val="center"/>
          </w:tcPr>
          <w:p w:rsidR="00787DF9" w:rsidRPr="00341CD4" w:rsidRDefault="00787DF9" w:rsidP="00787DF9">
            <w:pPr>
              <w:spacing w:before="20" w:after="20"/>
              <w:jc w:val="center"/>
              <w:rPr>
                <w:rFonts w:ascii="Tahoma" w:hAnsi="Tahoma" w:cs="Tahoma"/>
                <w:sz w:val="20"/>
              </w:rPr>
            </w:pPr>
            <w:r>
              <w:rPr>
                <w:rFonts w:ascii="Tahoma" w:hAnsi="Tahoma" w:cs="Tahoma"/>
                <w:sz w:val="20"/>
              </w:rPr>
              <w:t>4.53</w:t>
            </w:r>
          </w:p>
        </w:tc>
        <w:tc>
          <w:tcPr>
            <w:tcW w:w="1191" w:type="dxa"/>
            <w:vAlign w:val="center"/>
          </w:tcPr>
          <w:p w:rsidR="00787DF9" w:rsidRPr="00341CD4" w:rsidRDefault="00787DF9" w:rsidP="00787DF9">
            <w:pPr>
              <w:spacing w:before="20" w:after="20"/>
              <w:jc w:val="center"/>
              <w:rPr>
                <w:rFonts w:ascii="Tahoma" w:hAnsi="Tahoma" w:cs="Tahoma"/>
                <w:sz w:val="20"/>
              </w:rPr>
            </w:pPr>
            <w:r>
              <w:rPr>
                <w:rFonts w:ascii="Tahoma" w:hAnsi="Tahoma" w:cs="Tahoma"/>
                <w:sz w:val="20"/>
              </w:rPr>
              <w:t>1</w:t>
            </w:r>
          </w:p>
        </w:tc>
        <w:tc>
          <w:tcPr>
            <w:tcW w:w="1344" w:type="dxa"/>
            <w:vAlign w:val="center"/>
          </w:tcPr>
          <w:p w:rsidR="00787DF9" w:rsidRPr="00341CD4" w:rsidRDefault="00787DF9" w:rsidP="00787DF9">
            <w:pPr>
              <w:spacing w:before="20" w:after="20"/>
              <w:jc w:val="center"/>
              <w:rPr>
                <w:rFonts w:ascii="Tahoma" w:hAnsi="Tahoma" w:cs="Tahoma"/>
                <w:sz w:val="20"/>
              </w:rPr>
            </w:pPr>
            <w:r>
              <w:rPr>
                <w:rFonts w:ascii="Tahoma" w:hAnsi="Tahoma" w:cs="Tahoma"/>
                <w:sz w:val="20"/>
              </w:rPr>
              <w:t>0.42</w:t>
            </w:r>
          </w:p>
        </w:tc>
        <w:tc>
          <w:tcPr>
            <w:tcW w:w="1038" w:type="dxa"/>
            <w:vAlign w:val="center"/>
          </w:tcPr>
          <w:p w:rsidR="00787DF9" w:rsidRDefault="00787DF9" w:rsidP="00787DF9">
            <w:pPr>
              <w:spacing w:before="20" w:after="20"/>
              <w:jc w:val="center"/>
              <w:rPr>
                <w:rFonts w:ascii="Tahoma" w:hAnsi="Tahoma" w:cs="Tahoma"/>
                <w:sz w:val="20"/>
              </w:rPr>
            </w:pPr>
            <w:r>
              <w:rPr>
                <w:rFonts w:ascii="Tahoma" w:hAnsi="Tahoma" w:cs="Tahoma"/>
                <w:sz w:val="20"/>
              </w:rPr>
              <w:t>20</w:t>
            </w:r>
          </w:p>
        </w:tc>
        <w:tc>
          <w:tcPr>
            <w:tcW w:w="1191" w:type="dxa"/>
            <w:vAlign w:val="center"/>
          </w:tcPr>
          <w:p w:rsidR="00787DF9" w:rsidRDefault="00787DF9" w:rsidP="00787DF9">
            <w:pPr>
              <w:spacing w:before="20" w:after="20"/>
              <w:jc w:val="center"/>
              <w:rPr>
                <w:rFonts w:ascii="Tahoma" w:hAnsi="Tahoma" w:cs="Tahoma"/>
                <w:sz w:val="20"/>
              </w:rPr>
            </w:pPr>
            <w:r>
              <w:rPr>
                <w:rFonts w:ascii="Tahoma" w:hAnsi="Tahoma" w:cs="Tahoma"/>
                <w:sz w:val="20"/>
              </w:rPr>
              <w:t>2.99</w:t>
            </w:r>
          </w:p>
        </w:tc>
      </w:tr>
      <w:tr w:rsidR="00787DF9" w:rsidRPr="00341CD4" w:rsidTr="00787DF9">
        <w:trPr>
          <w:jc w:val="center"/>
        </w:trPr>
        <w:tc>
          <w:tcPr>
            <w:tcW w:w="2041" w:type="dxa"/>
            <w:vAlign w:val="bottom"/>
          </w:tcPr>
          <w:p w:rsidR="00787DF9" w:rsidRPr="00341CD4" w:rsidRDefault="00787DF9" w:rsidP="00787DF9">
            <w:pPr>
              <w:spacing w:before="20" w:after="20"/>
              <w:jc w:val="center"/>
              <w:rPr>
                <w:rFonts w:ascii="Tahoma" w:hAnsi="Tahoma" w:cs="Tahoma"/>
                <w:sz w:val="20"/>
              </w:rPr>
            </w:pPr>
            <w:r w:rsidRPr="00341CD4">
              <w:rPr>
                <w:rFonts w:ascii="Tahoma" w:hAnsi="Tahoma" w:cs="Tahoma"/>
                <w:sz w:val="20"/>
              </w:rPr>
              <w:t>Jan to Jun 2008</w:t>
            </w:r>
          </w:p>
        </w:tc>
        <w:tc>
          <w:tcPr>
            <w:tcW w:w="1191" w:type="dxa"/>
            <w:vAlign w:val="center"/>
          </w:tcPr>
          <w:p w:rsidR="00787DF9" w:rsidRPr="00341CD4" w:rsidRDefault="00787DF9" w:rsidP="00787DF9">
            <w:pPr>
              <w:spacing w:before="20" w:after="20"/>
              <w:jc w:val="center"/>
              <w:rPr>
                <w:rFonts w:ascii="Tahoma" w:hAnsi="Tahoma" w:cs="Tahoma"/>
                <w:sz w:val="20"/>
              </w:rPr>
            </w:pPr>
            <w:r>
              <w:rPr>
                <w:rFonts w:ascii="Tahoma" w:hAnsi="Tahoma" w:cs="Tahoma"/>
                <w:sz w:val="20"/>
              </w:rPr>
              <w:t>0</w:t>
            </w:r>
          </w:p>
        </w:tc>
        <w:tc>
          <w:tcPr>
            <w:tcW w:w="1191" w:type="dxa"/>
            <w:vAlign w:val="center"/>
          </w:tcPr>
          <w:p w:rsidR="00787DF9" w:rsidRPr="00341CD4" w:rsidRDefault="00787DF9" w:rsidP="00787DF9">
            <w:pPr>
              <w:spacing w:before="20" w:after="20"/>
              <w:jc w:val="center"/>
              <w:rPr>
                <w:rFonts w:ascii="Tahoma" w:hAnsi="Tahoma" w:cs="Tahoma"/>
                <w:sz w:val="20"/>
              </w:rPr>
            </w:pPr>
            <w:r>
              <w:rPr>
                <w:rFonts w:ascii="Tahoma" w:hAnsi="Tahoma" w:cs="Tahoma"/>
                <w:sz w:val="20"/>
              </w:rPr>
              <w:t>0.00</w:t>
            </w:r>
          </w:p>
        </w:tc>
        <w:tc>
          <w:tcPr>
            <w:tcW w:w="1191" w:type="dxa"/>
            <w:vAlign w:val="center"/>
          </w:tcPr>
          <w:p w:rsidR="00787DF9" w:rsidRPr="00341CD4" w:rsidRDefault="00787DF9" w:rsidP="00787DF9">
            <w:pPr>
              <w:spacing w:before="20" w:after="20"/>
              <w:jc w:val="center"/>
              <w:rPr>
                <w:rFonts w:ascii="Tahoma" w:hAnsi="Tahoma" w:cs="Tahoma"/>
                <w:sz w:val="20"/>
              </w:rPr>
            </w:pPr>
            <w:r>
              <w:rPr>
                <w:rFonts w:ascii="Tahoma" w:hAnsi="Tahoma" w:cs="Tahoma"/>
                <w:sz w:val="20"/>
              </w:rPr>
              <w:t>6</w:t>
            </w:r>
          </w:p>
        </w:tc>
        <w:tc>
          <w:tcPr>
            <w:tcW w:w="1344" w:type="dxa"/>
            <w:vAlign w:val="center"/>
          </w:tcPr>
          <w:p w:rsidR="00787DF9" w:rsidRPr="00341CD4" w:rsidRDefault="00787DF9" w:rsidP="00787DF9">
            <w:pPr>
              <w:spacing w:before="20" w:after="20"/>
              <w:jc w:val="center"/>
              <w:rPr>
                <w:rFonts w:ascii="Tahoma" w:hAnsi="Tahoma" w:cs="Tahoma"/>
                <w:sz w:val="20"/>
              </w:rPr>
            </w:pPr>
            <w:r>
              <w:rPr>
                <w:rFonts w:ascii="Tahoma" w:hAnsi="Tahoma" w:cs="Tahoma"/>
                <w:sz w:val="20"/>
              </w:rPr>
              <w:t>2.12</w:t>
            </w:r>
          </w:p>
        </w:tc>
        <w:tc>
          <w:tcPr>
            <w:tcW w:w="1038" w:type="dxa"/>
            <w:vAlign w:val="center"/>
          </w:tcPr>
          <w:p w:rsidR="00787DF9" w:rsidRDefault="00787DF9" w:rsidP="00787DF9">
            <w:pPr>
              <w:spacing w:before="20" w:after="20"/>
              <w:jc w:val="center"/>
              <w:rPr>
                <w:rFonts w:ascii="Tahoma" w:hAnsi="Tahoma" w:cs="Tahoma"/>
                <w:sz w:val="20"/>
              </w:rPr>
            </w:pPr>
            <w:r>
              <w:rPr>
                <w:rFonts w:ascii="Tahoma" w:hAnsi="Tahoma" w:cs="Tahoma"/>
                <w:sz w:val="20"/>
              </w:rPr>
              <w:t>16</w:t>
            </w:r>
          </w:p>
        </w:tc>
        <w:tc>
          <w:tcPr>
            <w:tcW w:w="1191" w:type="dxa"/>
            <w:vAlign w:val="center"/>
          </w:tcPr>
          <w:p w:rsidR="00787DF9" w:rsidRDefault="00787DF9" w:rsidP="00787DF9">
            <w:pPr>
              <w:spacing w:before="20" w:after="20"/>
              <w:jc w:val="center"/>
              <w:rPr>
                <w:rFonts w:ascii="Tahoma" w:hAnsi="Tahoma" w:cs="Tahoma"/>
                <w:sz w:val="20"/>
              </w:rPr>
            </w:pPr>
            <w:r>
              <w:rPr>
                <w:rFonts w:ascii="Tahoma" w:hAnsi="Tahoma" w:cs="Tahoma"/>
                <w:sz w:val="20"/>
              </w:rPr>
              <w:t>2.29</w:t>
            </w:r>
          </w:p>
        </w:tc>
      </w:tr>
      <w:tr w:rsidR="00787DF9" w:rsidRPr="00341CD4" w:rsidTr="00787DF9">
        <w:trPr>
          <w:jc w:val="center"/>
        </w:trPr>
        <w:tc>
          <w:tcPr>
            <w:tcW w:w="2041" w:type="dxa"/>
            <w:vAlign w:val="bottom"/>
          </w:tcPr>
          <w:p w:rsidR="00787DF9" w:rsidRPr="00341CD4" w:rsidRDefault="00787DF9" w:rsidP="00787DF9">
            <w:pPr>
              <w:spacing w:before="20" w:after="20"/>
              <w:jc w:val="center"/>
              <w:rPr>
                <w:rFonts w:ascii="Tahoma" w:hAnsi="Tahoma" w:cs="Tahoma"/>
                <w:sz w:val="20"/>
              </w:rPr>
            </w:pPr>
            <w:r w:rsidRPr="00341CD4">
              <w:rPr>
                <w:rFonts w:ascii="Tahoma" w:hAnsi="Tahoma" w:cs="Tahoma"/>
                <w:sz w:val="20"/>
              </w:rPr>
              <w:t>Jul to Dec 2008</w:t>
            </w:r>
          </w:p>
        </w:tc>
        <w:tc>
          <w:tcPr>
            <w:tcW w:w="1191" w:type="dxa"/>
            <w:vAlign w:val="center"/>
          </w:tcPr>
          <w:p w:rsidR="00787DF9" w:rsidRPr="00341CD4" w:rsidRDefault="00787DF9" w:rsidP="00787DF9">
            <w:pPr>
              <w:spacing w:before="20" w:after="20"/>
              <w:jc w:val="center"/>
              <w:rPr>
                <w:rFonts w:ascii="Tahoma" w:hAnsi="Tahoma" w:cs="Tahoma"/>
                <w:sz w:val="20"/>
              </w:rPr>
            </w:pPr>
            <w:r>
              <w:rPr>
                <w:rFonts w:ascii="Tahoma" w:hAnsi="Tahoma" w:cs="Tahoma"/>
                <w:sz w:val="20"/>
              </w:rPr>
              <w:t>0</w:t>
            </w:r>
          </w:p>
        </w:tc>
        <w:tc>
          <w:tcPr>
            <w:tcW w:w="1191" w:type="dxa"/>
            <w:vAlign w:val="center"/>
          </w:tcPr>
          <w:p w:rsidR="00787DF9" w:rsidRPr="00341CD4" w:rsidRDefault="00787DF9" w:rsidP="00787DF9">
            <w:pPr>
              <w:spacing w:before="20" w:after="20"/>
              <w:jc w:val="center"/>
              <w:rPr>
                <w:rFonts w:ascii="Tahoma" w:hAnsi="Tahoma" w:cs="Tahoma"/>
                <w:sz w:val="20"/>
              </w:rPr>
            </w:pPr>
            <w:r>
              <w:rPr>
                <w:rFonts w:ascii="Tahoma" w:hAnsi="Tahoma" w:cs="Tahoma"/>
                <w:sz w:val="20"/>
              </w:rPr>
              <w:t>0.00</w:t>
            </w:r>
          </w:p>
        </w:tc>
        <w:tc>
          <w:tcPr>
            <w:tcW w:w="1191" w:type="dxa"/>
            <w:vAlign w:val="center"/>
          </w:tcPr>
          <w:p w:rsidR="00787DF9" w:rsidRPr="00341CD4" w:rsidRDefault="00787DF9" w:rsidP="00787DF9">
            <w:pPr>
              <w:spacing w:before="20" w:after="20"/>
              <w:jc w:val="center"/>
              <w:rPr>
                <w:rFonts w:ascii="Tahoma" w:hAnsi="Tahoma" w:cs="Tahoma"/>
                <w:sz w:val="20"/>
              </w:rPr>
            </w:pPr>
            <w:r>
              <w:rPr>
                <w:rFonts w:ascii="Tahoma" w:hAnsi="Tahoma" w:cs="Tahoma"/>
                <w:sz w:val="20"/>
              </w:rPr>
              <w:t>4</w:t>
            </w:r>
          </w:p>
        </w:tc>
        <w:tc>
          <w:tcPr>
            <w:tcW w:w="1344" w:type="dxa"/>
            <w:vAlign w:val="center"/>
          </w:tcPr>
          <w:p w:rsidR="00787DF9" w:rsidRPr="00341CD4" w:rsidRDefault="00787DF9" w:rsidP="00787DF9">
            <w:pPr>
              <w:spacing w:before="20" w:after="20"/>
              <w:jc w:val="center"/>
              <w:rPr>
                <w:rFonts w:ascii="Tahoma" w:hAnsi="Tahoma" w:cs="Tahoma"/>
                <w:sz w:val="20"/>
              </w:rPr>
            </w:pPr>
            <w:r>
              <w:rPr>
                <w:rFonts w:ascii="Tahoma" w:hAnsi="Tahoma" w:cs="Tahoma"/>
                <w:sz w:val="20"/>
              </w:rPr>
              <w:t>1.30</w:t>
            </w:r>
          </w:p>
        </w:tc>
        <w:tc>
          <w:tcPr>
            <w:tcW w:w="1038" w:type="dxa"/>
            <w:vAlign w:val="center"/>
          </w:tcPr>
          <w:p w:rsidR="00787DF9" w:rsidRDefault="00787DF9" w:rsidP="00787DF9">
            <w:pPr>
              <w:spacing w:before="20" w:after="20"/>
              <w:jc w:val="center"/>
              <w:rPr>
                <w:rFonts w:ascii="Tahoma" w:hAnsi="Tahoma" w:cs="Tahoma"/>
                <w:sz w:val="20"/>
              </w:rPr>
            </w:pPr>
            <w:r>
              <w:rPr>
                <w:rFonts w:ascii="Tahoma" w:hAnsi="Tahoma" w:cs="Tahoma"/>
                <w:sz w:val="20"/>
              </w:rPr>
              <w:t>18</w:t>
            </w:r>
          </w:p>
        </w:tc>
        <w:tc>
          <w:tcPr>
            <w:tcW w:w="1191" w:type="dxa"/>
            <w:vAlign w:val="center"/>
          </w:tcPr>
          <w:p w:rsidR="00787DF9" w:rsidRDefault="00787DF9" w:rsidP="00787DF9">
            <w:pPr>
              <w:spacing w:before="20" w:after="20"/>
              <w:jc w:val="center"/>
              <w:rPr>
                <w:rFonts w:ascii="Tahoma" w:hAnsi="Tahoma" w:cs="Tahoma"/>
                <w:sz w:val="20"/>
              </w:rPr>
            </w:pPr>
            <w:r>
              <w:rPr>
                <w:rFonts w:ascii="Tahoma" w:hAnsi="Tahoma" w:cs="Tahoma"/>
                <w:sz w:val="20"/>
              </w:rPr>
              <w:t>2.56</w:t>
            </w:r>
          </w:p>
        </w:tc>
      </w:tr>
    </w:tbl>
    <w:p w:rsidR="00787DF9" w:rsidRDefault="00787DF9" w:rsidP="00787DF9">
      <w:pPr>
        <w:outlineLvl w:val="1"/>
        <w:rPr>
          <w:rFonts w:ascii="Tahoma" w:hAnsi="Tahoma" w:cs="Tahoma"/>
          <w:sz w:val="22"/>
          <w:szCs w:val="22"/>
        </w:rPr>
      </w:pPr>
    </w:p>
    <w:p w:rsidR="00787DF9" w:rsidRDefault="00787DF9" w:rsidP="00787DF9">
      <w:pPr>
        <w:numPr>
          <w:ilvl w:val="0"/>
          <w:numId w:val="18"/>
        </w:numPr>
        <w:spacing w:after="120"/>
        <w:rPr>
          <w:rFonts w:ascii="Tahoma" w:hAnsi="Tahoma" w:cs="Tahoma"/>
          <w:sz w:val="22"/>
          <w:szCs w:val="22"/>
        </w:rPr>
      </w:pPr>
      <w:r>
        <w:rPr>
          <w:rFonts w:ascii="Tahoma" w:hAnsi="Tahoma" w:cs="Tahoma"/>
          <w:sz w:val="22"/>
          <w:szCs w:val="22"/>
        </w:rPr>
        <w:t>There were no fatalities on scheme projects in the latest biannual reporting period leading to no scheme project fatalities for the 2008 calendar year.</w:t>
      </w:r>
    </w:p>
    <w:p w:rsidR="00787DF9" w:rsidRPr="001614C9" w:rsidRDefault="00787DF9" w:rsidP="00787DF9">
      <w:pPr>
        <w:numPr>
          <w:ilvl w:val="0"/>
          <w:numId w:val="18"/>
        </w:numPr>
        <w:spacing w:after="120"/>
        <w:rPr>
          <w:rFonts w:ascii="Tahoma" w:hAnsi="Tahoma" w:cs="Tahoma"/>
          <w:sz w:val="22"/>
          <w:szCs w:val="22"/>
        </w:rPr>
      </w:pPr>
      <w:r w:rsidRPr="001614C9">
        <w:rPr>
          <w:rFonts w:ascii="Tahoma" w:hAnsi="Tahoma" w:cs="Tahoma"/>
          <w:sz w:val="22"/>
          <w:szCs w:val="22"/>
        </w:rPr>
        <w:t xml:space="preserve">Between the December 2007 and December 2008 reporting periods, non-Scheme project fatalities increased as did the incidence rate, however, the incidence rates </w:t>
      </w:r>
      <w:r>
        <w:rPr>
          <w:rFonts w:ascii="Tahoma" w:hAnsi="Tahoma" w:cs="Tahoma"/>
          <w:sz w:val="22"/>
          <w:szCs w:val="22"/>
        </w:rPr>
        <w:t xml:space="preserve">for accredited contractors </w:t>
      </w:r>
      <w:r w:rsidRPr="001614C9">
        <w:rPr>
          <w:rFonts w:ascii="Tahoma" w:hAnsi="Tahoma" w:cs="Tahoma"/>
          <w:sz w:val="22"/>
          <w:szCs w:val="22"/>
        </w:rPr>
        <w:t>were</w:t>
      </w:r>
      <w:r>
        <w:rPr>
          <w:rFonts w:ascii="Tahoma" w:hAnsi="Tahoma" w:cs="Tahoma"/>
          <w:sz w:val="22"/>
          <w:szCs w:val="22"/>
        </w:rPr>
        <w:t xml:space="preserve"> well</w:t>
      </w:r>
      <w:r w:rsidRPr="001614C9">
        <w:rPr>
          <w:rFonts w:ascii="Tahoma" w:hAnsi="Tahoma" w:cs="Tahoma"/>
          <w:sz w:val="22"/>
          <w:szCs w:val="22"/>
        </w:rPr>
        <w:t xml:space="preserve"> below those for the construction industry overall.</w:t>
      </w:r>
    </w:p>
    <w:p w:rsidR="002642AF" w:rsidRDefault="002642AF" w:rsidP="002642AF">
      <w:pPr>
        <w:pStyle w:val="Heading2"/>
      </w:pPr>
      <w:bookmarkStart w:id="26" w:name="_Toc237832465"/>
      <w:r>
        <w:t>Workers Compensation Claim</w:t>
      </w:r>
      <w:r w:rsidR="005C550D">
        <w:t xml:space="preserve"> Rates</w:t>
      </w:r>
      <w:bookmarkEnd w:id="26"/>
    </w:p>
    <w:p w:rsidR="002642AF" w:rsidRDefault="002642AF" w:rsidP="002642AF">
      <w:pPr>
        <w:rPr>
          <w:rFonts w:ascii="Tahoma" w:hAnsi="Tahoma" w:cs="Tahoma"/>
          <w:sz w:val="22"/>
          <w:szCs w:val="22"/>
        </w:rPr>
      </w:pPr>
    </w:p>
    <w:p w:rsidR="002642AF" w:rsidRPr="00E821EE" w:rsidRDefault="002642AF" w:rsidP="002642AF">
      <w:pPr>
        <w:rPr>
          <w:rFonts w:ascii="Tahoma" w:hAnsi="Tahoma" w:cs="Tahoma"/>
          <w:sz w:val="22"/>
          <w:szCs w:val="22"/>
        </w:rPr>
      </w:pPr>
      <w:r>
        <w:rPr>
          <w:rFonts w:ascii="Tahoma" w:hAnsi="Tahoma" w:cs="Tahoma"/>
          <w:sz w:val="22"/>
          <w:szCs w:val="22"/>
        </w:rPr>
        <w:t>Accredited companies report w</w:t>
      </w:r>
      <w:r w:rsidRPr="00E821EE">
        <w:rPr>
          <w:rFonts w:ascii="Tahoma" w:hAnsi="Tahoma" w:cs="Tahoma"/>
          <w:sz w:val="22"/>
          <w:szCs w:val="22"/>
        </w:rPr>
        <w:t xml:space="preserve">orkers’ compensation claim rates </w:t>
      </w:r>
      <w:r>
        <w:rPr>
          <w:rFonts w:ascii="Tahoma" w:hAnsi="Tahoma" w:cs="Tahoma"/>
          <w:sz w:val="22"/>
          <w:szCs w:val="22"/>
        </w:rPr>
        <w:t>across their company for the biannual reporting period</w:t>
      </w:r>
      <w:r w:rsidRPr="00E821EE">
        <w:rPr>
          <w:rFonts w:ascii="Tahoma" w:hAnsi="Tahoma" w:cs="Tahoma"/>
          <w:sz w:val="22"/>
          <w:szCs w:val="22"/>
        </w:rPr>
        <w:t xml:space="preserve">. </w:t>
      </w:r>
      <w:r w:rsidR="009544DF">
        <w:rPr>
          <w:rFonts w:ascii="Tahoma" w:hAnsi="Tahoma" w:cs="Tahoma"/>
          <w:sz w:val="22"/>
          <w:szCs w:val="22"/>
        </w:rPr>
        <w:t>Industry wide c</w:t>
      </w:r>
      <w:r w:rsidRPr="00E821EE">
        <w:rPr>
          <w:rFonts w:ascii="Tahoma" w:hAnsi="Tahoma" w:cs="Tahoma"/>
          <w:sz w:val="22"/>
          <w:szCs w:val="22"/>
        </w:rPr>
        <w:t xml:space="preserve">omparisons </w:t>
      </w:r>
      <w:r w:rsidR="009544DF">
        <w:rPr>
          <w:rFonts w:ascii="Tahoma" w:hAnsi="Tahoma" w:cs="Tahoma"/>
          <w:sz w:val="22"/>
          <w:szCs w:val="22"/>
        </w:rPr>
        <w:t>are provided below</w:t>
      </w:r>
      <w:r w:rsidRPr="00E821EE">
        <w:rPr>
          <w:rFonts w:ascii="Tahoma" w:hAnsi="Tahoma" w:cs="Tahoma"/>
          <w:sz w:val="22"/>
          <w:szCs w:val="22"/>
        </w:rPr>
        <w:t xml:space="preserve"> to statistics published by the Australian Safety and Compensation Council (ASCC) in their </w:t>
      </w:r>
      <w:r w:rsidRPr="00E16C87">
        <w:rPr>
          <w:rStyle w:val="Emphasis"/>
        </w:rPr>
        <w:t>Compendium of Workers’ Compensation Statistics Australia 2006-07</w:t>
      </w:r>
      <w:r w:rsidRPr="00E821EE">
        <w:rPr>
          <w:rFonts w:ascii="Tahoma" w:hAnsi="Tahoma" w:cs="Tahoma"/>
          <w:sz w:val="22"/>
          <w:szCs w:val="22"/>
        </w:rPr>
        <w:t xml:space="preserve"> report release in March 2009. </w:t>
      </w:r>
      <w:r w:rsidR="00D17E9E">
        <w:rPr>
          <w:rFonts w:ascii="Tahoma" w:hAnsi="Tahoma" w:cs="Tahoma"/>
          <w:sz w:val="22"/>
          <w:szCs w:val="22"/>
        </w:rPr>
        <w:t xml:space="preserve"> Please note that the ASCC have since changed their name to Safe Work Australia (SWA).</w:t>
      </w:r>
    </w:p>
    <w:p w:rsidR="002642AF" w:rsidRPr="00E821EE" w:rsidRDefault="002642AF" w:rsidP="002642AF">
      <w:pPr>
        <w:rPr>
          <w:rFonts w:ascii="Tahoma" w:hAnsi="Tahoma" w:cs="Tahoma"/>
          <w:sz w:val="22"/>
          <w:szCs w:val="22"/>
        </w:rPr>
      </w:pPr>
    </w:p>
    <w:p w:rsidR="002642AF" w:rsidRDefault="002642AF" w:rsidP="002642AF">
      <w:pPr>
        <w:rPr>
          <w:rFonts w:ascii="Tahoma" w:hAnsi="Tahoma" w:cs="Tahoma"/>
          <w:sz w:val="22"/>
          <w:szCs w:val="22"/>
        </w:rPr>
      </w:pPr>
      <w:r w:rsidRPr="00E821EE">
        <w:rPr>
          <w:rFonts w:ascii="Tahoma" w:hAnsi="Tahoma" w:cs="Tahoma"/>
          <w:sz w:val="22"/>
          <w:szCs w:val="22"/>
        </w:rPr>
        <w:t>For both the ASCC figures and for Scheme biannual reporting, serious claims are defined as those that involve either death; a permanent incapacity; or a temporary incapacity requiring an absence from work of one working week or more.</w:t>
      </w:r>
    </w:p>
    <w:p w:rsidR="002642AF" w:rsidRPr="00E821EE" w:rsidRDefault="002642AF" w:rsidP="002642AF">
      <w:pPr>
        <w:rPr>
          <w:rFonts w:ascii="Tahoma" w:hAnsi="Tahoma" w:cs="Tahoma"/>
          <w:sz w:val="22"/>
          <w:szCs w:val="22"/>
        </w:rPr>
      </w:pPr>
    </w:p>
    <w:p w:rsidR="002642AF" w:rsidRPr="00A438D6" w:rsidRDefault="002642AF" w:rsidP="002642AF">
      <w:pPr>
        <w:pStyle w:val="Heading3"/>
      </w:pPr>
      <w:bookmarkStart w:id="27" w:name="_Toc237832466"/>
      <w:r w:rsidRPr="00A438D6">
        <w:t>T</w:t>
      </w:r>
      <w:r w:rsidR="005C550D">
        <w:t>otal</w:t>
      </w:r>
      <w:r w:rsidRPr="00A438D6">
        <w:t xml:space="preserve"> C</w:t>
      </w:r>
      <w:r w:rsidR="005C550D">
        <w:t>onstruction</w:t>
      </w:r>
      <w:r w:rsidRPr="00A438D6">
        <w:t xml:space="preserve"> I</w:t>
      </w:r>
      <w:r w:rsidR="005C550D">
        <w:t>ndustry</w:t>
      </w:r>
      <w:r w:rsidRPr="00A438D6">
        <w:t xml:space="preserve"> C</w:t>
      </w:r>
      <w:r w:rsidR="005C550D">
        <w:t>laim</w:t>
      </w:r>
      <w:r w:rsidRPr="00A438D6">
        <w:t xml:space="preserve"> R</w:t>
      </w:r>
      <w:r w:rsidR="005C550D">
        <w:t>ates</w:t>
      </w:r>
      <w:bookmarkEnd w:id="27"/>
    </w:p>
    <w:p w:rsidR="002642AF" w:rsidRPr="00E821EE" w:rsidRDefault="002642AF" w:rsidP="002642AF">
      <w:pPr>
        <w:rPr>
          <w:rFonts w:ascii="Tahoma" w:hAnsi="Tahoma" w:cs="Tahoma"/>
          <w:sz w:val="22"/>
          <w:szCs w:val="22"/>
        </w:rPr>
      </w:pPr>
    </w:p>
    <w:p w:rsidR="002642AF" w:rsidRPr="00E821EE" w:rsidRDefault="002642AF" w:rsidP="002642AF">
      <w:pPr>
        <w:rPr>
          <w:rFonts w:ascii="Tahoma" w:hAnsi="Tahoma" w:cs="Tahoma"/>
          <w:sz w:val="22"/>
          <w:szCs w:val="22"/>
        </w:rPr>
      </w:pPr>
      <w:r w:rsidRPr="00E821EE">
        <w:rPr>
          <w:rFonts w:ascii="Tahoma" w:hAnsi="Tahoma" w:cs="Tahoma"/>
          <w:sz w:val="22"/>
          <w:szCs w:val="22"/>
        </w:rPr>
        <w:t>Based on the ASCC 2006-07 Compendium report figures, and specifically for the construction industry, preliminary data for 2006-07 shows there were 14,130 serious workers’ compensation claims from a population of 638,400 classified as employees in that year. This equates to 39 claims per day or a claim incident rate of 22 claims per 1000 employees</w:t>
      </w:r>
      <w:r w:rsidR="00682BB9">
        <w:rPr>
          <w:rFonts w:ascii="Tahoma" w:hAnsi="Tahoma" w:cs="Tahoma"/>
          <w:sz w:val="22"/>
          <w:szCs w:val="22"/>
        </w:rPr>
        <w:t xml:space="preserve"> for the full financial year</w:t>
      </w:r>
      <w:r w:rsidRPr="00E821EE">
        <w:rPr>
          <w:rFonts w:ascii="Tahoma" w:hAnsi="Tahoma" w:cs="Tahoma"/>
          <w:sz w:val="22"/>
          <w:szCs w:val="22"/>
        </w:rPr>
        <w:t xml:space="preserve">. </w:t>
      </w:r>
    </w:p>
    <w:p w:rsidR="002642AF" w:rsidRPr="00E821EE" w:rsidRDefault="002642AF" w:rsidP="002642AF">
      <w:pPr>
        <w:rPr>
          <w:rFonts w:ascii="Tahoma" w:hAnsi="Tahoma" w:cs="Tahoma"/>
          <w:sz w:val="22"/>
          <w:szCs w:val="22"/>
        </w:rPr>
      </w:pPr>
    </w:p>
    <w:p w:rsidR="002642AF" w:rsidRPr="00E821EE" w:rsidRDefault="002642AF" w:rsidP="002642AF">
      <w:pPr>
        <w:rPr>
          <w:rFonts w:ascii="Tahoma" w:hAnsi="Tahoma" w:cs="Tahoma"/>
          <w:sz w:val="22"/>
          <w:szCs w:val="22"/>
        </w:rPr>
      </w:pPr>
      <w:r w:rsidRPr="00E821EE">
        <w:rPr>
          <w:rFonts w:ascii="Tahoma" w:hAnsi="Tahoma" w:cs="Tahoma"/>
          <w:sz w:val="22"/>
          <w:szCs w:val="22"/>
        </w:rPr>
        <w:lastRenderedPageBreak/>
        <w:t>Using the methodology provide</w:t>
      </w:r>
      <w:r w:rsidR="00601D91">
        <w:rPr>
          <w:rFonts w:ascii="Tahoma" w:hAnsi="Tahoma" w:cs="Tahoma"/>
          <w:sz w:val="22"/>
          <w:szCs w:val="22"/>
        </w:rPr>
        <w:t>d</w:t>
      </w:r>
      <w:r w:rsidRPr="00E821EE">
        <w:rPr>
          <w:rFonts w:ascii="Tahoma" w:hAnsi="Tahoma" w:cs="Tahoma"/>
          <w:sz w:val="22"/>
          <w:szCs w:val="22"/>
        </w:rPr>
        <w:t xml:space="preserve"> </w:t>
      </w:r>
      <w:r w:rsidR="005C550D">
        <w:rPr>
          <w:rFonts w:ascii="Tahoma" w:hAnsi="Tahoma" w:cs="Tahoma"/>
          <w:sz w:val="22"/>
          <w:szCs w:val="22"/>
        </w:rPr>
        <w:t>in sub-section 3 below</w:t>
      </w:r>
      <w:r w:rsidRPr="00E821EE">
        <w:rPr>
          <w:rFonts w:ascii="Tahoma" w:hAnsi="Tahoma" w:cs="Tahoma"/>
          <w:sz w:val="22"/>
          <w:szCs w:val="22"/>
        </w:rPr>
        <w:t>, a serious claim incident rate for the six month period at the end of 2008, for the construction industry as a whole, would be estimated to be around 9 claims per 1000 employees.</w:t>
      </w:r>
    </w:p>
    <w:p w:rsidR="002642AF" w:rsidRPr="00E821EE" w:rsidRDefault="002642AF" w:rsidP="002642AF">
      <w:pPr>
        <w:rPr>
          <w:rFonts w:ascii="Tahoma" w:hAnsi="Tahoma" w:cs="Tahoma"/>
          <w:sz w:val="22"/>
          <w:szCs w:val="22"/>
        </w:rPr>
      </w:pPr>
    </w:p>
    <w:p w:rsidR="002642AF" w:rsidRPr="00A438D6" w:rsidRDefault="002642AF" w:rsidP="002642AF">
      <w:pPr>
        <w:pStyle w:val="Heading3"/>
      </w:pPr>
      <w:bookmarkStart w:id="28" w:name="_Toc237832467"/>
      <w:r>
        <w:t>A</w:t>
      </w:r>
      <w:r w:rsidR="005C550D">
        <w:t>ccredited</w:t>
      </w:r>
      <w:r w:rsidRPr="00A438D6">
        <w:t xml:space="preserve"> C</w:t>
      </w:r>
      <w:r w:rsidR="005C550D">
        <w:t>ompany</w:t>
      </w:r>
      <w:r w:rsidRPr="00A438D6">
        <w:t xml:space="preserve"> C</w:t>
      </w:r>
      <w:r w:rsidR="005C550D">
        <w:t>laim</w:t>
      </w:r>
      <w:r w:rsidRPr="00A438D6">
        <w:t xml:space="preserve"> </w:t>
      </w:r>
      <w:r w:rsidR="005C550D">
        <w:t>Rates</w:t>
      </w:r>
      <w:bookmarkEnd w:id="28"/>
    </w:p>
    <w:p w:rsidR="002642AF" w:rsidRPr="00E821EE" w:rsidRDefault="002642AF" w:rsidP="002642AF">
      <w:pPr>
        <w:rPr>
          <w:rFonts w:ascii="Tahoma" w:hAnsi="Tahoma" w:cs="Tahoma"/>
          <w:sz w:val="22"/>
          <w:szCs w:val="22"/>
        </w:rPr>
      </w:pPr>
    </w:p>
    <w:p w:rsidR="00BE11D7" w:rsidRDefault="00175B57" w:rsidP="002642AF">
      <w:pPr>
        <w:rPr>
          <w:rFonts w:ascii="Tahoma" w:hAnsi="Tahoma" w:cs="Tahoma"/>
          <w:sz w:val="22"/>
          <w:szCs w:val="22"/>
        </w:rPr>
      </w:pPr>
      <w:r>
        <w:rPr>
          <w:rFonts w:ascii="Tahoma" w:hAnsi="Tahoma" w:cs="Tahoma"/>
          <w:sz w:val="22"/>
          <w:szCs w:val="22"/>
        </w:rPr>
        <w:t>T</w:t>
      </w:r>
      <w:r w:rsidR="002642AF" w:rsidRPr="00E821EE">
        <w:rPr>
          <w:rFonts w:ascii="Tahoma" w:hAnsi="Tahoma" w:cs="Tahoma"/>
          <w:sz w:val="22"/>
          <w:szCs w:val="22"/>
        </w:rPr>
        <w:t xml:space="preserve">he average claim incident rate for </w:t>
      </w:r>
      <w:r w:rsidR="002642AF">
        <w:rPr>
          <w:rFonts w:ascii="Tahoma" w:hAnsi="Tahoma" w:cs="Tahoma"/>
          <w:sz w:val="22"/>
          <w:szCs w:val="22"/>
        </w:rPr>
        <w:t>accredited</w:t>
      </w:r>
      <w:r w:rsidR="002642AF" w:rsidRPr="00E821EE">
        <w:rPr>
          <w:rFonts w:ascii="Tahoma" w:hAnsi="Tahoma" w:cs="Tahoma"/>
          <w:sz w:val="22"/>
          <w:szCs w:val="22"/>
        </w:rPr>
        <w:t xml:space="preserve"> companies for the December 2008 </w:t>
      </w:r>
      <w:r>
        <w:rPr>
          <w:rFonts w:ascii="Tahoma" w:hAnsi="Tahoma" w:cs="Tahoma"/>
          <w:sz w:val="22"/>
          <w:szCs w:val="22"/>
        </w:rPr>
        <w:t>reporting period is</w:t>
      </w:r>
      <w:r w:rsidR="002642AF" w:rsidRPr="00E821EE">
        <w:rPr>
          <w:rFonts w:ascii="Tahoma" w:hAnsi="Tahoma" w:cs="Tahoma"/>
          <w:sz w:val="22"/>
          <w:szCs w:val="22"/>
        </w:rPr>
        <w:t xml:space="preserve"> 6.6 claims per 1000 employees</w:t>
      </w:r>
      <w:r w:rsidR="00BE11D7">
        <w:rPr>
          <w:rFonts w:ascii="Tahoma" w:hAnsi="Tahoma" w:cs="Tahoma"/>
          <w:sz w:val="22"/>
          <w:szCs w:val="22"/>
        </w:rPr>
        <w:t xml:space="preserve"> which </w:t>
      </w:r>
      <w:r w:rsidR="002642AF" w:rsidRPr="00E821EE">
        <w:rPr>
          <w:rFonts w:ascii="Tahoma" w:hAnsi="Tahoma" w:cs="Tahoma"/>
          <w:sz w:val="22"/>
          <w:szCs w:val="22"/>
        </w:rPr>
        <w:t>is 27 per cent better than the industry average</w:t>
      </w:r>
      <w:r w:rsidR="00BE11D7">
        <w:rPr>
          <w:rFonts w:ascii="Tahoma" w:hAnsi="Tahoma" w:cs="Tahoma"/>
          <w:sz w:val="22"/>
          <w:szCs w:val="22"/>
        </w:rPr>
        <w:t xml:space="preserve">. </w:t>
      </w:r>
      <w:r w:rsidR="00787DF9">
        <w:rPr>
          <w:rFonts w:ascii="Tahoma" w:hAnsi="Tahoma" w:cs="Tahoma"/>
          <w:sz w:val="22"/>
          <w:szCs w:val="22"/>
        </w:rPr>
        <w:t>Approximately 20 per cent of accredited companies exceed the industry average.</w:t>
      </w:r>
    </w:p>
    <w:p w:rsidR="00BE11D7" w:rsidRDefault="00BE11D7" w:rsidP="002642AF">
      <w:pPr>
        <w:rPr>
          <w:rFonts w:ascii="Tahoma" w:hAnsi="Tahoma" w:cs="Tahoma"/>
          <w:sz w:val="22"/>
          <w:szCs w:val="22"/>
        </w:rPr>
      </w:pPr>
    </w:p>
    <w:p w:rsidR="005C550D" w:rsidRPr="00E821EE" w:rsidRDefault="005C550D" w:rsidP="005C550D">
      <w:pPr>
        <w:rPr>
          <w:rFonts w:ascii="Tahoma" w:hAnsi="Tahoma" w:cs="Tahoma"/>
          <w:sz w:val="22"/>
          <w:szCs w:val="22"/>
        </w:rPr>
      </w:pPr>
      <w:r w:rsidRPr="00E821EE">
        <w:rPr>
          <w:rFonts w:ascii="Tahoma" w:hAnsi="Tahoma" w:cs="Tahoma"/>
          <w:sz w:val="22"/>
          <w:szCs w:val="22"/>
        </w:rPr>
        <w:t>For the previous</w:t>
      </w:r>
      <w:r w:rsidR="00175B57">
        <w:rPr>
          <w:rFonts w:ascii="Tahoma" w:hAnsi="Tahoma" w:cs="Tahoma"/>
          <w:sz w:val="22"/>
          <w:szCs w:val="22"/>
        </w:rPr>
        <w:t xml:space="preserve"> June 2008</w:t>
      </w:r>
      <w:r w:rsidRPr="00E821EE">
        <w:rPr>
          <w:rFonts w:ascii="Tahoma" w:hAnsi="Tahoma" w:cs="Tahoma"/>
          <w:sz w:val="22"/>
          <w:szCs w:val="22"/>
        </w:rPr>
        <w:t xml:space="preserve"> bi-annual period the </w:t>
      </w:r>
      <w:r>
        <w:rPr>
          <w:rFonts w:ascii="Tahoma" w:hAnsi="Tahoma" w:cs="Tahoma"/>
          <w:sz w:val="22"/>
          <w:szCs w:val="22"/>
        </w:rPr>
        <w:t>accredited</w:t>
      </w:r>
      <w:r w:rsidRPr="00E821EE">
        <w:rPr>
          <w:rFonts w:ascii="Tahoma" w:hAnsi="Tahoma" w:cs="Tahoma"/>
          <w:sz w:val="22"/>
          <w:szCs w:val="22"/>
        </w:rPr>
        <w:t xml:space="preserve"> company average claim incident rate was 10.6 claims per 1000 employees, which is just above the industry average for that time. In that period nearly 30 per cent of </w:t>
      </w:r>
      <w:r>
        <w:rPr>
          <w:rFonts w:ascii="Tahoma" w:hAnsi="Tahoma" w:cs="Tahoma"/>
          <w:sz w:val="22"/>
          <w:szCs w:val="22"/>
        </w:rPr>
        <w:t>accredited</w:t>
      </w:r>
      <w:r w:rsidRPr="00E821EE">
        <w:rPr>
          <w:rFonts w:ascii="Tahoma" w:hAnsi="Tahoma" w:cs="Tahoma"/>
          <w:sz w:val="22"/>
          <w:szCs w:val="22"/>
        </w:rPr>
        <w:t xml:space="preserve"> companies exceeded the industry claim rate average. </w:t>
      </w:r>
    </w:p>
    <w:p w:rsidR="005C550D" w:rsidRPr="00E821EE" w:rsidRDefault="005C550D" w:rsidP="002642AF">
      <w:pPr>
        <w:rPr>
          <w:rFonts w:ascii="Tahoma" w:hAnsi="Tahoma" w:cs="Tahoma"/>
          <w:sz w:val="22"/>
          <w:szCs w:val="22"/>
        </w:rPr>
      </w:pPr>
    </w:p>
    <w:p w:rsidR="002642AF" w:rsidRPr="003773C4" w:rsidRDefault="00E16C87" w:rsidP="002642AF">
      <w:r>
        <w:rPr>
          <w:noProof/>
          <w:lang w:eastAsia="en-AU"/>
        </w:rPr>
        <w:drawing>
          <wp:inline distT="0" distB="0" distL="0" distR="0">
            <wp:extent cx="5210175" cy="3524250"/>
            <wp:effectExtent l="19050" t="0" r="0" b="0"/>
            <wp:docPr id="2" name="Picture 2" descr="Line Graph showing claim rates for accredited companies for the December 2008 period. The X-axis represents the percentage of Accredited Companies, the Y-Axis the Claim Rate (per 1000 employees).&#10;&#10;The FSC Claim mean  is represented by a straight horizontal green line at 6.6 on the y axis. The Industry Mean is represented by a straight horizontal pink line at 8. The Percentile line begins on the y axis at zero and intersects the FSC Claim mean at approximately the 72nd percentile and Industry mean at approximately the 75th percenti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210175" cy="3524250"/>
                    </a:xfrm>
                    <a:prstGeom prst="rect">
                      <a:avLst/>
                    </a:prstGeom>
                    <a:noFill/>
                    <a:ln w="9525">
                      <a:noFill/>
                      <a:miter lim="800000"/>
                      <a:headEnd/>
                      <a:tailEnd/>
                    </a:ln>
                  </pic:spPr>
                </pic:pic>
              </a:graphicData>
            </a:graphic>
          </wp:inline>
        </w:drawing>
      </w:r>
    </w:p>
    <w:p w:rsidR="002642AF" w:rsidRDefault="002642AF" w:rsidP="002642AF">
      <w:pPr>
        <w:numPr>
          <w:ilvl w:val="0"/>
          <w:numId w:val="19"/>
        </w:numPr>
        <w:rPr>
          <w:sz w:val="18"/>
          <w:szCs w:val="18"/>
        </w:rPr>
      </w:pPr>
      <w:r w:rsidRPr="00EC1F5E">
        <w:rPr>
          <w:sz w:val="18"/>
          <w:szCs w:val="18"/>
        </w:rPr>
        <w:t xml:space="preserve">Industry average sourced from the </w:t>
      </w:r>
      <w:r w:rsidRPr="006979B1">
        <w:rPr>
          <w:i/>
          <w:sz w:val="18"/>
          <w:szCs w:val="18"/>
        </w:rPr>
        <w:t>Compendium of Workers’ Compensation Statistics Australia 2006-07</w:t>
      </w:r>
      <w:r w:rsidRPr="00EC1F5E">
        <w:rPr>
          <w:sz w:val="18"/>
          <w:szCs w:val="18"/>
        </w:rPr>
        <w:t xml:space="preserve"> published by the ASCC in March 2009.</w:t>
      </w:r>
      <w:r>
        <w:rPr>
          <w:sz w:val="18"/>
          <w:szCs w:val="18"/>
        </w:rPr>
        <w:t xml:space="preserve"> See </w:t>
      </w:r>
      <w:r w:rsidR="006B4A68">
        <w:rPr>
          <w:sz w:val="18"/>
          <w:szCs w:val="18"/>
        </w:rPr>
        <w:t>section 4.4.3</w:t>
      </w:r>
      <w:r>
        <w:rPr>
          <w:sz w:val="18"/>
          <w:szCs w:val="18"/>
        </w:rPr>
        <w:t xml:space="preserve"> for commentary on the calculation of the average for the construction industry.</w:t>
      </w:r>
    </w:p>
    <w:p w:rsidR="002642AF" w:rsidRPr="00437606" w:rsidRDefault="00682BB9" w:rsidP="002642AF">
      <w:pPr>
        <w:numPr>
          <w:ilvl w:val="0"/>
          <w:numId w:val="19"/>
        </w:numPr>
        <w:rPr>
          <w:sz w:val="18"/>
          <w:szCs w:val="18"/>
        </w:rPr>
      </w:pPr>
      <w:r>
        <w:rPr>
          <w:sz w:val="18"/>
          <w:szCs w:val="18"/>
        </w:rPr>
        <w:t>D</w:t>
      </w:r>
      <w:r w:rsidR="002642AF">
        <w:rPr>
          <w:sz w:val="18"/>
          <w:szCs w:val="18"/>
        </w:rPr>
        <w:t xml:space="preserve">ata on accredited company claims was sourced from their bi-annual reports to the OFSC and is defined as </w:t>
      </w:r>
      <w:r w:rsidR="002642AF" w:rsidRPr="006979B1">
        <w:rPr>
          <w:i/>
          <w:sz w:val="18"/>
          <w:szCs w:val="18"/>
        </w:rPr>
        <w:t>the number of</w:t>
      </w:r>
      <w:r w:rsidR="002642AF">
        <w:rPr>
          <w:sz w:val="18"/>
          <w:szCs w:val="18"/>
        </w:rPr>
        <w:t xml:space="preserve"> </w:t>
      </w:r>
      <w:r w:rsidR="002642AF" w:rsidRPr="006979B1">
        <w:rPr>
          <w:i/>
          <w:sz w:val="18"/>
          <w:szCs w:val="18"/>
        </w:rPr>
        <w:t>workers’ compensation claims with a duration of one week or more which have been recorded for the perio</w:t>
      </w:r>
      <w:r w:rsidR="002642AF">
        <w:rPr>
          <w:i/>
          <w:sz w:val="18"/>
          <w:szCs w:val="18"/>
        </w:rPr>
        <w:t>d.</w:t>
      </w:r>
    </w:p>
    <w:p w:rsidR="002642AF" w:rsidRDefault="002642AF" w:rsidP="002642AF">
      <w:pPr>
        <w:rPr>
          <w:sz w:val="18"/>
          <w:szCs w:val="18"/>
        </w:rPr>
      </w:pPr>
    </w:p>
    <w:p w:rsidR="002642AF" w:rsidRPr="00A438D6" w:rsidRDefault="00787DF9" w:rsidP="002642AF">
      <w:pPr>
        <w:pStyle w:val="Heading3"/>
      </w:pPr>
      <w:r>
        <w:br w:type="page"/>
      </w:r>
      <w:bookmarkStart w:id="29" w:name="_Toc237832468"/>
      <w:r w:rsidR="002642AF">
        <w:lastRenderedPageBreak/>
        <w:t xml:space="preserve">Calculation </w:t>
      </w:r>
      <w:r w:rsidR="005C550D">
        <w:t>o</w:t>
      </w:r>
      <w:r w:rsidR="002642AF">
        <w:t>f Current Industry Claim Rates</w:t>
      </w:r>
      <w:bookmarkEnd w:id="29"/>
    </w:p>
    <w:p w:rsidR="002642AF" w:rsidRPr="00E821EE" w:rsidRDefault="002642AF" w:rsidP="002642AF">
      <w:pPr>
        <w:rPr>
          <w:rFonts w:ascii="Tahoma" w:hAnsi="Tahoma" w:cs="Tahoma"/>
          <w:sz w:val="22"/>
          <w:szCs w:val="22"/>
        </w:rPr>
      </w:pPr>
    </w:p>
    <w:p w:rsidR="002642AF" w:rsidRPr="00E821EE" w:rsidRDefault="002642AF" w:rsidP="002642AF">
      <w:pPr>
        <w:rPr>
          <w:rFonts w:ascii="Tahoma" w:hAnsi="Tahoma" w:cs="Tahoma"/>
          <w:sz w:val="22"/>
          <w:szCs w:val="22"/>
        </w:rPr>
      </w:pPr>
      <w:r w:rsidRPr="00E821EE">
        <w:rPr>
          <w:rFonts w:ascii="Tahoma" w:hAnsi="Tahoma" w:cs="Tahoma"/>
          <w:sz w:val="22"/>
          <w:szCs w:val="22"/>
        </w:rPr>
        <w:t>The claim rate reported by the ASCC in the 2006-07 comparative report was 22 claims per 1000 employees</w:t>
      </w:r>
      <w:r w:rsidR="00682BB9">
        <w:rPr>
          <w:rFonts w:ascii="Tahoma" w:hAnsi="Tahoma" w:cs="Tahoma"/>
          <w:sz w:val="22"/>
          <w:szCs w:val="22"/>
        </w:rPr>
        <w:t xml:space="preserve"> for the full financial year</w:t>
      </w:r>
      <w:r w:rsidRPr="00E821EE">
        <w:rPr>
          <w:rFonts w:ascii="Tahoma" w:hAnsi="Tahoma" w:cs="Tahoma"/>
          <w:sz w:val="22"/>
          <w:szCs w:val="22"/>
        </w:rPr>
        <w:t>.</w:t>
      </w:r>
    </w:p>
    <w:p w:rsidR="002642AF" w:rsidRPr="00E821EE" w:rsidRDefault="002642AF" w:rsidP="002642AF">
      <w:pPr>
        <w:rPr>
          <w:rFonts w:ascii="Tahoma" w:hAnsi="Tahoma" w:cs="Tahoma"/>
          <w:sz w:val="22"/>
          <w:szCs w:val="22"/>
        </w:rPr>
      </w:pPr>
    </w:p>
    <w:p w:rsidR="002642AF" w:rsidRPr="00E821EE" w:rsidRDefault="002642AF" w:rsidP="002642AF">
      <w:pPr>
        <w:rPr>
          <w:rFonts w:ascii="Tahoma" w:hAnsi="Tahoma" w:cs="Tahoma"/>
          <w:sz w:val="22"/>
          <w:szCs w:val="22"/>
        </w:rPr>
      </w:pPr>
      <w:r w:rsidRPr="00E821EE">
        <w:rPr>
          <w:rFonts w:ascii="Tahoma" w:hAnsi="Tahoma" w:cs="Tahoma"/>
          <w:sz w:val="22"/>
          <w:szCs w:val="22"/>
        </w:rPr>
        <w:t xml:space="preserve">Additional analysis provided by </w:t>
      </w:r>
      <w:r w:rsidR="00682BB9">
        <w:rPr>
          <w:rFonts w:ascii="Tahoma" w:hAnsi="Tahoma" w:cs="Tahoma"/>
          <w:sz w:val="22"/>
          <w:szCs w:val="22"/>
        </w:rPr>
        <w:t>Safe Work Australia (formally the ASCC)</w:t>
      </w:r>
      <w:r w:rsidRPr="00E821EE">
        <w:rPr>
          <w:rFonts w:ascii="Tahoma" w:hAnsi="Tahoma" w:cs="Tahoma"/>
          <w:sz w:val="22"/>
          <w:szCs w:val="22"/>
        </w:rPr>
        <w:t xml:space="preserve"> indicates that the incidence of serious claims in the construction industry between the first and second halves of the year is negligible, with a less than 4 per cent difference between each half. Australian Bureau of Statistics (ABS) data also indicates that employee numbers in the construction industry remain relatively constant through the year but with a small increase over time.</w:t>
      </w:r>
    </w:p>
    <w:p w:rsidR="002642AF" w:rsidRPr="00E821EE" w:rsidRDefault="002642AF" w:rsidP="002642AF">
      <w:pPr>
        <w:rPr>
          <w:rFonts w:ascii="Tahoma" w:hAnsi="Tahoma" w:cs="Tahoma"/>
          <w:sz w:val="22"/>
          <w:szCs w:val="22"/>
        </w:rPr>
      </w:pPr>
      <w:r w:rsidRPr="00E821EE">
        <w:rPr>
          <w:rFonts w:ascii="Tahoma" w:hAnsi="Tahoma" w:cs="Tahoma"/>
          <w:sz w:val="22"/>
          <w:szCs w:val="22"/>
        </w:rPr>
        <w:t xml:space="preserve"> </w:t>
      </w:r>
    </w:p>
    <w:p w:rsidR="002642AF" w:rsidRPr="00E821EE" w:rsidRDefault="002642AF" w:rsidP="002642AF">
      <w:pPr>
        <w:rPr>
          <w:rFonts w:ascii="Tahoma" w:hAnsi="Tahoma" w:cs="Tahoma"/>
          <w:sz w:val="22"/>
          <w:szCs w:val="22"/>
        </w:rPr>
      </w:pPr>
      <w:r w:rsidRPr="00E821EE">
        <w:rPr>
          <w:rFonts w:ascii="Tahoma" w:hAnsi="Tahoma" w:cs="Tahoma"/>
          <w:sz w:val="22"/>
          <w:szCs w:val="22"/>
        </w:rPr>
        <w:t xml:space="preserve">In order to calculate a comparative claim incidence rate as at the end of 2008, as figures provided in the ASCC report are for 2006-07 financial year, an estimate was made using the incident rates over time figures provided in the ASCC compendium report. This estimate was determined by using the average decrease in incident rate for the 2003-04 to 2006-07 periods, of 2.0, multiplied by the 2 years elapsed since June 2007 (giving 4.0). Assuming industry rates would continue to decline at this rate we deducted this from the 2006-07 figure of 22.1.This returns a final estimated claim incident rate for the 2008-09 financial year of 18.1 claims per 1000 employees. </w:t>
      </w:r>
    </w:p>
    <w:p w:rsidR="002642AF" w:rsidRPr="00E821EE" w:rsidRDefault="002642AF" w:rsidP="002642AF">
      <w:pPr>
        <w:rPr>
          <w:rFonts w:ascii="Tahoma" w:hAnsi="Tahoma" w:cs="Tahoma"/>
          <w:sz w:val="22"/>
          <w:szCs w:val="22"/>
        </w:rPr>
      </w:pPr>
    </w:p>
    <w:p w:rsidR="002642AF" w:rsidRPr="00E821EE" w:rsidRDefault="002642AF" w:rsidP="002642AF">
      <w:pPr>
        <w:rPr>
          <w:rFonts w:ascii="Tahoma" w:hAnsi="Tahoma" w:cs="Tahoma"/>
          <w:sz w:val="22"/>
          <w:szCs w:val="22"/>
        </w:rPr>
      </w:pPr>
      <w:r w:rsidRPr="00E821EE">
        <w:rPr>
          <w:rFonts w:ascii="Tahoma" w:hAnsi="Tahoma" w:cs="Tahoma"/>
          <w:sz w:val="22"/>
          <w:szCs w:val="22"/>
        </w:rPr>
        <w:t>Based on this estimated incident rate figure and the indication of equal data distributions, it can reasonably be concluded that the serious claim incident rate for the six month period at the end of 2008, for the construction industry as a whole, would be half the annual rate for 2008-09, that is, approximately 9.0 claims per 1000 employees.</w:t>
      </w:r>
    </w:p>
    <w:p w:rsidR="00E62A8D" w:rsidRDefault="00E62A8D" w:rsidP="00787DF9">
      <w:pPr>
        <w:ind w:left="360"/>
        <w:rPr>
          <w:rFonts w:ascii="Tahoma" w:hAnsi="Tahoma" w:cs="Tahoma"/>
          <w:sz w:val="22"/>
          <w:szCs w:val="22"/>
        </w:rPr>
      </w:pPr>
    </w:p>
    <w:p w:rsidR="007A5319" w:rsidRDefault="00787DF9" w:rsidP="00571187">
      <w:pPr>
        <w:pStyle w:val="Heading2"/>
      </w:pPr>
      <w:r>
        <w:br w:type="page"/>
      </w:r>
      <w:bookmarkStart w:id="30" w:name="_Toc237832469"/>
      <w:r w:rsidR="00876E4C" w:rsidRPr="00876E4C">
        <w:lastRenderedPageBreak/>
        <w:t>Profile of injuries</w:t>
      </w:r>
      <w:bookmarkEnd w:id="30"/>
    </w:p>
    <w:p w:rsidR="0063719A" w:rsidRPr="0063719A" w:rsidRDefault="0063719A" w:rsidP="0063719A">
      <w:pPr>
        <w:outlineLvl w:val="1"/>
        <w:rPr>
          <w:rFonts w:ascii="Tahoma" w:hAnsi="Tahoma" w:cs="Tahoma"/>
          <w:sz w:val="22"/>
          <w:szCs w:val="22"/>
        </w:rPr>
      </w:pPr>
    </w:p>
    <w:p w:rsidR="000D1B54" w:rsidRPr="001614C9" w:rsidRDefault="0063719A" w:rsidP="001614C9">
      <w:pPr>
        <w:spacing w:after="120"/>
        <w:rPr>
          <w:rFonts w:ascii="Tahoma" w:hAnsi="Tahoma" w:cs="Tahoma"/>
          <w:sz w:val="22"/>
          <w:szCs w:val="22"/>
        </w:rPr>
      </w:pPr>
      <w:r w:rsidRPr="001614C9">
        <w:rPr>
          <w:rFonts w:ascii="Tahoma" w:hAnsi="Tahoma" w:cs="Tahoma"/>
          <w:sz w:val="22"/>
          <w:szCs w:val="22"/>
        </w:rPr>
        <w:t xml:space="preserve">Accredited contractors are required to report lost time incidents based on the mechanism of incident classification groups contained in the </w:t>
      </w:r>
      <w:r w:rsidRPr="00AA45BD">
        <w:rPr>
          <w:rStyle w:val="Emphasis"/>
        </w:rPr>
        <w:t>Type of Occurrence Classification System, Version 3.</w:t>
      </w:r>
      <w:r w:rsidR="00272A3C" w:rsidRPr="00AA45BD">
        <w:rPr>
          <w:rStyle w:val="Emphasis"/>
        </w:rPr>
        <w:t>1</w:t>
      </w:r>
      <w:r w:rsidRPr="001614C9">
        <w:rPr>
          <w:rFonts w:ascii="Tahoma" w:hAnsi="Tahoma" w:cs="Tahoma"/>
          <w:sz w:val="22"/>
          <w:szCs w:val="22"/>
        </w:rPr>
        <w:t xml:space="preserve"> (TOOCS3.</w:t>
      </w:r>
      <w:r w:rsidR="00272A3C" w:rsidRPr="001614C9">
        <w:rPr>
          <w:rFonts w:ascii="Tahoma" w:hAnsi="Tahoma" w:cs="Tahoma"/>
          <w:sz w:val="22"/>
          <w:szCs w:val="22"/>
        </w:rPr>
        <w:t>1</w:t>
      </w:r>
      <w:r w:rsidRPr="001614C9">
        <w:rPr>
          <w:rFonts w:ascii="Tahoma" w:hAnsi="Tahoma" w:cs="Tahoma"/>
          <w:sz w:val="22"/>
          <w:szCs w:val="22"/>
        </w:rPr>
        <w:t xml:space="preserve">) published by </w:t>
      </w:r>
      <w:r w:rsidR="00502828">
        <w:rPr>
          <w:rFonts w:ascii="Tahoma" w:hAnsi="Tahoma" w:cs="Tahoma"/>
          <w:sz w:val="22"/>
          <w:szCs w:val="22"/>
        </w:rPr>
        <w:t>Safe Work Australia</w:t>
      </w:r>
      <w:r w:rsidRPr="001614C9">
        <w:rPr>
          <w:rFonts w:ascii="Tahoma" w:hAnsi="Tahoma" w:cs="Tahoma"/>
          <w:sz w:val="22"/>
          <w:szCs w:val="22"/>
        </w:rPr>
        <w:t xml:space="preserve"> (</w:t>
      </w:r>
      <w:r w:rsidR="00502828">
        <w:rPr>
          <w:rFonts w:ascii="Tahoma" w:hAnsi="Tahoma" w:cs="Tahoma"/>
          <w:sz w:val="22"/>
          <w:szCs w:val="22"/>
        </w:rPr>
        <w:t>SWA</w:t>
      </w:r>
      <w:r w:rsidRPr="001614C9">
        <w:rPr>
          <w:rFonts w:ascii="Tahoma" w:hAnsi="Tahoma" w:cs="Tahoma"/>
          <w:sz w:val="22"/>
          <w:szCs w:val="22"/>
        </w:rPr>
        <w:t>).</w:t>
      </w:r>
    </w:p>
    <w:p w:rsidR="0032276F" w:rsidRPr="001614C9" w:rsidRDefault="00876E4C" w:rsidP="001614C9">
      <w:pPr>
        <w:spacing w:after="120"/>
        <w:rPr>
          <w:rFonts w:ascii="Tahoma" w:hAnsi="Tahoma" w:cs="Tahoma"/>
          <w:sz w:val="22"/>
          <w:szCs w:val="22"/>
        </w:rPr>
      </w:pPr>
      <w:r w:rsidRPr="001614C9">
        <w:rPr>
          <w:rFonts w:ascii="Tahoma" w:hAnsi="Tahoma" w:cs="Tahoma"/>
          <w:sz w:val="22"/>
          <w:szCs w:val="22"/>
        </w:rPr>
        <w:t xml:space="preserve">The </w:t>
      </w:r>
      <w:r w:rsidRPr="001614C9">
        <w:rPr>
          <w:rFonts w:ascii="Tahoma" w:hAnsi="Tahoma" w:cs="Tahoma"/>
          <w:i/>
          <w:sz w:val="22"/>
          <w:szCs w:val="22"/>
        </w:rPr>
        <w:t>mechanism of incident</w:t>
      </w:r>
      <w:r w:rsidRPr="001614C9">
        <w:rPr>
          <w:rFonts w:ascii="Tahoma" w:hAnsi="Tahoma" w:cs="Tahoma"/>
          <w:sz w:val="22"/>
          <w:szCs w:val="22"/>
        </w:rPr>
        <w:t xml:space="preserve"> classification is intended to identify the overall action, exposure or event that best describes the circumst</w:t>
      </w:r>
      <w:r w:rsidR="00AA45BD">
        <w:rPr>
          <w:rFonts w:ascii="Tahoma" w:hAnsi="Tahoma" w:cs="Tahoma"/>
          <w:sz w:val="22"/>
          <w:szCs w:val="22"/>
        </w:rPr>
        <w:t xml:space="preserve">ances that resulted in the most </w:t>
      </w:r>
      <w:r w:rsidRPr="001614C9">
        <w:rPr>
          <w:rFonts w:ascii="Tahoma" w:hAnsi="Tahoma" w:cs="Tahoma"/>
          <w:sz w:val="22"/>
          <w:szCs w:val="22"/>
        </w:rPr>
        <w:t>serious injury or disease.</w:t>
      </w:r>
    </w:p>
    <w:p w:rsidR="00941B75" w:rsidRDefault="00AA45BD" w:rsidP="00941B75">
      <w:pPr>
        <w:rPr>
          <w:rFonts w:ascii="Tahoma" w:hAnsi="Tahoma" w:cs="Tahoma"/>
          <w:sz w:val="22"/>
          <w:szCs w:val="22"/>
        </w:rPr>
      </w:pPr>
      <w:r>
        <w:rPr>
          <w:rFonts w:ascii="Tahoma" w:hAnsi="Tahoma" w:cs="Tahoma"/>
          <w:noProof/>
          <w:sz w:val="22"/>
          <w:szCs w:val="22"/>
          <w:lang w:eastAsia="en-AU"/>
        </w:rPr>
        <w:drawing>
          <wp:inline distT="0" distB="0" distL="0" distR="0">
            <wp:extent cx="5278755" cy="3754173"/>
            <wp:effectExtent l="19050" t="0" r="0" b="0"/>
            <wp:docPr id="5" name="Picture 2" descr="Pie Chart demonstrating the mechanism of incident for the December 2008 period.&#10;Group 0 - Falls, trips and slips of a person  23.8%&#10;Group 1 - Hitting objects with a part of the body  15%&#10;Group 2 - Being hit by moving objects  15.3%&#10;Group 4 - Body stressing  29.8%&#10;Group 9 - Other and unspecified mechanisms of incident 11.7%&#10;Group 3, 5, 6, 7 and 8  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278755" cy="3754173"/>
                    </a:xfrm>
                    <a:prstGeom prst="rect">
                      <a:avLst/>
                    </a:prstGeom>
                    <a:noFill/>
                    <a:ln w="9525">
                      <a:noFill/>
                      <a:miter lim="800000"/>
                      <a:headEnd/>
                      <a:tailEnd/>
                    </a:ln>
                  </pic:spPr>
                </pic:pic>
              </a:graphicData>
            </a:graphic>
          </wp:inline>
        </w:drawing>
      </w:r>
    </w:p>
    <w:p w:rsidR="00941B75" w:rsidRDefault="00941B75" w:rsidP="00941B75">
      <w:pPr>
        <w:outlineLvl w:val="1"/>
        <w:rPr>
          <w:rFonts w:ascii="Tahoma" w:hAnsi="Tahoma" w:cs="Tahoma"/>
          <w:sz w:val="22"/>
          <w:szCs w:val="22"/>
        </w:rPr>
      </w:pPr>
    </w:p>
    <w:p w:rsidR="00941B75" w:rsidRPr="001614C9" w:rsidRDefault="00941B75" w:rsidP="00941B75">
      <w:pPr>
        <w:numPr>
          <w:ilvl w:val="0"/>
          <w:numId w:val="15"/>
        </w:numPr>
        <w:spacing w:after="120"/>
        <w:rPr>
          <w:rFonts w:ascii="Tahoma" w:hAnsi="Tahoma" w:cs="Tahoma"/>
          <w:sz w:val="22"/>
          <w:szCs w:val="22"/>
        </w:rPr>
      </w:pPr>
      <w:r w:rsidRPr="001614C9">
        <w:rPr>
          <w:rFonts w:ascii="Tahoma" w:hAnsi="Tahoma" w:cs="Tahoma"/>
          <w:sz w:val="22"/>
          <w:szCs w:val="22"/>
        </w:rPr>
        <w:t>For the December 2008 reporting period, 802 incidents were reported by 87 accredited contractors compared to 693 incidents by 46 accredited contractors in the December 2007 reporting period, an increase of 16 per cent in the number of incidents and an 89 per cent increase in the number of accredited contractors.</w:t>
      </w:r>
    </w:p>
    <w:p w:rsidR="00941B75" w:rsidRDefault="00941B75" w:rsidP="00941B75">
      <w:pPr>
        <w:numPr>
          <w:ilvl w:val="0"/>
          <w:numId w:val="15"/>
        </w:numPr>
        <w:spacing w:after="120"/>
        <w:rPr>
          <w:rFonts w:ascii="Tahoma" w:hAnsi="Tahoma" w:cs="Tahoma"/>
          <w:sz w:val="22"/>
          <w:szCs w:val="22"/>
        </w:rPr>
      </w:pPr>
      <w:r w:rsidRPr="001614C9">
        <w:rPr>
          <w:rFonts w:ascii="Tahoma" w:hAnsi="Tahoma" w:cs="Tahoma"/>
          <w:sz w:val="22"/>
          <w:szCs w:val="22"/>
        </w:rPr>
        <w:t>The top five mechanism of incident groups accounted for 95.6 per cent of all incidents for the December 2008 reporting period compared to 93.9 per cent for the December 2007 reporting period, with the mechanism of incident classifications and rankings the same for both periods.</w:t>
      </w:r>
    </w:p>
    <w:p w:rsidR="00941B75" w:rsidRDefault="00941B75" w:rsidP="00941B75">
      <w:pPr>
        <w:rPr>
          <w:rFonts w:ascii="Tahoma" w:hAnsi="Tahoma" w:cs="Tahoma"/>
          <w:sz w:val="22"/>
          <w:szCs w:val="22"/>
        </w:rPr>
      </w:pPr>
    </w:p>
    <w:p w:rsidR="00941B75" w:rsidRDefault="00941B75" w:rsidP="00941B75">
      <w:pPr>
        <w:rPr>
          <w:rFonts w:ascii="Tahoma" w:hAnsi="Tahoma" w:cs="Tahoma"/>
          <w:sz w:val="22"/>
          <w:szCs w:val="22"/>
        </w:rPr>
      </w:pPr>
    </w:p>
    <w:p w:rsidR="00941B75" w:rsidRPr="00941B75" w:rsidRDefault="00941B75" w:rsidP="00941B75">
      <w:pPr>
        <w:rPr>
          <w:rFonts w:ascii="Tahoma" w:hAnsi="Tahoma" w:cs="Tahoma"/>
          <w:sz w:val="22"/>
          <w:szCs w:val="22"/>
        </w:rPr>
      </w:pPr>
    </w:p>
    <w:p w:rsidR="00ED336C" w:rsidRPr="007F0381" w:rsidRDefault="001E5401" w:rsidP="00571187">
      <w:pPr>
        <w:pStyle w:val="Heading2"/>
      </w:pPr>
      <w:bookmarkStart w:id="31" w:name="_Toc237832470"/>
      <w:r>
        <w:t>High risk construction work</w:t>
      </w:r>
      <w:bookmarkEnd w:id="31"/>
    </w:p>
    <w:p w:rsidR="007F0381" w:rsidRDefault="007F0381" w:rsidP="007F0381">
      <w:pPr>
        <w:rPr>
          <w:rFonts w:ascii="Tahoma" w:hAnsi="Tahoma" w:cs="Tahoma"/>
          <w:sz w:val="22"/>
          <w:szCs w:val="22"/>
        </w:rPr>
      </w:pPr>
    </w:p>
    <w:p w:rsidR="00E75914" w:rsidRDefault="009A1E5C" w:rsidP="00E75914">
      <w:pPr>
        <w:rPr>
          <w:rFonts w:ascii="Tahoma" w:hAnsi="Tahoma" w:cs="Tahoma"/>
          <w:sz w:val="22"/>
          <w:szCs w:val="22"/>
        </w:rPr>
      </w:pPr>
      <w:r>
        <w:rPr>
          <w:rFonts w:ascii="Tahoma" w:hAnsi="Tahoma" w:cs="Tahoma"/>
          <w:sz w:val="22"/>
          <w:szCs w:val="22"/>
        </w:rPr>
        <w:t xml:space="preserve">Accredited contractors are required to report if they </w:t>
      </w:r>
      <w:r w:rsidR="00941B75">
        <w:rPr>
          <w:rFonts w:ascii="Tahoma" w:hAnsi="Tahoma" w:cs="Tahoma"/>
          <w:sz w:val="22"/>
          <w:szCs w:val="22"/>
        </w:rPr>
        <w:t>performed</w:t>
      </w:r>
      <w:r>
        <w:rPr>
          <w:rFonts w:ascii="Tahoma" w:hAnsi="Tahoma" w:cs="Tahoma"/>
          <w:sz w:val="22"/>
          <w:szCs w:val="22"/>
        </w:rPr>
        <w:t xml:space="preserve"> any </w:t>
      </w:r>
      <w:r w:rsidR="00926674" w:rsidRPr="005A4FFA">
        <w:rPr>
          <w:rFonts w:ascii="Tahoma" w:hAnsi="Tahoma" w:cs="Tahoma"/>
          <w:i/>
          <w:sz w:val="22"/>
          <w:szCs w:val="22"/>
        </w:rPr>
        <w:t>‘</w:t>
      </w:r>
      <w:r w:rsidRPr="00AA45BD">
        <w:rPr>
          <w:rStyle w:val="Emphasis"/>
        </w:rPr>
        <w:t>high risk construction work</w:t>
      </w:r>
      <w:r w:rsidR="00926674" w:rsidRPr="00AA45BD">
        <w:rPr>
          <w:rStyle w:val="Emphasis"/>
        </w:rPr>
        <w:t>’</w:t>
      </w:r>
      <w:r>
        <w:rPr>
          <w:rFonts w:ascii="Tahoma" w:hAnsi="Tahoma" w:cs="Tahoma"/>
          <w:sz w:val="22"/>
          <w:szCs w:val="22"/>
        </w:rPr>
        <w:t xml:space="preserve"> </w:t>
      </w:r>
      <w:r w:rsidR="00536D9B">
        <w:rPr>
          <w:rFonts w:ascii="Tahoma" w:hAnsi="Tahoma" w:cs="Tahoma"/>
          <w:sz w:val="22"/>
          <w:szCs w:val="22"/>
        </w:rPr>
        <w:t xml:space="preserve">as described in the </w:t>
      </w:r>
      <w:r w:rsidR="00926674" w:rsidRPr="00AA45BD">
        <w:rPr>
          <w:rStyle w:val="Emphasis"/>
        </w:rPr>
        <w:t xml:space="preserve">National Standard For Construction Work </w:t>
      </w:r>
      <w:r w:rsidR="00926674">
        <w:rPr>
          <w:rFonts w:ascii="Tahoma" w:hAnsi="Tahoma" w:cs="Tahoma"/>
          <w:sz w:val="22"/>
          <w:szCs w:val="22"/>
        </w:rPr>
        <w:lastRenderedPageBreak/>
        <w:t xml:space="preserve">[NOHSC:1016 (2005)] </w:t>
      </w:r>
      <w:r w:rsidR="00536D9B">
        <w:rPr>
          <w:rFonts w:ascii="Tahoma" w:hAnsi="Tahoma" w:cs="Tahoma"/>
          <w:sz w:val="22"/>
          <w:szCs w:val="22"/>
        </w:rPr>
        <w:t xml:space="preserve">published by </w:t>
      </w:r>
      <w:r w:rsidR="00502828">
        <w:rPr>
          <w:rFonts w:ascii="Tahoma" w:hAnsi="Tahoma" w:cs="Tahoma"/>
          <w:sz w:val="22"/>
          <w:szCs w:val="22"/>
        </w:rPr>
        <w:t>Safe Work Australia</w:t>
      </w:r>
      <w:r w:rsidR="00F15A1D">
        <w:rPr>
          <w:rFonts w:ascii="Tahoma" w:hAnsi="Tahoma" w:cs="Tahoma"/>
          <w:sz w:val="22"/>
          <w:szCs w:val="22"/>
        </w:rPr>
        <w:t xml:space="preserve"> (</w:t>
      </w:r>
      <w:r w:rsidR="00502828">
        <w:rPr>
          <w:rFonts w:ascii="Tahoma" w:hAnsi="Tahoma" w:cs="Tahoma"/>
          <w:sz w:val="22"/>
          <w:szCs w:val="22"/>
        </w:rPr>
        <w:t>SWA</w:t>
      </w:r>
      <w:r w:rsidR="00F15A1D">
        <w:rPr>
          <w:rFonts w:ascii="Tahoma" w:hAnsi="Tahoma" w:cs="Tahoma"/>
          <w:sz w:val="22"/>
          <w:szCs w:val="22"/>
        </w:rPr>
        <w:t>)</w:t>
      </w:r>
      <w:r w:rsidR="00536D9B">
        <w:rPr>
          <w:rFonts w:ascii="Tahoma" w:hAnsi="Tahoma" w:cs="Tahoma"/>
          <w:sz w:val="22"/>
          <w:szCs w:val="22"/>
        </w:rPr>
        <w:t xml:space="preserve"> </w:t>
      </w:r>
      <w:r>
        <w:rPr>
          <w:rFonts w:ascii="Tahoma" w:hAnsi="Tahoma" w:cs="Tahoma"/>
          <w:sz w:val="22"/>
          <w:szCs w:val="22"/>
        </w:rPr>
        <w:t xml:space="preserve">and indicate whether any such work resulted in </w:t>
      </w:r>
      <w:r w:rsidR="00E75914">
        <w:rPr>
          <w:rFonts w:ascii="Tahoma" w:hAnsi="Tahoma" w:cs="Tahoma"/>
          <w:sz w:val="22"/>
          <w:szCs w:val="22"/>
        </w:rPr>
        <w:t xml:space="preserve">an injury or near miss event </w:t>
      </w:r>
      <w:r>
        <w:rPr>
          <w:rFonts w:ascii="Tahoma" w:hAnsi="Tahoma" w:cs="Tahoma"/>
          <w:sz w:val="22"/>
          <w:szCs w:val="22"/>
        </w:rPr>
        <w:t>th</w:t>
      </w:r>
      <w:r w:rsidR="00E75914">
        <w:rPr>
          <w:rFonts w:ascii="Tahoma" w:hAnsi="Tahoma" w:cs="Tahoma"/>
          <w:sz w:val="22"/>
          <w:szCs w:val="22"/>
        </w:rPr>
        <w:t>at required th</w:t>
      </w:r>
      <w:r>
        <w:rPr>
          <w:rFonts w:ascii="Tahoma" w:hAnsi="Tahoma" w:cs="Tahoma"/>
          <w:sz w:val="22"/>
          <w:szCs w:val="22"/>
        </w:rPr>
        <w:t xml:space="preserve">e accredited contractor </w:t>
      </w:r>
      <w:r w:rsidR="00E75914">
        <w:rPr>
          <w:rFonts w:ascii="Tahoma" w:hAnsi="Tahoma" w:cs="Tahoma"/>
          <w:sz w:val="22"/>
          <w:szCs w:val="22"/>
        </w:rPr>
        <w:t>to notify the relevant OHS authority (under the OHS legislation covering notif</w:t>
      </w:r>
      <w:r w:rsidR="00787DF9">
        <w:rPr>
          <w:rFonts w:ascii="Tahoma" w:hAnsi="Tahoma" w:cs="Tahoma"/>
          <w:sz w:val="22"/>
          <w:szCs w:val="22"/>
        </w:rPr>
        <w:t>i</w:t>
      </w:r>
      <w:r w:rsidR="00E75914">
        <w:rPr>
          <w:rFonts w:ascii="Tahoma" w:hAnsi="Tahoma" w:cs="Tahoma"/>
          <w:sz w:val="22"/>
          <w:szCs w:val="22"/>
        </w:rPr>
        <w:t>able incidents) in the jurisdiction in which the project was undertaken.</w:t>
      </w:r>
    </w:p>
    <w:p w:rsidR="00B052A9" w:rsidRDefault="00B052A9" w:rsidP="00E75914">
      <w:pPr>
        <w:rPr>
          <w:rFonts w:ascii="Tahoma" w:hAnsi="Tahoma" w:cs="Tahoma"/>
          <w:sz w:val="22"/>
          <w:szCs w:val="22"/>
        </w:rPr>
      </w:pPr>
    </w:p>
    <w:p w:rsidR="00B43059" w:rsidRDefault="00B43059" w:rsidP="00F147BA">
      <w:pPr>
        <w:rPr>
          <w:rFonts w:ascii="Tahoma" w:hAnsi="Tahoma" w:cs="Tahoma"/>
          <w:sz w:val="22"/>
          <w:szCs w:val="22"/>
        </w:rPr>
      </w:pPr>
    </w:p>
    <w:p w:rsidR="00C729EA" w:rsidRDefault="00E16C87" w:rsidP="00C729EA">
      <w:pPr>
        <w:rPr>
          <w:rFonts w:ascii="Tahoma" w:hAnsi="Tahoma" w:cs="Tahoma"/>
          <w:sz w:val="22"/>
          <w:szCs w:val="22"/>
        </w:rPr>
      </w:pPr>
      <w:r>
        <w:rPr>
          <w:noProof/>
          <w:lang w:eastAsia="en-AU"/>
        </w:rPr>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724525" cy="4048125"/>
            <wp:effectExtent l="19050" t="0" r="9525" b="0"/>
            <wp:wrapSquare wrapText="bothSides"/>
            <wp:docPr id="3" name="Picture 3" descr="Pie Chart demonstrating High risk construction work notifiable incidents for the December 2008 period&#10;Category 1 - construction work where there is a risk of a person falling two metres or more  16.9%&#10;Category 3 - construction work involving demolition  4.2%&#10;Category 10 - construction work on or near pressurised gas distribution mains and consumer piping  4.2%&#10;Category 12 - construction work on or near energised electrical installations and services  31.9%&#10;Category 15 - construction work on or adjacent to roadways or railways used by road or rail traffic  4.2%&#10;Category 16 - work on construction sites where there is any movement of powered mobile plant  27.1%&#10;Categories 2, 4 - 9, 11, 13 - 14 and 17 – 19  1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5724525" cy="4048125"/>
                    </a:xfrm>
                    <a:prstGeom prst="rect">
                      <a:avLst/>
                    </a:prstGeom>
                    <a:noFill/>
                    <a:ln w="9525">
                      <a:noFill/>
                      <a:miter lim="800000"/>
                      <a:headEnd/>
                      <a:tailEnd/>
                    </a:ln>
                  </pic:spPr>
                </pic:pic>
              </a:graphicData>
            </a:graphic>
          </wp:anchor>
        </w:drawing>
      </w:r>
    </w:p>
    <w:p w:rsidR="00941B75" w:rsidRDefault="00941B75" w:rsidP="00941B75">
      <w:pPr>
        <w:numPr>
          <w:ilvl w:val="0"/>
          <w:numId w:val="12"/>
        </w:numPr>
        <w:rPr>
          <w:rFonts w:ascii="Tahoma" w:hAnsi="Tahoma" w:cs="Tahoma"/>
          <w:sz w:val="22"/>
          <w:szCs w:val="22"/>
        </w:rPr>
      </w:pPr>
      <w:r>
        <w:rPr>
          <w:rFonts w:ascii="Tahoma" w:hAnsi="Tahoma" w:cs="Tahoma"/>
          <w:sz w:val="22"/>
          <w:szCs w:val="22"/>
        </w:rPr>
        <w:t>There were 166 notifiable incidents reported by 44 accredited contractors to the relevant jurisdiction OHS authority for the December 2008 reporting period.</w:t>
      </w:r>
    </w:p>
    <w:p w:rsidR="00C729EA" w:rsidRDefault="00C729EA" w:rsidP="00C729EA">
      <w:pPr>
        <w:rPr>
          <w:rFonts w:ascii="Tahoma" w:hAnsi="Tahoma" w:cs="Tahoma"/>
          <w:sz w:val="22"/>
          <w:szCs w:val="22"/>
        </w:rPr>
      </w:pPr>
    </w:p>
    <w:p w:rsidR="009A1E5C" w:rsidRPr="001E5401" w:rsidRDefault="006B4A68" w:rsidP="00571187">
      <w:pPr>
        <w:pStyle w:val="Heading2"/>
      </w:pPr>
      <w:r>
        <w:br w:type="page"/>
      </w:r>
      <w:bookmarkStart w:id="32" w:name="_Toc237832471"/>
      <w:r w:rsidR="001907B3">
        <w:lastRenderedPageBreak/>
        <w:t xml:space="preserve">Workers Compensation </w:t>
      </w:r>
      <w:r w:rsidR="001E5401" w:rsidRPr="001E5401">
        <w:t xml:space="preserve">Premium </w:t>
      </w:r>
      <w:r w:rsidR="001907B3">
        <w:t>R</w:t>
      </w:r>
      <w:r w:rsidR="001E5401" w:rsidRPr="001E5401">
        <w:t>ate</w:t>
      </w:r>
      <w:r w:rsidR="001907B3">
        <w:t>s</w:t>
      </w:r>
      <w:bookmarkEnd w:id="32"/>
    </w:p>
    <w:p w:rsidR="001E5401" w:rsidRPr="007A5720" w:rsidRDefault="001E5401" w:rsidP="001E5401">
      <w:pPr>
        <w:rPr>
          <w:rFonts w:ascii="Tahoma" w:hAnsi="Tahoma" w:cs="Tahoma"/>
          <w:sz w:val="22"/>
          <w:szCs w:val="22"/>
        </w:rPr>
      </w:pPr>
    </w:p>
    <w:tbl>
      <w:tblPr>
        <w:tblStyle w:val="TableGrid"/>
        <w:tblW w:w="10891" w:type="dxa"/>
        <w:jc w:val="center"/>
        <w:tblLayout w:type="fixed"/>
        <w:tblLook w:val="01E0" w:firstRow="1" w:lastRow="1" w:firstColumn="1" w:lastColumn="1" w:noHBand="0" w:noVBand="0"/>
      </w:tblPr>
      <w:tblGrid>
        <w:gridCol w:w="1856"/>
        <w:gridCol w:w="1121"/>
        <w:gridCol w:w="1134"/>
        <w:gridCol w:w="1118"/>
        <w:gridCol w:w="1129"/>
        <w:gridCol w:w="1131"/>
        <w:gridCol w:w="1134"/>
        <w:gridCol w:w="1134"/>
        <w:gridCol w:w="1134"/>
      </w:tblGrid>
      <w:tr w:rsidR="00526257" w:rsidTr="00526257">
        <w:trPr>
          <w:jc w:val="center"/>
        </w:trPr>
        <w:tc>
          <w:tcPr>
            <w:tcW w:w="1856" w:type="dxa"/>
            <w:vAlign w:val="bottom"/>
          </w:tcPr>
          <w:p w:rsidR="000373A6" w:rsidRPr="000373A6" w:rsidRDefault="000373A6" w:rsidP="00526257">
            <w:pPr>
              <w:jc w:val="center"/>
              <w:rPr>
                <w:rFonts w:ascii="Tahoma" w:hAnsi="Tahoma" w:cs="Tahoma"/>
                <w:b/>
                <w:sz w:val="20"/>
              </w:rPr>
            </w:pPr>
            <w:r w:rsidRPr="000373A6">
              <w:rPr>
                <w:rFonts w:ascii="Tahoma" w:hAnsi="Tahoma" w:cs="Tahoma"/>
                <w:b/>
                <w:sz w:val="20"/>
              </w:rPr>
              <w:t>Period</w:t>
            </w:r>
          </w:p>
        </w:tc>
        <w:tc>
          <w:tcPr>
            <w:tcW w:w="1121" w:type="dxa"/>
            <w:vAlign w:val="bottom"/>
          </w:tcPr>
          <w:p w:rsidR="000373A6" w:rsidRPr="000373A6" w:rsidRDefault="00AA45BD" w:rsidP="00526257">
            <w:pPr>
              <w:jc w:val="center"/>
              <w:rPr>
                <w:rFonts w:ascii="Tahoma" w:hAnsi="Tahoma" w:cs="Tahoma"/>
                <w:b/>
                <w:sz w:val="20"/>
              </w:rPr>
            </w:pPr>
            <w:r w:rsidRPr="00AA45BD">
              <w:rPr>
                <w:rFonts w:ascii="Tahoma" w:hAnsi="Tahoma" w:cs="Tahoma"/>
                <w:b/>
                <w:sz w:val="20"/>
              </w:rPr>
              <w:t>Mean premium rate ACT %</w:t>
            </w:r>
          </w:p>
        </w:tc>
        <w:tc>
          <w:tcPr>
            <w:tcW w:w="1134" w:type="dxa"/>
            <w:vAlign w:val="bottom"/>
          </w:tcPr>
          <w:p w:rsidR="00526257" w:rsidRDefault="00AA45BD" w:rsidP="00526257">
            <w:pPr>
              <w:jc w:val="center"/>
              <w:rPr>
                <w:rFonts w:ascii="Tahoma" w:hAnsi="Tahoma" w:cs="Tahoma"/>
                <w:b/>
                <w:sz w:val="20"/>
              </w:rPr>
            </w:pPr>
            <w:r w:rsidRPr="00AA45BD">
              <w:rPr>
                <w:rFonts w:ascii="Tahoma" w:hAnsi="Tahoma" w:cs="Tahoma"/>
                <w:b/>
                <w:sz w:val="20"/>
              </w:rPr>
              <w:t>Mean premium rate NSW</w:t>
            </w:r>
          </w:p>
          <w:p w:rsidR="000373A6" w:rsidRPr="000373A6" w:rsidRDefault="00AA45BD" w:rsidP="00526257">
            <w:pPr>
              <w:jc w:val="center"/>
              <w:rPr>
                <w:rFonts w:ascii="Tahoma" w:hAnsi="Tahoma" w:cs="Tahoma"/>
                <w:b/>
                <w:sz w:val="20"/>
              </w:rPr>
            </w:pPr>
            <w:r w:rsidRPr="00AA45BD">
              <w:rPr>
                <w:rFonts w:ascii="Tahoma" w:hAnsi="Tahoma" w:cs="Tahoma"/>
                <w:b/>
                <w:sz w:val="20"/>
              </w:rPr>
              <w:t>%</w:t>
            </w:r>
          </w:p>
        </w:tc>
        <w:tc>
          <w:tcPr>
            <w:tcW w:w="1118" w:type="dxa"/>
            <w:vAlign w:val="bottom"/>
          </w:tcPr>
          <w:p w:rsidR="000373A6" w:rsidRPr="000373A6" w:rsidRDefault="00AA45BD" w:rsidP="00526257">
            <w:pPr>
              <w:jc w:val="center"/>
              <w:rPr>
                <w:rFonts w:ascii="Tahoma" w:hAnsi="Tahoma" w:cs="Tahoma"/>
                <w:b/>
                <w:sz w:val="20"/>
              </w:rPr>
            </w:pPr>
            <w:r w:rsidRPr="00AA45BD">
              <w:rPr>
                <w:rFonts w:ascii="Tahoma" w:hAnsi="Tahoma" w:cs="Tahoma"/>
                <w:b/>
                <w:sz w:val="20"/>
              </w:rPr>
              <w:t>Mean premium rate NT %</w:t>
            </w:r>
          </w:p>
        </w:tc>
        <w:tc>
          <w:tcPr>
            <w:tcW w:w="1129" w:type="dxa"/>
            <w:vAlign w:val="bottom"/>
          </w:tcPr>
          <w:p w:rsidR="000373A6" w:rsidRPr="000373A6" w:rsidRDefault="00AA45BD" w:rsidP="00526257">
            <w:pPr>
              <w:jc w:val="center"/>
              <w:rPr>
                <w:rFonts w:ascii="Tahoma" w:hAnsi="Tahoma" w:cs="Tahoma"/>
                <w:b/>
                <w:sz w:val="20"/>
              </w:rPr>
            </w:pPr>
            <w:r w:rsidRPr="00AA45BD">
              <w:rPr>
                <w:rFonts w:ascii="Tahoma" w:hAnsi="Tahoma" w:cs="Tahoma"/>
                <w:b/>
                <w:sz w:val="20"/>
              </w:rPr>
              <w:t>Mean premium rate QLD %</w:t>
            </w:r>
          </w:p>
        </w:tc>
        <w:tc>
          <w:tcPr>
            <w:tcW w:w="1131" w:type="dxa"/>
            <w:vAlign w:val="bottom"/>
          </w:tcPr>
          <w:p w:rsidR="000373A6" w:rsidRPr="000373A6" w:rsidRDefault="00AA45BD" w:rsidP="00526257">
            <w:pPr>
              <w:jc w:val="center"/>
              <w:rPr>
                <w:rFonts w:ascii="Tahoma" w:hAnsi="Tahoma" w:cs="Tahoma"/>
                <w:b/>
                <w:sz w:val="20"/>
              </w:rPr>
            </w:pPr>
            <w:r w:rsidRPr="00AA45BD">
              <w:rPr>
                <w:rFonts w:ascii="Tahoma" w:hAnsi="Tahoma" w:cs="Tahoma"/>
                <w:b/>
                <w:sz w:val="20"/>
              </w:rPr>
              <w:t>Mean premium rate SA %</w:t>
            </w:r>
          </w:p>
        </w:tc>
        <w:tc>
          <w:tcPr>
            <w:tcW w:w="1134" w:type="dxa"/>
            <w:vAlign w:val="bottom"/>
          </w:tcPr>
          <w:p w:rsidR="000373A6" w:rsidRPr="000373A6" w:rsidRDefault="00AA45BD" w:rsidP="00526257">
            <w:pPr>
              <w:jc w:val="center"/>
              <w:rPr>
                <w:rFonts w:ascii="Tahoma" w:hAnsi="Tahoma" w:cs="Tahoma"/>
                <w:b/>
                <w:sz w:val="20"/>
              </w:rPr>
            </w:pPr>
            <w:r w:rsidRPr="00AA45BD">
              <w:rPr>
                <w:rFonts w:ascii="Tahoma" w:hAnsi="Tahoma" w:cs="Tahoma"/>
                <w:b/>
                <w:sz w:val="20"/>
              </w:rPr>
              <w:t>Mean premium rate TAS %</w:t>
            </w:r>
          </w:p>
        </w:tc>
        <w:tc>
          <w:tcPr>
            <w:tcW w:w="1134" w:type="dxa"/>
            <w:vAlign w:val="bottom"/>
          </w:tcPr>
          <w:p w:rsidR="000373A6" w:rsidRPr="000373A6" w:rsidRDefault="00AA45BD" w:rsidP="00526257">
            <w:pPr>
              <w:jc w:val="center"/>
              <w:rPr>
                <w:rFonts w:ascii="Tahoma" w:hAnsi="Tahoma" w:cs="Tahoma"/>
                <w:b/>
                <w:sz w:val="20"/>
              </w:rPr>
            </w:pPr>
            <w:r w:rsidRPr="00AA45BD">
              <w:rPr>
                <w:rFonts w:ascii="Tahoma" w:hAnsi="Tahoma" w:cs="Tahoma"/>
                <w:b/>
                <w:sz w:val="20"/>
              </w:rPr>
              <w:t>Mean premium rate VIC %</w:t>
            </w:r>
          </w:p>
        </w:tc>
        <w:tc>
          <w:tcPr>
            <w:tcW w:w="1134" w:type="dxa"/>
            <w:vAlign w:val="bottom"/>
          </w:tcPr>
          <w:p w:rsidR="000373A6" w:rsidRPr="000373A6" w:rsidRDefault="00AA45BD" w:rsidP="00526257">
            <w:pPr>
              <w:jc w:val="center"/>
              <w:rPr>
                <w:rFonts w:ascii="Tahoma" w:hAnsi="Tahoma" w:cs="Tahoma"/>
                <w:b/>
                <w:sz w:val="20"/>
              </w:rPr>
            </w:pPr>
            <w:r w:rsidRPr="00AA45BD">
              <w:rPr>
                <w:rFonts w:ascii="Tahoma" w:hAnsi="Tahoma" w:cs="Tahoma"/>
                <w:b/>
                <w:sz w:val="20"/>
              </w:rPr>
              <w:t>Mean premium rate WA %</w:t>
            </w:r>
          </w:p>
        </w:tc>
      </w:tr>
      <w:tr w:rsidR="00526257" w:rsidTr="00526257">
        <w:trPr>
          <w:jc w:val="center"/>
        </w:trPr>
        <w:tc>
          <w:tcPr>
            <w:tcW w:w="1856" w:type="dxa"/>
            <w:vAlign w:val="bottom"/>
          </w:tcPr>
          <w:p w:rsidR="000373A6" w:rsidRPr="000373A6" w:rsidRDefault="000373A6" w:rsidP="000373A6">
            <w:pPr>
              <w:rPr>
                <w:rFonts w:ascii="Tahoma" w:hAnsi="Tahoma" w:cs="Tahoma"/>
                <w:sz w:val="20"/>
              </w:rPr>
            </w:pPr>
            <w:r w:rsidRPr="000373A6">
              <w:rPr>
                <w:rFonts w:ascii="Tahoma" w:hAnsi="Tahoma" w:cs="Tahoma"/>
                <w:sz w:val="20"/>
              </w:rPr>
              <w:t>Jul to Dec 2007</w:t>
            </w:r>
          </w:p>
        </w:tc>
        <w:tc>
          <w:tcPr>
            <w:tcW w:w="1121"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5.589</w:t>
            </w:r>
          </w:p>
        </w:tc>
        <w:tc>
          <w:tcPr>
            <w:tcW w:w="1134"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3.7</w:t>
            </w:r>
            <w:r w:rsidR="008720B0">
              <w:rPr>
                <w:rFonts w:ascii="Tahoma" w:hAnsi="Tahoma" w:cs="Tahoma"/>
                <w:sz w:val="20"/>
              </w:rPr>
              <w:t>00</w:t>
            </w:r>
          </w:p>
        </w:tc>
        <w:tc>
          <w:tcPr>
            <w:tcW w:w="1118"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2.675</w:t>
            </w:r>
          </w:p>
        </w:tc>
        <w:tc>
          <w:tcPr>
            <w:tcW w:w="1129"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1.</w:t>
            </w:r>
            <w:r w:rsidR="008720B0">
              <w:rPr>
                <w:rFonts w:ascii="Tahoma" w:hAnsi="Tahoma" w:cs="Tahoma"/>
                <w:sz w:val="20"/>
              </w:rPr>
              <w:t>508</w:t>
            </w:r>
          </w:p>
        </w:tc>
        <w:tc>
          <w:tcPr>
            <w:tcW w:w="1131"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2.94</w:t>
            </w:r>
            <w:r>
              <w:rPr>
                <w:rFonts w:ascii="Tahoma" w:hAnsi="Tahoma" w:cs="Tahoma"/>
                <w:sz w:val="20"/>
              </w:rPr>
              <w:t>0</w:t>
            </w:r>
          </w:p>
        </w:tc>
        <w:tc>
          <w:tcPr>
            <w:tcW w:w="1134"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w:t>
            </w:r>
          </w:p>
        </w:tc>
        <w:tc>
          <w:tcPr>
            <w:tcW w:w="1134"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2.327</w:t>
            </w:r>
          </w:p>
        </w:tc>
        <w:tc>
          <w:tcPr>
            <w:tcW w:w="1134"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2.496</w:t>
            </w:r>
          </w:p>
        </w:tc>
      </w:tr>
      <w:tr w:rsidR="00526257" w:rsidTr="00526257">
        <w:trPr>
          <w:jc w:val="center"/>
        </w:trPr>
        <w:tc>
          <w:tcPr>
            <w:tcW w:w="1856" w:type="dxa"/>
            <w:vAlign w:val="bottom"/>
          </w:tcPr>
          <w:p w:rsidR="000373A6" w:rsidRPr="000373A6" w:rsidRDefault="000373A6" w:rsidP="000373A6">
            <w:pPr>
              <w:rPr>
                <w:rFonts w:ascii="Tahoma" w:hAnsi="Tahoma" w:cs="Tahoma"/>
                <w:sz w:val="20"/>
              </w:rPr>
            </w:pPr>
            <w:r w:rsidRPr="000373A6">
              <w:rPr>
                <w:rFonts w:ascii="Tahoma" w:hAnsi="Tahoma" w:cs="Tahoma"/>
                <w:sz w:val="20"/>
              </w:rPr>
              <w:t>Jan to Jun 2008</w:t>
            </w:r>
          </w:p>
        </w:tc>
        <w:tc>
          <w:tcPr>
            <w:tcW w:w="1121"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4.962</w:t>
            </w:r>
          </w:p>
        </w:tc>
        <w:tc>
          <w:tcPr>
            <w:tcW w:w="1134"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3.3</w:t>
            </w:r>
            <w:r w:rsidR="008720B0">
              <w:rPr>
                <w:rFonts w:ascii="Tahoma" w:hAnsi="Tahoma" w:cs="Tahoma"/>
                <w:sz w:val="20"/>
              </w:rPr>
              <w:t>94</w:t>
            </w:r>
          </w:p>
        </w:tc>
        <w:tc>
          <w:tcPr>
            <w:tcW w:w="1118"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2.355</w:t>
            </w:r>
          </w:p>
        </w:tc>
        <w:tc>
          <w:tcPr>
            <w:tcW w:w="1129"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1.</w:t>
            </w:r>
            <w:r w:rsidR="008720B0">
              <w:rPr>
                <w:rFonts w:ascii="Tahoma" w:hAnsi="Tahoma" w:cs="Tahoma"/>
                <w:sz w:val="20"/>
              </w:rPr>
              <w:t>789</w:t>
            </w:r>
          </w:p>
        </w:tc>
        <w:tc>
          <w:tcPr>
            <w:tcW w:w="1131"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3.037</w:t>
            </w:r>
          </w:p>
        </w:tc>
        <w:tc>
          <w:tcPr>
            <w:tcW w:w="1134"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w:t>
            </w:r>
          </w:p>
        </w:tc>
        <w:tc>
          <w:tcPr>
            <w:tcW w:w="1134"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2.</w:t>
            </w:r>
            <w:r w:rsidR="008720B0">
              <w:rPr>
                <w:rFonts w:ascii="Tahoma" w:hAnsi="Tahoma" w:cs="Tahoma"/>
                <w:sz w:val="20"/>
              </w:rPr>
              <w:t>143</w:t>
            </w:r>
          </w:p>
        </w:tc>
        <w:tc>
          <w:tcPr>
            <w:tcW w:w="1134"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3.348</w:t>
            </w:r>
          </w:p>
        </w:tc>
      </w:tr>
      <w:tr w:rsidR="00526257" w:rsidTr="00526257">
        <w:trPr>
          <w:jc w:val="center"/>
        </w:trPr>
        <w:tc>
          <w:tcPr>
            <w:tcW w:w="1856" w:type="dxa"/>
            <w:vAlign w:val="bottom"/>
          </w:tcPr>
          <w:p w:rsidR="000373A6" w:rsidRPr="000373A6" w:rsidRDefault="000373A6" w:rsidP="000373A6">
            <w:pPr>
              <w:rPr>
                <w:rFonts w:ascii="Tahoma" w:hAnsi="Tahoma" w:cs="Tahoma"/>
                <w:sz w:val="20"/>
              </w:rPr>
            </w:pPr>
            <w:r w:rsidRPr="000373A6">
              <w:rPr>
                <w:rFonts w:ascii="Tahoma" w:hAnsi="Tahoma" w:cs="Tahoma"/>
                <w:sz w:val="20"/>
              </w:rPr>
              <w:t>Jul to Dec 2008</w:t>
            </w:r>
          </w:p>
        </w:tc>
        <w:tc>
          <w:tcPr>
            <w:tcW w:w="1121"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4.274</w:t>
            </w:r>
          </w:p>
        </w:tc>
        <w:tc>
          <w:tcPr>
            <w:tcW w:w="1134"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3.1</w:t>
            </w:r>
            <w:r w:rsidR="008720B0">
              <w:rPr>
                <w:rFonts w:ascii="Tahoma" w:hAnsi="Tahoma" w:cs="Tahoma"/>
                <w:sz w:val="20"/>
              </w:rPr>
              <w:t>65</w:t>
            </w:r>
          </w:p>
        </w:tc>
        <w:tc>
          <w:tcPr>
            <w:tcW w:w="1118"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2.261</w:t>
            </w:r>
          </w:p>
        </w:tc>
        <w:tc>
          <w:tcPr>
            <w:tcW w:w="1129"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1.7</w:t>
            </w:r>
            <w:r w:rsidR="008720B0">
              <w:rPr>
                <w:rFonts w:ascii="Tahoma" w:hAnsi="Tahoma" w:cs="Tahoma"/>
                <w:sz w:val="20"/>
              </w:rPr>
              <w:t>12</w:t>
            </w:r>
          </w:p>
        </w:tc>
        <w:tc>
          <w:tcPr>
            <w:tcW w:w="1131"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3.75</w:t>
            </w:r>
            <w:r>
              <w:rPr>
                <w:rFonts w:ascii="Tahoma" w:hAnsi="Tahoma" w:cs="Tahoma"/>
                <w:sz w:val="20"/>
              </w:rPr>
              <w:t>0</w:t>
            </w:r>
          </w:p>
        </w:tc>
        <w:tc>
          <w:tcPr>
            <w:tcW w:w="1134"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1.087</w:t>
            </w:r>
          </w:p>
        </w:tc>
        <w:tc>
          <w:tcPr>
            <w:tcW w:w="1134"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2.1</w:t>
            </w:r>
            <w:r w:rsidR="008720B0">
              <w:rPr>
                <w:rFonts w:ascii="Tahoma" w:hAnsi="Tahoma" w:cs="Tahoma"/>
                <w:sz w:val="20"/>
              </w:rPr>
              <w:t>50</w:t>
            </w:r>
          </w:p>
        </w:tc>
        <w:tc>
          <w:tcPr>
            <w:tcW w:w="1134" w:type="dxa"/>
            <w:vAlign w:val="center"/>
          </w:tcPr>
          <w:p w:rsidR="000373A6" w:rsidRPr="000373A6" w:rsidRDefault="000373A6" w:rsidP="000373A6">
            <w:pPr>
              <w:jc w:val="center"/>
              <w:rPr>
                <w:rFonts w:ascii="Tahoma" w:hAnsi="Tahoma" w:cs="Tahoma"/>
                <w:sz w:val="20"/>
              </w:rPr>
            </w:pPr>
            <w:r w:rsidRPr="000373A6">
              <w:rPr>
                <w:rFonts w:ascii="Tahoma" w:hAnsi="Tahoma" w:cs="Tahoma"/>
                <w:sz w:val="20"/>
              </w:rPr>
              <w:t>2.066</w:t>
            </w:r>
          </w:p>
        </w:tc>
      </w:tr>
      <w:tr w:rsidR="00526257" w:rsidTr="00526257">
        <w:trPr>
          <w:jc w:val="center"/>
        </w:trPr>
        <w:tc>
          <w:tcPr>
            <w:tcW w:w="1856" w:type="dxa"/>
            <w:vAlign w:val="bottom"/>
          </w:tcPr>
          <w:p w:rsidR="00F147BA" w:rsidRPr="000373A6" w:rsidRDefault="004E0A98" w:rsidP="000373A6">
            <w:pPr>
              <w:rPr>
                <w:rFonts w:ascii="Tahoma" w:hAnsi="Tahoma" w:cs="Tahoma"/>
                <w:sz w:val="20"/>
              </w:rPr>
            </w:pPr>
            <w:r>
              <w:rPr>
                <w:rFonts w:ascii="Tahoma" w:hAnsi="Tahoma" w:cs="Tahoma"/>
                <w:sz w:val="20"/>
              </w:rPr>
              <w:t>ASCC June 2007</w:t>
            </w:r>
            <w:r w:rsidR="001D4058">
              <w:rPr>
                <w:rStyle w:val="FootnoteReference"/>
                <w:rFonts w:ascii="Tahoma" w:hAnsi="Tahoma" w:cs="Tahoma"/>
                <w:sz w:val="20"/>
              </w:rPr>
              <w:t>4</w:t>
            </w:r>
            <w:bookmarkStart w:id="33" w:name="_Ref338407377"/>
            <w:r w:rsidR="001D4058" w:rsidRPr="001D4058">
              <w:rPr>
                <w:rStyle w:val="FootnoteReference"/>
                <w:rFonts w:ascii="Tahoma" w:hAnsi="Tahoma" w:cs="Tahoma"/>
                <w:color w:val="FFFFFF"/>
                <w:sz w:val="20"/>
              </w:rPr>
              <w:footnoteReference w:id="2"/>
            </w:r>
            <w:bookmarkEnd w:id="33"/>
          </w:p>
        </w:tc>
        <w:tc>
          <w:tcPr>
            <w:tcW w:w="1121" w:type="dxa"/>
            <w:vAlign w:val="center"/>
          </w:tcPr>
          <w:p w:rsidR="00F147BA" w:rsidRPr="000373A6" w:rsidRDefault="004E0A98" w:rsidP="000373A6">
            <w:pPr>
              <w:jc w:val="center"/>
              <w:rPr>
                <w:rFonts w:ascii="Tahoma" w:hAnsi="Tahoma" w:cs="Tahoma"/>
                <w:sz w:val="20"/>
              </w:rPr>
            </w:pPr>
            <w:r>
              <w:rPr>
                <w:rFonts w:ascii="Tahoma" w:hAnsi="Tahoma" w:cs="Tahoma"/>
                <w:sz w:val="20"/>
              </w:rPr>
              <w:t>NA</w:t>
            </w:r>
          </w:p>
        </w:tc>
        <w:tc>
          <w:tcPr>
            <w:tcW w:w="1134" w:type="dxa"/>
            <w:vAlign w:val="center"/>
          </w:tcPr>
          <w:p w:rsidR="00F147BA" w:rsidRPr="000373A6" w:rsidRDefault="004E0A98" w:rsidP="000373A6">
            <w:pPr>
              <w:jc w:val="center"/>
              <w:rPr>
                <w:rFonts w:ascii="Tahoma" w:hAnsi="Tahoma" w:cs="Tahoma"/>
                <w:sz w:val="20"/>
              </w:rPr>
            </w:pPr>
            <w:r>
              <w:rPr>
                <w:rFonts w:ascii="Tahoma" w:hAnsi="Tahoma" w:cs="Tahoma"/>
                <w:sz w:val="20"/>
              </w:rPr>
              <w:t>4.475</w:t>
            </w:r>
          </w:p>
        </w:tc>
        <w:tc>
          <w:tcPr>
            <w:tcW w:w="1118" w:type="dxa"/>
            <w:vAlign w:val="center"/>
          </w:tcPr>
          <w:p w:rsidR="00F147BA" w:rsidRPr="000373A6" w:rsidRDefault="004E0A98" w:rsidP="000373A6">
            <w:pPr>
              <w:jc w:val="center"/>
              <w:rPr>
                <w:rFonts w:ascii="Tahoma" w:hAnsi="Tahoma" w:cs="Tahoma"/>
                <w:sz w:val="20"/>
              </w:rPr>
            </w:pPr>
            <w:r>
              <w:rPr>
                <w:rFonts w:ascii="Tahoma" w:hAnsi="Tahoma" w:cs="Tahoma"/>
                <w:sz w:val="20"/>
              </w:rPr>
              <w:t>NA</w:t>
            </w:r>
          </w:p>
        </w:tc>
        <w:tc>
          <w:tcPr>
            <w:tcW w:w="1129" w:type="dxa"/>
            <w:vAlign w:val="center"/>
          </w:tcPr>
          <w:p w:rsidR="00F147BA" w:rsidRPr="000373A6" w:rsidRDefault="004E0A98" w:rsidP="000373A6">
            <w:pPr>
              <w:jc w:val="center"/>
              <w:rPr>
                <w:rFonts w:ascii="Tahoma" w:hAnsi="Tahoma" w:cs="Tahoma"/>
                <w:sz w:val="20"/>
              </w:rPr>
            </w:pPr>
            <w:r>
              <w:rPr>
                <w:rFonts w:ascii="Tahoma" w:hAnsi="Tahoma" w:cs="Tahoma"/>
                <w:sz w:val="20"/>
              </w:rPr>
              <w:t>2.246</w:t>
            </w:r>
          </w:p>
        </w:tc>
        <w:tc>
          <w:tcPr>
            <w:tcW w:w="1131" w:type="dxa"/>
            <w:vAlign w:val="center"/>
          </w:tcPr>
          <w:p w:rsidR="00F147BA" w:rsidRPr="000373A6" w:rsidRDefault="004E0A98" w:rsidP="000373A6">
            <w:pPr>
              <w:jc w:val="center"/>
              <w:rPr>
                <w:rFonts w:ascii="Tahoma" w:hAnsi="Tahoma" w:cs="Tahoma"/>
                <w:sz w:val="20"/>
              </w:rPr>
            </w:pPr>
            <w:r>
              <w:rPr>
                <w:rFonts w:ascii="Tahoma" w:hAnsi="Tahoma" w:cs="Tahoma"/>
                <w:sz w:val="20"/>
              </w:rPr>
              <w:t>3.5</w:t>
            </w:r>
          </w:p>
        </w:tc>
        <w:tc>
          <w:tcPr>
            <w:tcW w:w="1134" w:type="dxa"/>
            <w:vAlign w:val="center"/>
          </w:tcPr>
          <w:p w:rsidR="00F147BA" w:rsidRPr="000373A6" w:rsidRDefault="004E0A98" w:rsidP="000373A6">
            <w:pPr>
              <w:jc w:val="center"/>
              <w:rPr>
                <w:rFonts w:ascii="Tahoma" w:hAnsi="Tahoma" w:cs="Tahoma"/>
                <w:sz w:val="20"/>
              </w:rPr>
            </w:pPr>
            <w:r>
              <w:rPr>
                <w:rFonts w:ascii="Tahoma" w:hAnsi="Tahoma" w:cs="Tahoma"/>
                <w:sz w:val="20"/>
              </w:rPr>
              <w:t>3.73</w:t>
            </w:r>
          </w:p>
        </w:tc>
        <w:tc>
          <w:tcPr>
            <w:tcW w:w="1134" w:type="dxa"/>
            <w:vAlign w:val="center"/>
          </w:tcPr>
          <w:p w:rsidR="00F147BA" w:rsidRPr="000373A6" w:rsidRDefault="004E0A98" w:rsidP="000373A6">
            <w:pPr>
              <w:jc w:val="center"/>
              <w:rPr>
                <w:rFonts w:ascii="Tahoma" w:hAnsi="Tahoma" w:cs="Tahoma"/>
                <w:sz w:val="20"/>
              </w:rPr>
            </w:pPr>
            <w:r>
              <w:rPr>
                <w:rFonts w:ascii="Tahoma" w:hAnsi="Tahoma" w:cs="Tahoma"/>
                <w:sz w:val="20"/>
              </w:rPr>
              <w:t>2.891</w:t>
            </w:r>
          </w:p>
        </w:tc>
        <w:tc>
          <w:tcPr>
            <w:tcW w:w="1134" w:type="dxa"/>
            <w:vAlign w:val="center"/>
          </w:tcPr>
          <w:p w:rsidR="00F147BA" w:rsidRPr="000373A6" w:rsidRDefault="004E0A98" w:rsidP="000373A6">
            <w:pPr>
              <w:jc w:val="center"/>
              <w:rPr>
                <w:rFonts w:ascii="Tahoma" w:hAnsi="Tahoma" w:cs="Tahoma"/>
                <w:sz w:val="20"/>
              </w:rPr>
            </w:pPr>
            <w:r>
              <w:rPr>
                <w:rFonts w:ascii="Tahoma" w:hAnsi="Tahoma" w:cs="Tahoma"/>
                <w:sz w:val="20"/>
              </w:rPr>
              <w:t>3.09</w:t>
            </w:r>
          </w:p>
        </w:tc>
      </w:tr>
    </w:tbl>
    <w:p w:rsidR="00614A04" w:rsidRDefault="00614A04" w:rsidP="00614A04">
      <w:pPr>
        <w:rPr>
          <w:rFonts w:ascii="Tahoma" w:hAnsi="Tahoma" w:cs="Tahoma"/>
          <w:sz w:val="22"/>
          <w:szCs w:val="22"/>
        </w:rPr>
      </w:pPr>
    </w:p>
    <w:p w:rsidR="000373A6" w:rsidRDefault="004A15F9" w:rsidP="000373A6">
      <w:pPr>
        <w:numPr>
          <w:ilvl w:val="0"/>
          <w:numId w:val="13"/>
        </w:numPr>
        <w:rPr>
          <w:rFonts w:ascii="Tahoma" w:hAnsi="Tahoma" w:cs="Tahoma"/>
          <w:sz w:val="22"/>
          <w:szCs w:val="22"/>
        </w:rPr>
      </w:pPr>
      <w:r>
        <w:rPr>
          <w:rFonts w:ascii="Tahoma" w:hAnsi="Tahoma" w:cs="Tahoma"/>
          <w:sz w:val="22"/>
          <w:szCs w:val="22"/>
        </w:rPr>
        <w:t>Between the December 2007 reporting period and the December 2008 reporting period t</w:t>
      </w:r>
      <w:r w:rsidR="000373A6">
        <w:rPr>
          <w:rFonts w:ascii="Tahoma" w:hAnsi="Tahoma" w:cs="Tahoma"/>
          <w:sz w:val="22"/>
          <w:szCs w:val="22"/>
        </w:rPr>
        <w:t xml:space="preserve">he mean premium rates </w:t>
      </w:r>
      <w:r w:rsidR="00EB62D4">
        <w:rPr>
          <w:rFonts w:ascii="Tahoma" w:hAnsi="Tahoma" w:cs="Tahoma"/>
          <w:sz w:val="22"/>
          <w:szCs w:val="22"/>
        </w:rPr>
        <w:t xml:space="preserve">for accredited contractors </w:t>
      </w:r>
      <w:r w:rsidR="000373A6">
        <w:rPr>
          <w:rFonts w:ascii="Tahoma" w:hAnsi="Tahoma" w:cs="Tahoma"/>
          <w:sz w:val="22"/>
          <w:szCs w:val="22"/>
        </w:rPr>
        <w:t>decreas</w:t>
      </w:r>
      <w:r>
        <w:rPr>
          <w:rFonts w:ascii="Tahoma" w:hAnsi="Tahoma" w:cs="Tahoma"/>
          <w:sz w:val="22"/>
          <w:szCs w:val="22"/>
        </w:rPr>
        <w:t>ed</w:t>
      </w:r>
      <w:r w:rsidR="000373A6">
        <w:rPr>
          <w:rFonts w:ascii="Tahoma" w:hAnsi="Tahoma" w:cs="Tahoma"/>
          <w:sz w:val="22"/>
          <w:szCs w:val="22"/>
        </w:rPr>
        <w:t xml:space="preserve"> for the </w:t>
      </w:r>
      <w:smartTag w:uri="urn:schemas-microsoft-com:office:smarttags" w:element="State">
        <w:r w:rsidR="00A1150E">
          <w:rPr>
            <w:rFonts w:ascii="Tahoma" w:hAnsi="Tahoma" w:cs="Tahoma"/>
            <w:sz w:val="22"/>
            <w:szCs w:val="22"/>
          </w:rPr>
          <w:t>Australian Capital Territory</w:t>
        </w:r>
      </w:smartTag>
      <w:r w:rsidR="00A1150E">
        <w:rPr>
          <w:rFonts w:ascii="Tahoma" w:hAnsi="Tahoma" w:cs="Tahoma"/>
          <w:sz w:val="22"/>
          <w:szCs w:val="22"/>
        </w:rPr>
        <w:t xml:space="preserve">, </w:t>
      </w:r>
      <w:smartTag w:uri="urn:schemas-microsoft-com:office:smarttags" w:element="State">
        <w:r w:rsidR="00A1150E">
          <w:rPr>
            <w:rFonts w:ascii="Tahoma" w:hAnsi="Tahoma" w:cs="Tahoma"/>
            <w:sz w:val="22"/>
            <w:szCs w:val="22"/>
          </w:rPr>
          <w:t>New South Wales</w:t>
        </w:r>
      </w:smartTag>
      <w:r w:rsidR="00A1150E">
        <w:rPr>
          <w:rFonts w:ascii="Tahoma" w:hAnsi="Tahoma" w:cs="Tahoma"/>
          <w:sz w:val="22"/>
          <w:szCs w:val="22"/>
        </w:rPr>
        <w:t xml:space="preserve">, </w:t>
      </w:r>
      <w:smartTag w:uri="urn:schemas-microsoft-com:office:smarttags" w:element="State">
        <w:r w:rsidR="00A1150E">
          <w:rPr>
            <w:rFonts w:ascii="Tahoma" w:hAnsi="Tahoma" w:cs="Tahoma"/>
            <w:sz w:val="22"/>
            <w:szCs w:val="22"/>
          </w:rPr>
          <w:t>Northern Territory</w:t>
        </w:r>
      </w:smartTag>
      <w:r w:rsidR="00A1150E">
        <w:rPr>
          <w:rFonts w:ascii="Tahoma" w:hAnsi="Tahoma" w:cs="Tahoma"/>
          <w:sz w:val="22"/>
          <w:szCs w:val="22"/>
        </w:rPr>
        <w:t xml:space="preserve">, </w:t>
      </w:r>
      <w:smartTag w:uri="urn:schemas-microsoft-com:office:smarttags" w:element="State">
        <w:r w:rsidR="00A1150E">
          <w:rPr>
            <w:rFonts w:ascii="Tahoma" w:hAnsi="Tahoma" w:cs="Tahoma"/>
            <w:sz w:val="22"/>
            <w:szCs w:val="22"/>
          </w:rPr>
          <w:t>Victoria</w:t>
        </w:r>
      </w:smartTag>
      <w:r w:rsidR="00A1150E">
        <w:rPr>
          <w:rFonts w:ascii="Tahoma" w:hAnsi="Tahoma" w:cs="Tahoma"/>
          <w:sz w:val="22"/>
          <w:szCs w:val="22"/>
        </w:rPr>
        <w:t xml:space="preserve"> and </w:t>
      </w:r>
      <w:smartTag w:uri="urn:schemas-microsoft-com:office:smarttags" w:element="State">
        <w:r w:rsidR="00A1150E">
          <w:rPr>
            <w:rFonts w:ascii="Tahoma" w:hAnsi="Tahoma" w:cs="Tahoma"/>
            <w:sz w:val="22"/>
            <w:szCs w:val="22"/>
          </w:rPr>
          <w:t>Western Australia</w:t>
        </w:r>
      </w:smartTag>
      <w:r w:rsidR="000373A6">
        <w:rPr>
          <w:rFonts w:ascii="Tahoma" w:hAnsi="Tahoma" w:cs="Tahoma"/>
          <w:sz w:val="22"/>
          <w:szCs w:val="22"/>
        </w:rPr>
        <w:t xml:space="preserve"> and increas</w:t>
      </w:r>
      <w:r>
        <w:rPr>
          <w:rFonts w:ascii="Tahoma" w:hAnsi="Tahoma" w:cs="Tahoma"/>
          <w:sz w:val="22"/>
          <w:szCs w:val="22"/>
        </w:rPr>
        <w:t>ed</w:t>
      </w:r>
      <w:r w:rsidR="000373A6">
        <w:rPr>
          <w:rFonts w:ascii="Tahoma" w:hAnsi="Tahoma" w:cs="Tahoma"/>
          <w:sz w:val="22"/>
          <w:szCs w:val="22"/>
        </w:rPr>
        <w:t xml:space="preserve"> for </w:t>
      </w:r>
      <w:smartTag w:uri="urn:schemas-microsoft-com:office:smarttags" w:element="State">
        <w:r w:rsidR="00A1150E">
          <w:rPr>
            <w:rFonts w:ascii="Tahoma" w:hAnsi="Tahoma" w:cs="Tahoma"/>
            <w:sz w:val="22"/>
            <w:szCs w:val="22"/>
          </w:rPr>
          <w:t>Queensland</w:t>
        </w:r>
      </w:smartTag>
      <w:r w:rsidR="00744026">
        <w:rPr>
          <w:rFonts w:ascii="Tahoma" w:hAnsi="Tahoma" w:cs="Tahoma"/>
          <w:sz w:val="22"/>
          <w:szCs w:val="22"/>
        </w:rPr>
        <w:t xml:space="preserve"> and </w:t>
      </w:r>
      <w:smartTag w:uri="urn:schemas-microsoft-com:office:smarttags" w:element="State">
        <w:smartTag w:uri="urn:schemas-microsoft-com:office:smarttags" w:element="place">
          <w:r w:rsidR="00A1150E">
            <w:rPr>
              <w:rFonts w:ascii="Tahoma" w:hAnsi="Tahoma" w:cs="Tahoma"/>
              <w:sz w:val="22"/>
              <w:szCs w:val="22"/>
            </w:rPr>
            <w:t>South Australia</w:t>
          </w:r>
        </w:smartTag>
      </w:smartTag>
      <w:r w:rsidR="00744026">
        <w:rPr>
          <w:rFonts w:ascii="Tahoma" w:hAnsi="Tahoma" w:cs="Tahoma"/>
          <w:sz w:val="22"/>
          <w:szCs w:val="22"/>
        </w:rPr>
        <w:t>.</w:t>
      </w:r>
    </w:p>
    <w:p w:rsidR="00941B75" w:rsidRDefault="00941B75" w:rsidP="00941B75">
      <w:pPr>
        <w:ind w:left="360"/>
        <w:rPr>
          <w:rFonts w:ascii="Tahoma" w:hAnsi="Tahoma" w:cs="Tahoma"/>
          <w:sz w:val="22"/>
          <w:szCs w:val="22"/>
        </w:rPr>
      </w:pPr>
    </w:p>
    <w:p w:rsidR="001773B7" w:rsidRDefault="001773B7" w:rsidP="000373A6">
      <w:pPr>
        <w:numPr>
          <w:ilvl w:val="0"/>
          <w:numId w:val="13"/>
        </w:numPr>
        <w:rPr>
          <w:rFonts w:ascii="Tahoma" w:hAnsi="Tahoma" w:cs="Tahoma"/>
          <w:sz w:val="22"/>
          <w:szCs w:val="22"/>
        </w:rPr>
      </w:pPr>
      <w:r>
        <w:rPr>
          <w:rFonts w:ascii="Tahoma" w:hAnsi="Tahoma" w:cs="Tahoma"/>
          <w:sz w:val="22"/>
          <w:szCs w:val="22"/>
        </w:rPr>
        <w:t xml:space="preserve">For comparative purposes, the latest available premium rates for non-residential construction across most jurisdictions have been included. </w:t>
      </w:r>
      <w:r w:rsidR="006B63D7">
        <w:rPr>
          <w:rFonts w:ascii="Tahoma" w:hAnsi="Tahoma" w:cs="Tahoma"/>
          <w:sz w:val="22"/>
          <w:szCs w:val="22"/>
        </w:rPr>
        <w:t xml:space="preserve">The mean premium rates for accredited contractors are below those for the non-residential construction industry for all periods, except </w:t>
      </w:r>
      <w:smartTag w:uri="urn:schemas-microsoft-com:office:smarttags" w:element="State">
        <w:r w:rsidR="006B63D7">
          <w:rPr>
            <w:rFonts w:ascii="Tahoma" w:hAnsi="Tahoma" w:cs="Tahoma"/>
            <w:sz w:val="22"/>
            <w:szCs w:val="22"/>
          </w:rPr>
          <w:t>South Australia</w:t>
        </w:r>
      </w:smartTag>
      <w:r w:rsidR="006B63D7">
        <w:rPr>
          <w:rFonts w:ascii="Tahoma" w:hAnsi="Tahoma" w:cs="Tahoma"/>
          <w:sz w:val="22"/>
          <w:szCs w:val="22"/>
        </w:rPr>
        <w:t xml:space="preserve"> in the December 2008 reporting period and </w:t>
      </w:r>
      <w:smartTag w:uri="urn:schemas-microsoft-com:office:smarttags" w:element="State">
        <w:r w:rsidR="006B63D7">
          <w:rPr>
            <w:rFonts w:ascii="Tahoma" w:hAnsi="Tahoma" w:cs="Tahoma"/>
            <w:sz w:val="22"/>
            <w:szCs w:val="22"/>
          </w:rPr>
          <w:t>Western Australia</w:t>
        </w:r>
      </w:smartTag>
      <w:r w:rsidR="006B63D7">
        <w:rPr>
          <w:rFonts w:ascii="Tahoma" w:hAnsi="Tahoma" w:cs="Tahoma"/>
          <w:sz w:val="22"/>
          <w:szCs w:val="22"/>
        </w:rPr>
        <w:t xml:space="preserve"> in the June 2008 reporting period.</w:t>
      </w:r>
    </w:p>
    <w:p w:rsidR="00EB62D4" w:rsidRDefault="00EB62D4" w:rsidP="00EB62D4">
      <w:pPr>
        <w:rPr>
          <w:rFonts w:ascii="Tahoma" w:hAnsi="Tahoma" w:cs="Tahoma"/>
          <w:sz w:val="22"/>
          <w:szCs w:val="22"/>
        </w:rPr>
      </w:pPr>
    </w:p>
    <w:p w:rsidR="00A4474B" w:rsidRPr="00A4474B" w:rsidRDefault="006B4A68" w:rsidP="00571187">
      <w:pPr>
        <w:pStyle w:val="Heading2"/>
      </w:pPr>
      <w:r>
        <w:t xml:space="preserve"> </w:t>
      </w:r>
      <w:bookmarkStart w:id="34" w:name="_Toc237832472"/>
      <w:r w:rsidR="00A4474B" w:rsidRPr="00A4474B">
        <w:t>Positive performance indicators</w:t>
      </w:r>
      <w:bookmarkEnd w:id="34"/>
    </w:p>
    <w:p w:rsidR="00A4474B" w:rsidRDefault="00A4474B" w:rsidP="00A4474B">
      <w:pPr>
        <w:rPr>
          <w:rFonts w:ascii="Tahoma" w:hAnsi="Tahoma" w:cs="Tahoma"/>
          <w:sz w:val="22"/>
          <w:szCs w:val="22"/>
        </w:rPr>
      </w:pPr>
    </w:p>
    <w:p w:rsidR="0065709E" w:rsidRDefault="0065709E" w:rsidP="000D3B29">
      <w:pPr>
        <w:rPr>
          <w:rFonts w:ascii="Tahoma" w:hAnsi="Tahoma" w:cs="Tahoma"/>
          <w:sz w:val="22"/>
          <w:szCs w:val="22"/>
        </w:rPr>
      </w:pPr>
      <w:r w:rsidRPr="006276C1">
        <w:rPr>
          <w:rFonts w:ascii="Tahoma" w:hAnsi="Tahoma" w:cs="Tahoma"/>
          <w:sz w:val="22"/>
          <w:szCs w:val="22"/>
        </w:rPr>
        <w:t>Positive Performance Indicators (PPI</w:t>
      </w:r>
      <w:r>
        <w:rPr>
          <w:rFonts w:ascii="Tahoma" w:hAnsi="Tahoma" w:cs="Tahoma"/>
          <w:sz w:val="22"/>
          <w:szCs w:val="22"/>
        </w:rPr>
        <w:t>s</w:t>
      </w:r>
      <w:r w:rsidRPr="006276C1">
        <w:rPr>
          <w:rFonts w:ascii="Tahoma" w:hAnsi="Tahoma" w:cs="Tahoma"/>
          <w:sz w:val="22"/>
          <w:szCs w:val="22"/>
        </w:rPr>
        <w:t xml:space="preserve">) are measures </w:t>
      </w:r>
      <w:r w:rsidR="00EF36C8">
        <w:rPr>
          <w:rFonts w:ascii="Tahoma" w:hAnsi="Tahoma" w:cs="Tahoma"/>
          <w:sz w:val="22"/>
          <w:szCs w:val="22"/>
        </w:rPr>
        <w:t xml:space="preserve">of actions or initiatives introduced to prevent workplace injury and disease. </w:t>
      </w:r>
      <w:r w:rsidR="00484148">
        <w:rPr>
          <w:rFonts w:ascii="Tahoma" w:hAnsi="Tahoma" w:cs="Tahoma"/>
          <w:sz w:val="22"/>
          <w:szCs w:val="22"/>
        </w:rPr>
        <w:t>Accredited contractors report details of PPIs, as well as details of any peer or industry recognition for OHS performance and details of any key OHS initiatives implemented during the reporting period.</w:t>
      </w:r>
    </w:p>
    <w:p w:rsidR="0065709E" w:rsidRDefault="0065709E" w:rsidP="000D3B29">
      <w:pPr>
        <w:rPr>
          <w:rFonts w:ascii="Tahoma" w:hAnsi="Tahoma" w:cs="Tahoma"/>
          <w:sz w:val="22"/>
          <w:szCs w:val="22"/>
        </w:rPr>
      </w:pPr>
    </w:p>
    <w:p w:rsidR="00484148" w:rsidRDefault="00484148" w:rsidP="00B052A9">
      <w:pPr>
        <w:spacing w:after="120"/>
        <w:rPr>
          <w:rFonts w:ascii="Tahoma" w:hAnsi="Tahoma" w:cs="Tahoma"/>
          <w:sz w:val="22"/>
          <w:szCs w:val="22"/>
        </w:rPr>
      </w:pPr>
      <w:r>
        <w:rPr>
          <w:rFonts w:ascii="Tahoma" w:hAnsi="Tahoma" w:cs="Tahoma"/>
          <w:sz w:val="22"/>
          <w:szCs w:val="22"/>
        </w:rPr>
        <w:t>Examples of these indicators</w:t>
      </w:r>
      <w:r w:rsidR="00E34ED5">
        <w:rPr>
          <w:rFonts w:ascii="Tahoma" w:hAnsi="Tahoma" w:cs="Tahoma"/>
          <w:sz w:val="22"/>
          <w:szCs w:val="22"/>
        </w:rPr>
        <w:t>, recognition and initiatives</w:t>
      </w:r>
      <w:r>
        <w:rPr>
          <w:rFonts w:ascii="Tahoma" w:hAnsi="Tahoma" w:cs="Tahoma"/>
          <w:sz w:val="22"/>
          <w:szCs w:val="22"/>
        </w:rPr>
        <w:t xml:space="preserve"> for the December 2008 reporting period </w:t>
      </w:r>
      <w:r w:rsidR="00667D84">
        <w:rPr>
          <w:rFonts w:ascii="Tahoma" w:hAnsi="Tahoma" w:cs="Tahoma"/>
          <w:sz w:val="22"/>
          <w:szCs w:val="22"/>
        </w:rPr>
        <w:t>are provided</w:t>
      </w:r>
      <w:r w:rsidR="006F105D">
        <w:rPr>
          <w:rFonts w:ascii="Tahoma" w:hAnsi="Tahoma" w:cs="Tahoma"/>
          <w:sz w:val="22"/>
          <w:szCs w:val="22"/>
        </w:rPr>
        <w:t xml:space="preserve"> below. It is important to note that information on PPIs is provided as free text so the response percentage is likely to understate the number of companies that implement these PPIs</w:t>
      </w:r>
      <w:r w:rsidR="00E10E14">
        <w:rPr>
          <w:rFonts w:ascii="Tahoma" w:hAnsi="Tahoma" w:cs="Tahoma"/>
          <w:sz w:val="22"/>
          <w:szCs w:val="22"/>
        </w:rPr>
        <w:t>.</w:t>
      </w:r>
    </w:p>
    <w:p w:rsidR="00601D91" w:rsidRDefault="00601D91" w:rsidP="00B052A9">
      <w:pPr>
        <w:spacing w:after="120"/>
        <w:rPr>
          <w:rFonts w:ascii="Tahoma" w:hAnsi="Tahoma" w:cs="Tahoma"/>
          <w:sz w:val="22"/>
          <w:szCs w:val="22"/>
        </w:rPr>
      </w:pPr>
    </w:p>
    <w:p w:rsidR="00526257" w:rsidRDefault="00526257" w:rsidP="00B052A9">
      <w:pPr>
        <w:spacing w:after="120"/>
        <w:rPr>
          <w:rFonts w:ascii="Tahoma" w:hAnsi="Tahoma" w:cs="Tahoma"/>
          <w:sz w:val="22"/>
          <w:szCs w:val="22"/>
        </w:rPr>
      </w:pPr>
    </w:p>
    <w:p w:rsidR="00526257" w:rsidRDefault="00526257" w:rsidP="00B052A9">
      <w:pPr>
        <w:spacing w:after="120"/>
        <w:rPr>
          <w:rFonts w:ascii="Tahoma" w:hAnsi="Tahoma" w:cs="Tahoma"/>
          <w:sz w:val="22"/>
          <w:szCs w:val="22"/>
        </w:rPr>
      </w:pPr>
    </w:p>
    <w:p w:rsidR="00526257" w:rsidRDefault="00526257" w:rsidP="00B052A9">
      <w:pPr>
        <w:spacing w:after="120"/>
        <w:rPr>
          <w:rFonts w:ascii="Tahoma" w:hAnsi="Tahoma" w:cs="Tahoma"/>
          <w:sz w:val="22"/>
          <w:szCs w:val="22"/>
        </w:rPr>
      </w:pPr>
    </w:p>
    <w:p w:rsidR="00526257" w:rsidRDefault="00526257" w:rsidP="00B052A9">
      <w:pPr>
        <w:spacing w:after="120"/>
        <w:rPr>
          <w:rFonts w:ascii="Tahoma" w:hAnsi="Tahoma" w:cs="Tahoma"/>
          <w:sz w:val="22"/>
          <w:szCs w:val="22"/>
        </w:rPr>
      </w:pPr>
    </w:p>
    <w:p w:rsidR="00526257" w:rsidRDefault="00526257" w:rsidP="00B052A9">
      <w:pPr>
        <w:spacing w:after="120"/>
        <w:rPr>
          <w:rFonts w:ascii="Tahoma" w:hAnsi="Tahoma" w:cs="Tahoma"/>
          <w:sz w:val="22"/>
          <w:szCs w:val="22"/>
        </w:rPr>
      </w:pPr>
    </w:p>
    <w:p w:rsidR="00526257" w:rsidRDefault="00526257" w:rsidP="00B052A9">
      <w:pPr>
        <w:spacing w:after="120"/>
        <w:rPr>
          <w:rFonts w:ascii="Tahoma" w:hAnsi="Tahoma" w:cs="Tahoma"/>
          <w:sz w:val="22"/>
          <w:szCs w:val="22"/>
        </w:rPr>
      </w:pPr>
    </w:p>
    <w:tbl>
      <w:tblPr>
        <w:tblStyle w:val="TableGrid"/>
        <w:tblW w:w="0" w:type="auto"/>
        <w:tblInd w:w="360" w:type="dxa"/>
        <w:tblLook w:val="01E0" w:firstRow="1" w:lastRow="1" w:firstColumn="1" w:lastColumn="1" w:noHBand="0" w:noVBand="0"/>
      </w:tblPr>
      <w:tblGrid>
        <w:gridCol w:w="4210"/>
        <w:gridCol w:w="2484"/>
      </w:tblGrid>
      <w:tr w:rsidR="00601D91" w:rsidRPr="00601D91" w:rsidTr="00667D84">
        <w:tc>
          <w:tcPr>
            <w:tcW w:w="4210" w:type="dxa"/>
            <w:tcBorders>
              <w:top w:val="single" w:sz="12" w:space="0" w:color="auto"/>
              <w:left w:val="single" w:sz="12" w:space="0" w:color="auto"/>
              <w:bottom w:val="single" w:sz="12" w:space="0" w:color="auto"/>
              <w:right w:val="single" w:sz="12" w:space="0" w:color="auto"/>
            </w:tcBorders>
          </w:tcPr>
          <w:p w:rsidR="00601D91" w:rsidRPr="00601D91" w:rsidRDefault="00601D91" w:rsidP="00601D91">
            <w:pPr>
              <w:rPr>
                <w:rFonts w:ascii="Tahoma" w:hAnsi="Tahoma" w:cs="Tahoma"/>
                <w:sz w:val="22"/>
                <w:szCs w:val="22"/>
              </w:rPr>
            </w:pPr>
            <w:r>
              <w:rPr>
                <w:rFonts w:ascii="Tahoma" w:hAnsi="Tahoma" w:cs="Tahoma"/>
                <w:sz w:val="22"/>
                <w:szCs w:val="22"/>
              </w:rPr>
              <w:lastRenderedPageBreak/>
              <w:t>Positive Performance Indicator</w:t>
            </w:r>
          </w:p>
        </w:tc>
        <w:tc>
          <w:tcPr>
            <w:tcW w:w="2484" w:type="dxa"/>
            <w:tcBorders>
              <w:top w:val="single" w:sz="12" w:space="0" w:color="auto"/>
              <w:left w:val="single" w:sz="12" w:space="0" w:color="auto"/>
              <w:bottom w:val="single" w:sz="12" w:space="0" w:color="auto"/>
              <w:right w:val="single" w:sz="12" w:space="0" w:color="auto"/>
            </w:tcBorders>
          </w:tcPr>
          <w:p w:rsidR="00601D91" w:rsidRPr="00601D91" w:rsidRDefault="00601D91" w:rsidP="00601D91">
            <w:pPr>
              <w:rPr>
                <w:rFonts w:ascii="Tahoma" w:hAnsi="Tahoma" w:cs="Tahoma"/>
                <w:sz w:val="22"/>
                <w:szCs w:val="22"/>
              </w:rPr>
            </w:pPr>
            <w:r>
              <w:rPr>
                <w:rFonts w:ascii="Tahoma" w:hAnsi="Tahoma" w:cs="Tahoma"/>
                <w:sz w:val="22"/>
                <w:szCs w:val="22"/>
              </w:rPr>
              <w:t xml:space="preserve">Frequency </w:t>
            </w:r>
            <w:r w:rsidR="00E10E14">
              <w:rPr>
                <w:rFonts w:ascii="Tahoma" w:hAnsi="Tahoma" w:cs="Tahoma"/>
                <w:sz w:val="22"/>
                <w:szCs w:val="22"/>
              </w:rPr>
              <w:t>of Response</w:t>
            </w:r>
          </w:p>
        </w:tc>
      </w:tr>
      <w:tr w:rsidR="00601D91" w:rsidRPr="00601D91" w:rsidTr="00667D84">
        <w:tc>
          <w:tcPr>
            <w:tcW w:w="4210" w:type="dxa"/>
            <w:tcBorders>
              <w:top w:val="single" w:sz="12" w:space="0" w:color="auto"/>
              <w:left w:val="single" w:sz="12" w:space="0" w:color="auto"/>
            </w:tcBorders>
          </w:tcPr>
          <w:p w:rsidR="00601D91" w:rsidRPr="00601D91" w:rsidRDefault="00601D91" w:rsidP="00601D91">
            <w:pPr>
              <w:rPr>
                <w:rFonts w:ascii="Tahoma" w:hAnsi="Tahoma" w:cs="Tahoma"/>
                <w:sz w:val="22"/>
                <w:szCs w:val="22"/>
              </w:rPr>
            </w:pPr>
            <w:r w:rsidRPr="00601D91">
              <w:rPr>
                <w:rFonts w:ascii="Tahoma" w:hAnsi="Tahoma" w:cs="Tahoma"/>
                <w:sz w:val="22"/>
                <w:szCs w:val="22"/>
              </w:rPr>
              <w:t>Additional internal audit programs</w:t>
            </w:r>
            <w:r w:rsidR="00667D84">
              <w:rPr>
                <w:rFonts w:ascii="Tahoma" w:hAnsi="Tahoma" w:cs="Tahoma"/>
                <w:sz w:val="22"/>
                <w:szCs w:val="22"/>
              </w:rPr>
              <w:t xml:space="preserve"> not conducted by the OFSC</w:t>
            </w:r>
          </w:p>
        </w:tc>
        <w:tc>
          <w:tcPr>
            <w:tcW w:w="2484" w:type="dxa"/>
            <w:tcBorders>
              <w:top w:val="single" w:sz="12" w:space="0" w:color="auto"/>
              <w:right w:val="single" w:sz="12" w:space="0" w:color="auto"/>
            </w:tcBorders>
          </w:tcPr>
          <w:p w:rsidR="00601D91" w:rsidRPr="00601D91" w:rsidRDefault="006F105D" w:rsidP="00601D91">
            <w:pPr>
              <w:rPr>
                <w:rFonts w:ascii="Tahoma" w:hAnsi="Tahoma" w:cs="Tahoma"/>
                <w:sz w:val="22"/>
                <w:szCs w:val="22"/>
              </w:rPr>
            </w:pPr>
            <w:r>
              <w:rPr>
                <w:rFonts w:ascii="Tahoma" w:hAnsi="Tahoma" w:cs="Tahoma"/>
                <w:sz w:val="22"/>
                <w:szCs w:val="22"/>
              </w:rPr>
              <w:t>Over 40%</w:t>
            </w:r>
          </w:p>
        </w:tc>
      </w:tr>
      <w:tr w:rsidR="00601D91" w:rsidRPr="00601D91" w:rsidTr="00667D84">
        <w:tc>
          <w:tcPr>
            <w:tcW w:w="4210" w:type="dxa"/>
            <w:tcBorders>
              <w:left w:val="single" w:sz="12" w:space="0" w:color="auto"/>
            </w:tcBorders>
          </w:tcPr>
          <w:p w:rsidR="00601D91" w:rsidRPr="00601D91" w:rsidRDefault="00601D91" w:rsidP="00601D91">
            <w:pPr>
              <w:rPr>
                <w:rFonts w:ascii="Tahoma" w:hAnsi="Tahoma" w:cs="Tahoma"/>
                <w:sz w:val="22"/>
                <w:szCs w:val="22"/>
              </w:rPr>
            </w:pPr>
            <w:r w:rsidRPr="00601D91">
              <w:rPr>
                <w:rFonts w:ascii="Tahoma" w:hAnsi="Tahoma" w:cs="Tahoma"/>
                <w:sz w:val="22"/>
                <w:szCs w:val="22"/>
              </w:rPr>
              <w:t>Government agency safety awards</w:t>
            </w:r>
          </w:p>
        </w:tc>
        <w:tc>
          <w:tcPr>
            <w:tcW w:w="2484" w:type="dxa"/>
            <w:tcBorders>
              <w:right w:val="single" w:sz="12" w:space="0" w:color="auto"/>
            </w:tcBorders>
          </w:tcPr>
          <w:p w:rsidR="00601D91" w:rsidRPr="00601D91" w:rsidRDefault="006F105D" w:rsidP="00601D91">
            <w:pPr>
              <w:rPr>
                <w:rFonts w:ascii="Tahoma" w:hAnsi="Tahoma" w:cs="Tahoma"/>
                <w:sz w:val="22"/>
                <w:szCs w:val="22"/>
              </w:rPr>
            </w:pPr>
            <w:r>
              <w:rPr>
                <w:rFonts w:ascii="Tahoma" w:hAnsi="Tahoma" w:cs="Tahoma"/>
                <w:sz w:val="22"/>
                <w:szCs w:val="22"/>
              </w:rPr>
              <w:t>7%</w:t>
            </w:r>
          </w:p>
        </w:tc>
      </w:tr>
      <w:tr w:rsidR="00601D91" w:rsidRPr="00601D91" w:rsidTr="00667D84">
        <w:tc>
          <w:tcPr>
            <w:tcW w:w="4210" w:type="dxa"/>
            <w:tcBorders>
              <w:left w:val="single" w:sz="12" w:space="0" w:color="auto"/>
            </w:tcBorders>
          </w:tcPr>
          <w:p w:rsidR="00601D91" w:rsidRPr="00601D91" w:rsidRDefault="00601D91" w:rsidP="00601D91">
            <w:pPr>
              <w:rPr>
                <w:rFonts w:ascii="Tahoma" w:hAnsi="Tahoma" w:cs="Tahoma"/>
                <w:sz w:val="22"/>
                <w:szCs w:val="22"/>
              </w:rPr>
            </w:pPr>
            <w:r w:rsidRPr="00601D91">
              <w:rPr>
                <w:rFonts w:ascii="Tahoma" w:hAnsi="Tahoma" w:cs="Tahoma"/>
                <w:sz w:val="22"/>
                <w:szCs w:val="22"/>
              </w:rPr>
              <w:t>State building association safety awards</w:t>
            </w:r>
          </w:p>
        </w:tc>
        <w:tc>
          <w:tcPr>
            <w:tcW w:w="2484" w:type="dxa"/>
            <w:tcBorders>
              <w:right w:val="single" w:sz="12" w:space="0" w:color="auto"/>
            </w:tcBorders>
          </w:tcPr>
          <w:p w:rsidR="00601D91" w:rsidRPr="00601D91" w:rsidRDefault="006F105D" w:rsidP="00601D91">
            <w:pPr>
              <w:rPr>
                <w:rFonts w:ascii="Tahoma" w:hAnsi="Tahoma" w:cs="Tahoma"/>
                <w:sz w:val="22"/>
                <w:szCs w:val="22"/>
              </w:rPr>
            </w:pPr>
            <w:r>
              <w:rPr>
                <w:rFonts w:ascii="Tahoma" w:hAnsi="Tahoma" w:cs="Tahoma"/>
                <w:sz w:val="22"/>
                <w:szCs w:val="22"/>
              </w:rPr>
              <w:t>12%</w:t>
            </w:r>
          </w:p>
        </w:tc>
      </w:tr>
      <w:tr w:rsidR="00601D91" w:rsidRPr="00601D91" w:rsidTr="00667D84">
        <w:tc>
          <w:tcPr>
            <w:tcW w:w="4210" w:type="dxa"/>
            <w:tcBorders>
              <w:left w:val="single" w:sz="12" w:space="0" w:color="auto"/>
            </w:tcBorders>
          </w:tcPr>
          <w:p w:rsidR="00601D91" w:rsidRPr="00601D91" w:rsidRDefault="00601D91" w:rsidP="00601D91">
            <w:pPr>
              <w:rPr>
                <w:rFonts w:ascii="Tahoma" w:hAnsi="Tahoma" w:cs="Tahoma"/>
                <w:sz w:val="22"/>
                <w:szCs w:val="22"/>
              </w:rPr>
            </w:pPr>
            <w:r w:rsidRPr="00601D91">
              <w:rPr>
                <w:rFonts w:ascii="Tahoma" w:hAnsi="Tahoma" w:cs="Tahoma"/>
                <w:sz w:val="22"/>
                <w:szCs w:val="22"/>
              </w:rPr>
              <w:t>Training to Certificate III</w:t>
            </w:r>
            <w:r w:rsidR="006F105D">
              <w:rPr>
                <w:rFonts w:ascii="Tahoma" w:hAnsi="Tahoma" w:cs="Tahoma"/>
                <w:sz w:val="22"/>
                <w:szCs w:val="22"/>
              </w:rPr>
              <w:t xml:space="preserve"> or better</w:t>
            </w:r>
            <w:r w:rsidRPr="00601D91">
              <w:rPr>
                <w:rFonts w:ascii="Tahoma" w:hAnsi="Tahoma" w:cs="Tahoma"/>
                <w:sz w:val="22"/>
                <w:szCs w:val="22"/>
              </w:rPr>
              <w:t xml:space="preserve"> in OHS by employees</w:t>
            </w:r>
          </w:p>
        </w:tc>
        <w:tc>
          <w:tcPr>
            <w:tcW w:w="2484" w:type="dxa"/>
            <w:tcBorders>
              <w:right w:val="single" w:sz="12" w:space="0" w:color="auto"/>
            </w:tcBorders>
          </w:tcPr>
          <w:p w:rsidR="00601D91" w:rsidRPr="00601D91" w:rsidRDefault="006F105D" w:rsidP="00601D91">
            <w:pPr>
              <w:rPr>
                <w:rFonts w:ascii="Tahoma" w:hAnsi="Tahoma" w:cs="Tahoma"/>
                <w:sz w:val="22"/>
                <w:szCs w:val="22"/>
              </w:rPr>
            </w:pPr>
            <w:r>
              <w:rPr>
                <w:rFonts w:ascii="Tahoma" w:hAnsi="Tahoma" w:cs="Tahoma"/>
                <w:sz w:val="22"/>
                <w:szCs w:val="22"/>
              </w:rPr>
              <w:t>5%</w:t>
            </w:r>
          </w:p>
        </w:tc>
      </w:tr>
      <w:tr w:rsidR="00601D91" w:rsidRPr="00601D91" w:rsidTr="00667D84">
        <w:tc>
          <w:tcPr>
            <w:tcW w:w="4210" w:type="dxa"/>
            <w:tcBorders>
              <w:left w:val="single" w:sz="12" w:space="0" w:color="auto"/>
            </w:tcBorders>
          </w:tcPr>
          <w:p w:rsidR="00601D91" w:rsidRPr="00601D91" w:rsidRDefault="00601D91" w:rsidP="00601D91">
            <w:pPr>
              <w:rPr>
                <w:rFonts w:ascii="Tahoma" w:hAnsi="Tahoma" w:cs="Tahoma"/>
                <w:sz w:val="22"/>
                <w:szCs w:val="22"/>
              </w:rPr>
            </w:pPr>
            <w:r w:rsidRPr="00601D91">
              <w:rPr>
                <w:rFonts w:ascii="Tahoma" w:hAnsi="Tahoma" w:cs="Tahoma"/>
                <w:sz w:val="22"/>
                <w:szCs w:val="22"/>
              </w:rPr>
              <w:t>Investment in research of OHS in construction</w:t>
            </w:r>
          </w:p>
        </w:tc>
        <w:tc>
          <w:tcPr>
            <w:tcW w:w="2484" w:type="dxa"/>
            <w:tcBorders>
              <w:right w:val="single" w:sz="12" w:space="0" w:color="auto"/>
            </w:tcBorders>
          </w:tcPr>
          <w:p w:rsidR="00601D91" w:rsidRPr="00601D91" w:rsidRDefault="006F105D" w:rsidP="00601D91">
            <w:pPr>
              <w:rPr>
                <w:rFonts w:ascii="Tahoma" w:hAnsi="Tahoma" w:cs="Tahoma"/>
                <w:sz w:val="22"/>
                <w:szCs w:val="22"/>
              </w:rPr>
            </w:pPr>
            <w:r>
              <w:rPr>
                <w:rFonts w:ascii="Tahoma" w:hAnsi="Tahoma" w:cs="Tahoma"/>
                <w:sz w:val="22"/>
                <w:szCs w:val="22"/>
              </w:rPr>
              <w:t>9%</w:t>
            </w:r>
          </w:p>
        </w:tc>
      </w:tr>
      <w:tr w:rsidR="00601D91" w:rsidRPr="00601D91" w:rsidTr="00667D84">
        <w:tc>
          <w:tcPr>
            <w:tcW w:w="4210" w:type="dxa"/>
            <w:tcBorders>
              <w:left w:val="single" w:sz="12" w:space="0" w:color="auto"/>
              <w:bottom w:val="single" w:sz="12" w:space="0" w:color="auto"/>
            </w:tcBorders>
          </w:tcPr>
          <w:p w:rsidR="00601D91" w:rsidRPr="00601D91" w:rsidRDefault="00667D84" w:rsidP="00601D91">
            <w:pPr>
              <w:rPr>
                <w:rFonts w:ascii="Tahoma" w:hAnsi="Tahoma" w:cs="Tahoma"/>
                <w:sz w:val="22"/>
                <w:szCs w:val="22"/>
              </w:rPr>
            </w:pPr>
            <w:r>
              <w:rPr>
                <w:rFonts w:ascii="Tahoma" w:hAnsi="Tahoma" w:cs="Tahoma"/>
                <w:sz w:val="22"/>
                <w:szCs w:val="22"/>
              </w:rPr>
              <w:t>Implementation</w:t>
            </w:r>
            <w:r w:rsidR="00601D91" w:rsidRPr="00601D91">
              <w:rPr>
                <w:rFonts w:ascii="Tahoma" w:hAnsi="Tahoma" w:cs="Tahoma"/>
                <w:sz w:val="22"/>
                <w:szCs w:val="22"/>
              </w:rPr>
              <w:t xml:space="preserve"> of drug and alcohol programs</w:t>
            </w:r>
          </w:p>
        </w:tc>
        <w:tc>
          <w:tcPr>
            <w:tcW w:w="2484" w:type="dxa"/>
            <w:tcBorders>
              <w:bottom w:val="single" w:sz="12" w:space="0" w:color="auto"/>
              <w:right w:val="single" w:sz="12" w:space="0" w:color="auto"/>
            </w:tcBorders>
          </w:tcPr>
          <w:p w:rsidR="00601D91" w:rsidRPr="00601D91" w:rsidRDefault="00E10E14" w:rsidP="00601D91">
            <w:pPr>
              <w:rPr>
                <w:rFonts w:ascii="Tahoma" w:hAnsi="Tahoma" w:cs="Tahoma"/>
                <w:sz w:val="22"/>
                <w:szCs w:val="22"/>
              </w:rPr>
            </w:pPr>
            <w:r>
              <w:rPr>
                <w:rFonts w:ascii="Tahoma" w:hAnsi="Tahoma" w:cs="Tahoma"/>
                <w:sz w:val="22"/>
                <w:szCs w:val="22"/>
              </w:rPr>
              <w:t>5%</w:t>
            </w:r>
          </w:p>
        </w:tc>
      </w:tr>
    </w:tbl>
    <w:p w:rsidR="008F12B8" w:rsidRPr="00BC6CA9" w:rsidRDefault="00BC172B" w:rsidP="00571187">
      <w:pPr>
        <w:pStyle w:val="Heading1"/>
        <w:numPr>
          <w:ilvl w:val="0"/>
          <w:numId w:val="0"/>
        </w:numPr>
        <w:jc w:val="center"/>
      </w:pPr>
      <w:r>
        <w:br w:type="page"/>
      </w:r>
      <w:bookmarkStart w:id="35" w:name="_Toc226431185"/>
      <w:bookmarkStart w:id="36" w:name="_Toc237832473"/>
      <w:r w:rsidR="008F12B8" w:rsidRPr="00BC6CA9">
        <w:lastRenderedPageBreak/>
        <w:t>GLOSSARY</w:t>
      </w:r>
      <w:bookmarkEnd w:id="35"/>
      <w:bookmarkEnd w:id="36"/>
    </w:p>
    <w:p w:rsidR="008F12B8" w:rsidRPr="00BC6CA9" w:rsidRDefault="008F12B8" w:rsidP="00BC6CA9">
      <w:pPr>
        <w:rPr>
          <w:rFonts w:ascii="Tahoma" w:hAnsi="Tahoma" w:cs="Tahoma"/>
          <w:sz w:val="22"/>
          <w:szCs w:val="22"/>
        </w:rPr>
      </w:pPr>
    </w:p>
    <w:p w:rsidR="008F12B8" w:rsidRPr="001F2836" w:rsidRDefault="008F12B8" w:rsidP="001F2836">
      <w:pPr>
        <w:rPr>
          <w:rFonts w:ascii="Tahoma" w:hAnsi="Tahoma" w:cs="Tahoma"/>
          <w:sz w:val="22"/>
          <w:szCs w:val="22"/>
        </w:rPr>
      </w:pPr>
      <w:r w:rsidRPr="00526257">
        <w:rPr>
          <w:rStyle w:val="Heading4Char"/>
          <w:sz w:val="22"/>
          <w:szCs w:val="22"/>
        </w:rPr>
        <w:t>Median</w:t>
      </w:r>
      <w:r w:rsidRPr="001F2836">
        <w:rPr>
          <w:rFonts w:ascii="Tahoma" w:hAnsi="Tahoma" w:cs="Tahoma"/>
          <w:sz w:val="22"/>
          <w:szCs w:val="22"/>
        </w:rPr>
        <w:t xml:space="preserve"> - The median is the middle of a distribution; half the scores are above the median and half are below the median. </w:t>
      </w:r>
      <w:r w:rsidR="001F2836" w:rsidRPr="001F2836">
        <w:rPr>
          <w:rFonts w:ascii="Tahoma" w:hAnsi="Tahoma" w:cs="Tahoma"/>
          <w:sz w:val="22"/>
          <w:szCs w:val="22"/>
        </w:rPr>
        <w:t xml:space="preserve">If the number of values in the data set is even, then the median is the average of the two middle values. </w:t>
      </w:r>
      <w:r w:rsidRPr="001F2836">
        <w:rPr>
          <w:rFonts w:ascii="Tahoma" w:hAnsi="Tahoma" w:cs="Tahoma"/>
          <w:sz w:val="22"/>
          <w:szCs w:val="22"/>
        </w:rPr>
        <w:t>The median is less sensitive to extreme scores than the average</w:t>
      </w:r>
      <w:r w:rsidR="004A1EA2">
        <w:rPr>
          <w:rFonts w:ascii="Tahoma" w:hAnsi="Tahoma" w:cs="Tahoma"/>
          <w:sz w:val="22"/>
          <w:szCs w:val="22"/>
        </w:rPr>
        <w:t>.</w:t>
      </w:r>
    </w:p>
    <w:p w:rsidR="008F12B8" w:rsidRPr="00BC6CA9" w:rsidRDefault="008F12B8" w:rsidP="00BC6CA9">
      <w:pPr>
        <w:rPr>
          <w:rFonts w:ascii="Tahoma" w:hAnsi="Tahoma" w:cs="Tahoma"/>
          <w:sz w:val="22"/>
          <w:szCs w:val="22"/>
        </w:rPr>
      </w:pPr>
    </w:p>
    <w:p w:rsidR="008F12B8" w:rsidRDefault="001F2836" w:rsidP="00BC6CA9">
      <w:pPr>
        <w:rPr>
          <w:rFonts w:ascii="Tahoma" w:hAnsi="Tahoma" w:cs="Tahoma"/>
          <w:sz w:val="22"/>
          <w:szCs w:val="22"/>
        </w:rPr>
      </w:pPr>
      <w:r w:rsidRPr="00526257">
        <w:rPr>
          <w:rStyle w:val="Heading4Char"/>
          <w:sz w:val="22"/>
          <w:szCs w:val="22"/>
        </w:rPr>
        <w:t>Arithmetic m</w:t>
      </w:r>
      <w:r w:rsidR="00BC6CA9" w:rsidRPr="00526257">
        <w:rPr>
          <w:rStyle w:val="Heading4Char"/>
          <w:sz w:val="22"/>
          <w:szCs w:val="22"/>
        </w:rPr>
        <w:t>ean</w:t>
      </w:r>
      <w:r w:rsidR="008F12B8" w:rsidRPr="00BC6CA9">
        <w:rPr>
          <w:rFonts w:ascii="Tahoma" w:hAnsi="Tahoma" w:cs="Tahoma"/>
          <w:sz w:val="22"/>
          <w:szCs w:val="22"/>
        </w:rPr>
        <w:t xml:space="preserve"> - The </w:t>
      </w:r>
      <w:r w:rsidR="00BC6CA9">
        <w:rPr>
          <w:rFonts w:ascii="Tahoma" w:hAnsi="Tahoma" w:cs="Tahoma"/>
          <w:sz w:val="22"/>
          <w:szCs w:val="22"/>
        </w:rPr>
        <w:t>mean</w:t>
      </w:r>
      <w:r w:rsidR="008F12B8" w:rsidRPr="00BC6CA9">
        <w:rPr>
          <w:rFonts w:ascii="Tahoma" w:hAnsi="Tahoma" w:cs="Tahoma"/>
          <w:sz w:val="22"/>
          <w:szCs w:val="22"/>
        </w:rPr>
        <w:t xml:space="preserve"> is the sum of all the scores divided by the number of scores.</w:t>
      </w:r>
    </w:p>
    <w:p w:rsidR="001F2836" w:rsidRDefault="001F2836" w:rsidP="00BC6CA9">
      <w:pPr>
        <w:rPr>
          <w:rFonts w:ascii="Tahoma" w:hAnsi="Tahoma" w:cs="Tahoma"/>
          <w:sz w:val="22"/>
          <w:szCs w:val="22"/>
        </w:rPr>
      </w:pPr>
    </w:p>
    <w:p w:rsidR="001F2836" w:rsidRPr="0063570B" w:rsidRDefault="001F2836" w:rsidP="00BC6CA9">
      <w:pPr>
        <w:rPr>
          <w:rFonts w:ascii="Tahoma" w:hAnsi="Tahoma" w:cs="Tahoma"/>
          <w:sz w:val="22"/>
          <w:szCs w:val="22"/>
        </w:rPr>
      </w:pPr>
      <w:r w:rsidRPr="00526257">
        <w:rPr>
          <w:rStyle w:val="Heading4Char"/>
          <w:sz w:val="22"/>
          <w:szCs w:val="22"/>
        </w:rPr>
        <w:t>Winsorized mean</w:t>
      </w:r>
      <w:r>
        <w:rPr>
          <w:rFonts w:ascii="Tahoma" w:hAnsi="Tahoma" w:cs="Tahoma"/>
          <w:sz w:val="22"/>
          <w:szCs w:val="22"/>
        </w:rPr>
        <w:t xml:space="preserve"> - </w:t>
      </w:r>
      <w:r w:rsidR="0063570B" w:rsidRPr="0063570B">
        <w:rPr>
          <w:rFonts w:ascii="Tahoma" w:hAnsi="Tahoma" w:cs="Tahoma"/>
          <w:sz w:val="22"/>
          <w:szCs w:val="22"/>
        </w:rPr>
        <w:t>involves the calculation of the mean after replacing given parts of a distribution</w:t>
      </w:r>
      <w:r w:rsidR="0063570B">
        <w:rPr>
          <w:rFonts w:ascii="Tahoma" w:hAnsi="Tahoma" w:cs="Tahoma"/>
          <w:sz w:val="22"/>
          <w:szCs w:val="22"/>
        </w:rPr>
        <w:t xml:space="preserve"> a</w:t>
      </w:r>
      <w:r w:rsidR="0063570B" w:rsidRPr="0063570B">
        <w:rPr>
          <w:rFonts w:ascii="Tahoma" w:hAnsi="Tahoma" w:cs="Tahoma"/>
          <w:sz w:val="22"/>
          <w:szCs w:val="22"/>
        </w:rPr>
        <w:t xml:space="preserve">t the high and low end with the most extreme remaining values, typically </w:t>
      </w:r>
      <w:r w:rsidR="00433D7D">
        <w:rPr>
          <w:rFonts w:ascii="Tahoma" w:hAnsi="Tahoma" w:cs="Tahoma"/>
          <w:sz w:val="22"/>
          <w:szCs w:val="22"/>
        </w:rPr>
        <w:t>replacing</w:t>
      </w:r>
      <w:r w:rsidR="0063570B" w:rsidRPr="0063570B">
        <w:rPr>
          <w:rFonts w:ascii="Tahoma" w:hAnsi="Tahoma" w:cs="Tahoma"/>
          <w:sz w:val="22"/>
          <w:szCs w:val="22"/>
        </w:rPr>
        <w:t xml:space="preserve"> an equal amount of both</w:t>
      </w:r>
      <w:r w:rsidR="00433D7D">
        <w:rPr>
          <w:rFonts w:ascii="Tahoma" w:hAnsi="Tahoma" w:cs="Tahoma"/>
          <w:sz w:val="22"/>
          <w:szCs w:val="22"/>
        </w:rPr>
        <w:t xml:space="preserve"> ends. O</w:t>
      </w:r>
      <w:r w:rsidR="0063570B" w:rsidRPr="0063570B">
        <w:rPr>
          <w:rFonts w:ascii="Tahoma" w:hAnsi="Tahoma" w:cs="Tahoma"/>
          <w:sz w:val="22"/>
          <w:szCs w:val="22"/>
        </w:rPr>
        <w:t xml:space="preserve">ften </w:t>
      </w:r>
      <w:r w:rsidR="0063570B">
        <w:rPr>
          <w:rFonts w:ascii="Tahoma" w:hAnsi="Tahoma" w:cs="Tahoma"/>
          <w:sz w:val="22"/>
          <w:szCs w:val="22"/>
        </w:rPr>
        <w:t>5</w:t>
      </w:r>
      <w:r w:rsidR="00433D7D">
        <w:rPr>
          <w:rFonts w:ascii="Tahoma" w:hAnsi="Tahoma" w:cs="Tahoma"/>
          <w:sz w:val="22"/>
          <w:szCs w:val="22"/>
        </w:rPr>
        <w:t> </w:t>
      </w:r>
      <w:r w:rsidR="0063570B" w:rsidRPr="0063570B">
        <w:rPr>
          <w:rFonts w:ascii="Tahoma" w:hAnsi="Tahoma" w:cs="Tahoma"/>
          <w:sz w:val="22"/>
          <w:szCs w:val="22"/>
        </w:rPr>
        <w:t>per</w:t>
      </w:r>
      <w:r w:rsidR="00433D7D">
        <w:rPr>
          <w:rFonts w:ascii="Tahoma" w:hAnsi="Tahoma" w:cs="Tahoma"/>
          <w:sz w:val="22"/>
          <w:szCs w:val="22"/>
        </w:rPr>
        <w:t> </w:t>
      </w:r>
      <w:r w:rsidR="0063570B" w:rsidRPr="0063570B">
        <w:rPr>
          <w:rFonts w:ascii="Tahoma" w:hAnsi="Tahoma" w:cs="Tahoma"/>
          <w:sz w:val="22"/>
          <w:szCs w:val="22"/>
        </w:rPr>
        <w:t>cent of the ends are</w:t>
      </w:r>
      <w:r w:rsidR="0063570B">
        <w:t xml:space="preserve"> </w:t>
      </w:r>
      <w:r w:rsidR="0063570B" w:rsidRPr="0063570B">
        <w:rPr>
          <w:rFonts w:ascii="Tahoma" w:hAnsi="Tahoma" w:cs="Tahoma"/>
          <w:sz w:val="22"/>
          <w:szCs w:val="22"/>
        </w:rPr>
        <w:t>replaced</w:t>
      </w:r>
      <w:r w:rsidR="0063570B">
        <w:rPr>
          <w:rFonts w:ascii="Tahoma" w:hAnsi="Tahoma" w:cs="Tahoma"/>
          <w:sz w:val="22"/>
          <w:szCs w:val="22"/>
        </w:rPr>
        <w:t xml:space="preserve">. </w:t>
      </w:r>
      <w:r w:rsidR="0063570B" w:rsidRPr="0063570B">
        <w:rPr>
          <w:rFonts w:ascii="Tahoma" w:hAnsi="Tahoma" w:cs="Tahoma"/>
          <w:sz w:val="22"/>
          <w:szCs w:val="22"/>
        </w:rPr>
        <w:t>The Winsorized mean is a useful estimator because it is less sensitive to outliers than the mean but will still give a reasonable estimate of central tendency</w:t>
      </w:r>
      <w:r w:rsidR="0063570B">
        <w:rPr>
          <w:rFonts w:ascii="Tahoma" w:hAnsi="Tahoma" w:cs="Tahoma"/>
          <w:sz w:val="22"/>
          <w:szCs w:val="22"/>
        </w:rPr>
        <w:t>.</w:t>
      </w:r>
    </w:p>
    <w:p w:rsidR="008F12B8" w:rsidRPr="00BC6CA9" w:rsidRDefault="008F12B8" w:rsidP="00BC6CA9">
      <w:pPr>
        <w:rPr>
          <w:rFonts w:ascii="Tahoma" w:hAnsi="Tahoma" w:cs="Tahoma"/>
          <w:sz w:val="22"/>
          <w:szCs w:val="22"/>
        </w:rPr>
      </w:pPr>
    </w:p>
    <w:p w:rsidR="008F12B8" w:rsidRPr="00BC6CA9" w:rsidRDefault="008F12B8" w:rsidP="00BC6CA9">
      <w:pPr>
        <w:rPr>
          <w:rFonts w:ascii="Tahoma" w:hAnsi="Tahoma" w:cs="Tahoma"/>
          <w:sz w:val="22"/>
          <w:szCs w:val="22"/>
        </w:rPr>
      </w:pPr>
      <w:r w:rsidRPr="00526257">
        <w:rPr>
          <w:rStyle w:val="Heading4Char"/>
          <w:sz w:val="22"/>
          <w:szCs w:val="22"/>
        </w:rPr>
        <w:t xml:space="preserve">Incidence </w:t>
      </w:r>
      <w:r w:rsidR="00BC6CA9" w:rsidRPr="00526257">
        <w:rPr>
          <w:rStyle w:val="Heading4Char"/>
          <w:sz w:val="22"/>
          <w:szCs w:val="22"/>
        </w:rPr>
        <w:t>r</w:t>
      </w:r>
      <w:r w:rsidRPr="00526257">
        <w:rPr>
          <w:rStyle w:val="Heading4Char"/>
          <w:sz w:val="22"/>
          <w:szCs w:val="22"/>
        </w:rPr>
        <w:t>ate</w:t>
      </w:r>
      <w:r w:rsidRPr="00BC6CA9">
        <w:rPr>
          <w:rFonts w:ascii="Tahoma" w:hAnsi="Tahoma" w:cs="Tahoma"/>
          <w:sz w:val="22"/>
          <w:szCs w:val="22"/>
        </w:rPr>
        <w:t xml:space="preserve"> - Incidence rates are calculated as follows:</w:t>
      </w:r>
    </w:p>
    <w:p w:rsidR="008F12B8" w:rsidRPr="00BC6CA9" w:rsidRDefault="008F12B8" w:rsidP="00BC6CA9">
      <w:pPr>
        <w:rPr>
          <w:rFonts w:ascii="Tahoma" w:hAnsi="Tahoma" w:cs="Tahoma"/>
          <w:sz w:val="22"/>
          <w:szCs w:val="22"/>
        </w:rPr>
      </w:pPr>
    </w:p>
    <w:p w:rsidR="008F12B8" w:rsidRPr="00BC6CA9" w:rsidRDefault="00526257" w:rsidP="00BC6CA9">
      <w:pPr>
        <w:rPr>
          <w:rFonts w:ascii="Tahoma" w:hAnsi="Tahoma" w:cs="Tahoma"/>
          <w:sz w:val="22"/>
          <w:szCs w:val="22"/>
        </w:rPr>
      </w:pPr>
      <w:r w:rsidRPr="00526257">
        <w:rPr>
          <w:rFonts w:ascii="Tahoma" w:hAnsi="Tahoma" w:cs="Tahoma"/>
          <w:noProof/>
          <w:sz w:val="22"/>
          <w:szCs w:val="22"/>
          <w:lang w:eastAsia="en-AU"/>
        </w:rPr>
        <w:drawing>
          <wp:inline distT="0" distB="0" distL="0" distR="0">
            <wp:extent cx="3829050" cy="571500"/>
            <wp:effectExtent l="19050" t="0" r="0" b="0"/>
            <wp:docPr id="58" name="Picture 1" descr="Formula for Incidence Rate showing number of incidences divided by number of employed, times one hundred thousand employ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 for Incidence Rate showing number of incidences divided by number of employed, times one hundred thousand employees."/>
                    <pic:cNvPicPr>
                      <a:picLocks noChangeAspect="1" noChangeArrowheads="1"/>
                    </pic:cNvPicPr>
                  </pic:nvPicPr>
                  <pic:blipFill>
                    <a:blip r:embed="rId15"/>
                    <a:srcRect/>
                    <a:stretch>
                      <a:fillRect/>
                    </a:stretch>
                  </pic:blipFill>
                  <pic:spPr bwMode="auto">
                    <a:xfrm>
                      <a:off x="0" y="0"/>
                      <a:ext cx="3829050" cy="571500"/>
                    </a:xfrm>
                    <a:prstGeom prst="rect">
                      <a:avLst/>
                    </a:prstGeom>
                    <a:noFill/>
                    <a:ln w="9525">
                      <a:noFill/>
                      <a:miter lim="800000"/>
                      <a:headEnd/>
                      <a:tailEnd/>
                    </a:ln>
                  </pic:spPr>
                </pic:pic>
              </a:graphicData>
            </a:graphic>
          </wp:inline>
        </w:drawing>
      </w:r>
    </w:p>
    <w:p w:rsidR="008F12B8" w:rsidRPr="00BC6CA9" w:rsidRDefault="008F12B8" w:rsidP="00BC6CA9">
      <w:pPr>
        <w:rPr>
          <w:rFonts w:ascii="Tahoma" w:hAnsi="Tahoma" w:cs="Tahoma"/>
          <w:sz w:val="22"/>
          <w:szCs w:val="22"/>
        </w:rPr>
      </w:pPr>
      <w:r w:rsidRPr="00526257">
        <w:rPr>
          <w:rStyle w:val="Heading4Char"/>
          <w:sz w:val="22"/>
          <w:szCs w:val="22"/>
        </w:rPr>
        <w:t xml:space="preserve">Frequency </w:t>
      </w:r>
      <w:r w:rsidR="00BC6CA9" w:rsidRPr="00526257">
        <w:rPr>
          <w:rStyle w:val="Heading4Char"/>
          <w:sz w:val="22"/>
          <w:szCs w:val="22"/>
        </w:rPr>
        <w:t>r</w:t>
      </w:r>
      <w:r w:rsidRPr="00526257">
        <w:rPr>
          <w:rStyle w:val="Heading4Char"/>
          <w:sz w:val="22"/>
          <w:szCs w:val="22"/>
        </w:rPr>
        <w:t>ate</w:t>
      </w:r>
      <w:r w:rsidRPr="00BC6CA9">
        <w:rPr>
          <w:rFonts w:ascii="Tahoma" w:hAnsi="Tahoma" w:cs="Tahoma"/>
          <w:sz w:val="22"/>
          <w:szCs w:val="22"/>
        </w:rPr>
        <w:t xml:space="preserve"> - Frequency rates are calculated as follows:</w:t>
      </w:r>
    </w:p>
    <w:p w:rsidR="008F12B8" w:rsidRPr="00BC6CA9" w:rsidRDefault="008F12B8" w:rsidP="00BC6CA9">
      <w:pPr>
        <w:rPr>
          <w:rFonts w:ascii="Tahoma" w:hAnsi="Tahoma" w:cs="Tahoma"/>
          <w:sz w:val="22"/>
          <w:szCs w:val="22"/>
        </w:rPr>
      </w:pPr>
    </w:p>
    <w:p w:rsidR="008F12B8" w:rsidRPr="00BC6CA9" w:rsidRDefault="00526257" w:rsidP="00BC6CA9">
      <w:pPr>
        <w:rPr>
          <w:rFonts w:ascii="Tahoma" w:hAnsi="Tahoma" w:cs="Tahoma"/>
          <w:sz w:val="22"/>
          <w:szCs w:val="22"/>
        </w:rPr>
      </w:pPr>
      <w:r w:rsidRPr="00526257">
        <w:rPr>
          <w:rFonts w:ascii="Tahoma" w:hAnsi="Tahoma" w:cs="Tahoma"/>
          <w:noProof/>
          <w:sz w:val="22"/>
          <w:szCs w:val="22"/>
          <w:lang w:eastAsia="en-AU"/>
        </w:rPr>
        <w:drawing>
          <wp:anchor distT="0" distB="0" distL="114300" distR="114300" simplePos="0" relativeHeight="251661312" behindDoc="0" locked="0" layoutInCell="1" allowOverlap="1">
            <wp:simplePos x="0" y="0"/>
            <wp:positionH relativeFrom="column">
              <wp:posOffset>40005</wp:posOffset>
            </wp:positionH>
            <wp:positionV relativeFrom="paragraph">
              <wp:posOffset>-24765</wp:posOffset>
            </wp:positionV>
            <wp:extent cx="3419475" cy="457200"/>
            <wp:effectExtent l="19050" t="0" r="0" b="0"/>
            <wp:wrapSquare wrapText="bothSides"/>
            <wp:docPr id="7" name="Picture 8" descr="Formula for Frequency Rate showing number of incidences divided by number of hours worked, times one million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rmula for Frequency Rate showing number of incidences divided by number of hours worked, times one million hours."/>
                    <pic:cNvPicPr>
                      <a:picLocks noChangeAspect="1" noChangeArrowheads="1"/>
                    </pic:cNvPicPr>
                  </pic:nvPicPr>
                  <pic:blipFill>
                    <a:blip r:embed="rId16"/>
                    <a:srcRect/>
                    <a:stretch>
                      <a:fillRect/>
                    </a:stretch>
                  </pic:blipFill>
                  <pic:spPr bwMode="auto">
                    <a:xfrm>
                      <a:off x="0" y="0"/>
                      <a:ext cx="3415030" cy="457200"/>
                    </a:xfrm>
                    <a:prstGeom prst="rect">
                      <a:avLst/>
                    </a:prstGeom>
                    <a:noFill/>
                    <a:ln w="9525">
                      <a:noFill/>
                      <a:miter lim="800000"/>
                      <a:headEnd/>
                      <a:tailEnd/>
                    </a:ln>
                  </pic:spPr>
                </pic:pic>
              </a:graphicData>
            </a:graphic>
          </wp:anchor>
        </w:drawing>
      </w:r>
    </w:p>
    <w:p w:rsidR="00526257" w:rsidRDefault="00526257" w:rsidP="00BC6CA9">
      <w:pPr>
        <w:rPr>
          <w:rStyle w:val="Heading4Char"/>
          <w:sz w:val="22"/>
          <w:szCs w:val="22"/>
        </w:rPr>
      </w:pPr>
    </w:p>
    <w:p w:rsidR="00526257" w:rsidRDefault="00526257" w:rsidP="00BC6CA9">
      <w:pPr>
        <w:rPr>
          <w:rStyle w:val="Heading4Char"/>
          <w:sz w:val="22"/>
          <w:szCs w:val="22"/>
        </w:rPr>
      </w:pPr>
    </w:p>
    <w:p w:rsidR="00526257" w:rsidRDefault="00526257" w:rsidP="00BC6CA9">
      <w:pPr>
        <w:rPr>
          <w:rStyle w:val="Heading4Char"/>
          <w:sz w:val="22"/>
          <w:szCs w:val="22"/>
        </w:rPr>
      </w:pPr>
    </w:p>
    <w:p w:rsidR="008F12B8" w:rsidRPr="00BC6CA9" w:rsidRDefault="008F12B8" w:rsidP="00BC6CA9">
      <w:pPr>
        <w:rPr>
          <w:rFonts w:ascii="Tahoma" w:hAnsi="Tahoma" w:cs="Tahoma"/>
          <w:sz w:val="22"/>
          <w:szCs w:val="22"/>
        </w:rPr>
      </w:pPr>
      <w:r w:rsidRPr="00526257">
        <w:rPr>
          <w:rStyle w:val="Heading4Char"/>
          <w:sz w:val="22"/>
          <w:szCs w:val="22"/>
        </w:rPr>
        <w:t>LTIFR (Lost Time Injury Frequency Rate)</w:t>
      </w:r>
      <w:r w:rsidRPr="00BC6CA9">
        <w:rPr>
          <w:rFonts w:ascii="Tahoma" w:hAnsi="Tahoma" w:cs="Tahoma"/>
          <w:sz w:val="22"/>
          <w:szCs w:val="22"/>
        </w:rPr>
        <w:t xml:space="preserve"> - The number of occurrences of lost time injury </w:t>
      </w:r>
      <w:r w:rsidR="0075559C">
        <w:rPr>
          <w:rFonts w:ascii="Tahoma" w:hAnsi="Tahoma" w:cs="Tahoma"/>
          <w:sz w:val="22"/>
          <w:szCs w:val="22"/>
        </w:rPr>
        <w:t>that result in a fatality, a permanent disability or time lost from work of one day shift or more in the period. The number of hours worked refers to the total number of hours worked by all workers in the period, including overtime and extra shifts.</w:t>
      </w:r>
    </w:p>
    <w:p w:rsidR="008F12B8" w:rsidRPr="00BC6CA9" w:rsidRDefault="008F12B8" w:rsidP="00BC6CA9">
      <w:pPr>
        <w:rPr>
          <w:rFonts w:ascii="Tahoma" w:hAnsi="Tahoma" w:cs="Tahoma"/>
          <w:sz w:val="22"/>
          <w:szCs w:val="22"/>
        </w:rPr>
      </w:pPr>
    </w:p>
    <w:p w:rsidR="008F12B8" w:rsidRDefault="008F12B8" w:rsidP="008F12B8">
      <w:pPr>
        <w:rPr>
          <w:rFonts w:ascii="Tahoma" w:hAnsi="Tahoma" w:cs="Tahoma"/>
          <w:sz w:val="22"/>
          <w:szCs w:val="22"/>
        </w:rPr>
      </w:pPr>
      <w:r w:rsidRPr="00526257">
        <w:rPr>
          <w:rStyle w:val="Heading4Char"/>
          <w:sz w:val="22"/>
          <w:szCs w:val="22"/>
        </w:rPr>
        <w:t>MTIFR (Medically Treated Injury Frequency Rate)</w:t>
      </w:r>
      <w:r>
        <w:rPr>
          <w:rFonts w:ascii="Tahoma" w:hAnsi="Tahoma" w:cs="Tahoma"/>
          <w:szCs w:val="24"/>
        </w:rPr>
        <w:t xml:space="preserve"> </w:t>
      </w:r>
      <w:r w:rsidRPr="00CD7A78">
        <w:rPr>
          <w:rFonts w:ascii="Tahoma" w:hAnsi="Tahoma" w:cs="Tahoma"/>
          <w:sz w:val="22"/>
          <w:szCs w:val="22"/>
        </w:rPr>
        <w:t xml:space="preserve">- The number of occurrences of </w:t>
      </w:r>
      <w:r w:rsidR="00433D7D">
        <w:rPr>
          <w:rFonts w:ascii="Tahoma" w:hAnsi="Tahoma" w:cs="Tahoma"/>
          <w:sz w:val="22"/>
          <w:szCs w:val="22"/>
        </w:rPr>
        <w:t>treatment by, or under the order of, a qualified medical practitioner, or any injury that could be considered as being one that would normally be treated by a medical practitioner. The number of hours worked refers to the total number of hours worked by all workers in the period, including overtime and extra shifts.</w:t>
      </w:r>
    </w:p>
    <w:p w:rsidR="008F12B8" w:rsidRDefault="008F12B8" w:rsidP="008F12B8">
      <w:pPr>
        <w:rPr>
          <w:rFonts w:ascii="Tahoma" w:hAnsi="Tahoma" w:cs="Tahoma"/>
          <w:sz w:val="22"/>
          <w:szCs w:val="22"/>
        </w:rPr>
      </w:pPr>
    </w:p>
    <w:p w:rsidR="008F12B8" w:rsidRDefault="008F12B8" w:rsidP="008F12B8">
      <w:pPr>
        <w:rPr>
          <w:rFonts w:ascii="Tahoma" w:hAnsi="Tahoma" w:cs="Tahoma"/>
          <w:sz w:val="22"/>
          <w:szCs w:val="22"/>
        </w:rPr>
      </w:pPr>
      <w:r w:rsidRPr="00526257">
        <w:rPr>
          <w:rStyle w:val="Heading4Char"/>
          <w:sz w:val="22"/>
          <w:szCs w:val="22"/>
        </w:rPr>
        <w:t xml:space="preserve">Incident </w:t>
      </w:r>
      <w:r w:rsidRPr="00CD7A78">
        <w:rPr>
          <w:rFonts w:ascii="Tahoma" w:hAnsi="Tahoma" w:cs="Tahoma"/>
          <w:sz w:val="22"/>
          <w:szCs w:val="22"/>
        </w:rPr>
        <w:t>- An incident resulting in an injury that is required to be notified by the OHS legislative requirement for notifiable incidents in the jurisdiction in which the project is being undertaken.</w:t>
      </w:r>
    </w:p>
    <w:p w:rsidR="006B63D7" w:rsidRDefault="006B63D7" w:rsidP="006B63D7">
      <w:pPr>
        <w:rPr>
          <w:rFonts w:ascii="Tahoma" w:hAnsi="Tahoma" w:cs="Tahoma"/>
          <w:sz w:val="22"/>
          <w:szCs w:val="22"/>
        </w:rPr>
      </w:pPr>
    </w:p>
    <w:p w:rsidR="00731032" w:rsidRPr="00731032" w:rsidRDefault="00B82F86" w:rsidP="00526257">
      <w:r>
        <w:rPr>
          <w:b/>
          <w:i/>
        </w:rPr>
        <w:br w:type="page"/>
      </w:r>
      <w:r w:rsidR="00731032" w:rsidRPr="00526257">
        <w:rPr>
          <w:rStyle w:val="Heading4Char"/>
          <w:sz w:val="22"/>
          <w:szCs w:val="22"/>
        </w:rPr>
        <w:lastRenderedPageBreak/>
        <w:t>Scheme Projects</w:t>
      </w:r>
      <w:r w:rsidR="00731032">
        <w:t xml:space="preserve"> - </w:t>
      </w:r>
      <w:r w:rsidR="00526257" w:rsidRPr="00526257">
        <w:rPr>
          <w:rFonts w:ascii="Tahoma" w:hAnsi="Tahoma" w:cs="Tahoma"/>
          <w:sz w:val="22"/>
          <w:szCs w:val="22"/>
        </w:rPr>
        <w:t>Projects that are directly funded by the Australian Government with a value of $3 million or more, plus, projects that are indirectly funded by the Australian Government where:</w:t>
      </w:r>
    </w:p>
    <w:p w:rsidR="00731032" w:rsidRPr="00731032" w:rsidRDefault="00731032" w:rsidP="00731032">
      <w:pPr>
        <w:numPr>
          <w:ilvl w:val="0"/>
          <w:numId w:val="21"/>
        </w:numPr>
        <w:spacing w:before="100" w:beforeAutospacing="1" w:after="100" w:afterAutospacing="1"/>
        <w:rPr>
          <w:rFonts w:ascii="Tahoma" w:hAnsi="Tahoma" w:cs="Tahoma"/>
          <w:sz w:val="22"/>
          <w:szCs w:val="22"/>
          <w:lang w:eastAsia="en-AU"/>
        </w:rPr>
      </w:pPr>
      <w:r w:rsidRPr="00731032">
        <w:rPr>
          <w:rFonts w:ascii="Tahoma" w:hAnsi="Tahoma" w:cs="Tahoma"/>
          <w:sz w:val="22"/>
          <w:szCs w:val="22"/>
          <w:lang w:eastAsia="en-AU"/>
        </w:rPr>
        <w:t xml:space="preserve">the value of the Australian Government contribution to the project is at least $5 million and represents at least 50 per cent of the total construction project value; or </w:t>
      </w:r>
    </w:p>
    <w:p w:rsidR="00731032" w:rsidRPr="00731032" w:rsidRDefault="00731032" w:rsidP="00731032">
      <w:pPr>
        <w:numPr>
          <w:ilvl w:val="0"/>
          <w:numId w:val="21"/>
        </w:numPr>
        <w:spacing w:before="100" w:beforeAutospacing="1" w:after="100" w:afterAutospacing="1"/>
        <w:rPr>
          <w:szCs w:val="24"/>
          <w:lang w:eastAsia="en-AU"/>
        </w:rPr>
      </w:pPr>
      <w:r w:rsidRPr="00731032">
        <w:rPr>
          <w:rFonts w:ascii="Tahoma" w:hAnsi="Tahoma" w:cs="Tahoma"/>
          <w:sz w:val="22"/>
          <w:szCs w:val="22"/>
          <w:lang w:eastAsia="en-AU"/>
        </w:rPr>
        <w:t>the Australian Government contribution to a project is $10 million or more, irrespective of the proportion of Australian Government funding</w:t>
      </w:r>
    </w:p>
    <w:p w:rsidR="00731032" w:rsidRDefault="00731032" w:rsidP="006B63D7">
      <w:pPr>
        <w:rPr>
          <w:rFonts w:ascii="Tahoma" w:hAnsi="Tahoma" w:cs="Tahoma"/>
          <w:sz w:val="22"/>
          <w:szCs w:val="22"/>
        </w:rPr>
      </w:pPr>
    </w:p>
    <w:p w:rsidR="00731032" w:rsidRPr="006B63D7" w:rsidRDefault="00731032" w:rsidP="006B63D7">
      <w:pPr>
        <w:rPr>
          <w:rFonts w:ascii="Tahoma" w:hAnsi="Tahoma" w:cs="Tahoma"/>
          <w:sz w:val="22"/>
          <w:szCs w:val="22"/>
        </w:rPr>
      </w:pPr>
      <w:r w:rsidRPr="00526257">
        <w:rPr>
          <w:rStyle w:val="Heading4Char"/>
          <w:sz w:val="22"/>
          <w:szCs w:val="22"/>
        </w:rPr>
        <w:t>Non Scheme Projects</w:t>
      </w:r>
      <w:r>
        <w:rPr>
          <w:rFonts w:ascii="Tahoma" w:hAnsi="Tahoma" w:cs="Tahoma"/>
          <w:sz w:val="22"/>
          <w:szCs w:val="22"/>
        </w:rPr>
        <w:t xml:space="preserve"> </w:t>
      </w:r>
      <w:r w:rsidR="00B82F86">
        <w:rPr>
          <w:rFonts w:ascii="Tahoma" w:hAnsi="Tahoma" w:cs="Tahoma"/>
          <w:sz w:val="22"/>
          <w:szCs w:val="22"/>
        </w:rPr>
        <w:t>–</w:t>
      </w:r>
      <w:r>
        <w:rPr>
          <w:rFonts w:ascii="Tahoma" w:hAnsi="Tahoma" w:cs="Tahoma"/>
          <w:sz w:val="22"/>
          <w:szCs w:val="22"/>
        </w:rPr>
        <w:t xml:space="preserve"> </w:t>
      </w:r>
      <w:r w:rsidR="00B82F86">
        <w:rPr>
          <w:rFonts w:ascii="Tahoma" w:hAnsi="Tahoma" w:cs="Tahoma"/>
          <w:sz w:val="22"/>
          <w:szCs w:val="22"/>
        </w:rPr>
        <w:t>Projects where the accredited company is the head contractor, the value of building work is $3 million or more, and the project is not a scheme project.</w:t>
      </w:r>
    </w:p>
    <w:sectPr w:rsidR="00731032" w:rsidRPr="006B63D7" w:rsidSect="006E2568">
      <w:headerReference w:type="even" r:id="rId17"/>
      <w:headerReference w:type="default" r:id="rId18"/>
      <w:footerReference w:type="even" r:id="rId19"/>
      <w:footerReference w:type="default" r:id="rId20"/>
      <w:headerReference w:type="first" r:id="rId21"/>
      <w:footerReference w:type="first" r:id="rId22"/>
      <w:pgSz w:w="11907" w:h="16840" w:code="9"/>
      <w:pgMar w:top="1361" w:right="1797" w:bottom="1361" w:left="1797"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C99" w:rsidRDefault="00363C99">
      <w:r>
        <w:separator/>
      </w:r>
    </w:p>
  </w:endnote>
  <w:endnote w:type="continuationSeparator" w:id="0">
    <w:p w:rsidR="00363C99" w:rsidRDefault="0036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C99" w:rsidRDefault="00363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C99" w:rsidRDefault="00363C99">
    <w:pPr>
      <w:pStyle w:val="Footer"/>
      <w:jc w:val="right"/>
    </w:pPr>
    <w:r>
      <w:t xml:space="preserve">Page </w:t>
    </w:r>
    <w:r>
      <w:rPr>
        <w:b/>
      </w:rPr>
      <w:fldChar w:fldCharType="begin"/>
    </w:r>
    <w:r>
      <w:rPr>
        <w:b/>
      </w:rPr>
      <w:instrText xml:space="preserve"> PAGE </w:instrText>
    </w:r>
    <w:r>
      <w:rPr>
        <w:b/>
      </w:rPr>
      <w:fldChar w:fldCharType="separate"/>
    </w:r>
    <w:r w:rsidR="00E564A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E564AC">
      <w:rPr>
        <w:b/>
        <w:noProof/>
      </w:rPr>
      <w:t>15</w:t>
    </w:r>
    <w:r>
      <w:rPr>
        <w:b/>
      </w:rPr>
      <w:fldChar w:fldCharType="end"/>
    </w:r>
  </w:p>
  <w:p w:rsidR="00363C99" w:rsidRPr="00906228" w:rsidRDefault="00363C99" w:rsidP="009062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C99" w:rsidRDefault="00363C99">
    <w:pPr>
      <w:pStyle w:val="Footer"/>
      <w:jc w:val="right"/>
    </w:pPr>
  </w:p>
  <w:p w:rsidR="00363C99" w:rsidRPr="006E2568" w:rsidRDefault="00363C99">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C99" w:rsidRDefault="00363C99">
      <w:r>
        <w:separator/>
      </w:r>
    </w:p>
  </w:footnote>
  <w:footnote w:type="continuationSeparator" w:id="0">
    <w:p w:rsidR="00363C99" w:rsidRDefault="00363C99">
      <w:r>
        <w:continuationSeparator/>
      </w:r>
    </w:p>
  </w:footnote>
  <w:footnote w:id="1">
    <w:p w:rsidR="00363C99" w:rsidRDefault="00363C99" w:rsidP="0026169C">
      <w:pPr>
        <w:pStyle w:val="FootnoteText"/>
      </w:pPr>
      <w:r w:rsidRPr="004443B8">
        <w:rPr>
          <w:rStyle w:val="FootnoteReference"/>
          <w:sz w:val="18"/>
          <w:szCs w:val="18"/>
        </w:rPr>
        <w:footnoteRef/>
      </w:r>
      <w:r w:rsidRPr="004443B8">
        <w:rPr>
          <w:sz w:val="18"/>
          <w:szCs w:val="18"/>
        </w:rPr>
        <w:t xml:space="preserve"> </w:t>
      </w:r>
      <w:r w:rsidRPr="004443B8">
        <w:rPr>
          <w:i/>
          <w:sz w:val="18"/>
          <w:szCs w:val="18"/>
        </w:rPr>
        <w:t>Source:</w:t>
      </w:r>
      <w:r w:rsidRPr="004443B8">
        <w:rPr>
          <w:sz w:val="18"/>
          <w:szCs w:val="18"/>
        </w:rPr>
        <w:t xml:space="preserve"> ABS publication no. 6291.0.55.003 – Labour Force, </w:t>
      </w:r>
      <w:smartTag w:uri="urn:schemas-microsoft-com:office:smarttags" w:element="country-region">
        <w:smartTag w:uri="urn:schemas-microsoft-com:office:smarttags" w:element="place">
          <w:r w:rsidRPr="004443B8">
            <w:rPr>
              <w:sz w:val="18"/>
              <w:szCs w:val="18"/>
            </w:rPr>
            <w:t>Australia</w:t>
          </w:r>
        </w:smartTag>
      </w:smartTag>
      <w:r w:rsidRPr="004443B8">
        <w:rPr>
          <w:sz w:val="18"/>
          <w:szCs w:val="18"/>
        </w:rPr>
        <w:t>, Detailed, Quarterly, Table 04: Employed persons by Industry. Construction industry stock, original. Calculated as 71 per cent of the average population for that biannual period. The estimated populations for the construction industry overall were: July to December 2007 - 669,661 employees; January to June 2008 - 699,092 employees; and July to December 2008 - 701,687 employees.</w:t>
      </w:r>
    </w:p>
  </w:footnote>
  <w:footnote w:id="2">
    <w:p w:rsidR="00363C99" w:rsidRDefault="00363C99">
      <w:pPr>
        <w:pStyle w:val="FootnoteText"/>
      </w:pPr>
      <w:r>
        <w:rPr>
          <w:rStyle w:val="FootnoteReference"/>
          <w:sz w:val="18"/>
          <w:szCs w:val="18"/>
        </w:rPr>
        <w:t>4</w:t>
      </w:r>
      <w:r w:rsidRPr="004443B8">
        <w:rPr>
          <w:sz w:val="18"/>
          <w:szCs w:val="18"/>
        </w:rPr>
        <w:t xml:space="preserve"> </w:t>
      </w:r>
      <w:r w:rsidRPr="004443B8">
        <w:rPr>
          <w:i/>
          <w:sz w:val="18"/>
          <w:szCs w:val="18"/>
        </w:rPr>
        <w:t>Source:</w:t>
      </w:r>
      <w:r w:rsidRPr="004443B8">
        <w:rPr>
          <w:sz w:val="18"/>
          <w:szCs w:val="18"/>
        </w:rPr>
        <w:t xml:space="preserve"> ASCC publication Comparison of Workers’ Compensation Arrangements in </w:t>
      </w:r>
      <w:smartTag w:uri="urn:schemas-microsoft-com:office:smarttags" w:element="country-region">
        <w:r w:rsidRPr="004443B8">
          <w:rPr>
            <w:sz w:val="18"/>
            <w:szCs w:val="18"/>
          </w:rPr>
          <w:t>Australia</w:t>
        </w:r>
      </w:smartTag>
      <w:r w:rsidRPr="004443B8">
        <w:rPr>
          <w:sz w:val="18"/>
          <w:szCs w:val="18"/>
        </w:rPr>
        <w:t xml:space="preserve"> and </w:t>
      </w:r>
      <w:smartTag w:uri="urn:schemas-microsoft-com:office:smarttags" w:element="country-region">
        <w:smartTag w:uri="urn:schemas-microsoft-com:office:smarttags" w:element="place">
          <w:r w:rsidRPr="004443B8">
            <w:rPr>
              <w:sz w:val="18"/>
              <w:szCs w:val="18"/>
            </w:rPr>
            <w:t>New Zealand</w:t>
          </w:r>
        </w:smartTag>
      </w:smartTag>
      <w:r w:rsidRPr="004443B8">
        <w:rPr>
          <w:sz w:val="18"/>
          <w:szCs w:val="18"/>
        </w:rPr>
        <w:t xml:space="preserve"> 30 June 2007, Table 4.6 Selected Industry Premium Rates as at 30 June 2007, pages 32-33.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C99" w:rsidRDefault="00363C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C99" w:rsidRDefault="00363C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C99" w:rsidRDefault="00363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0FCE"/>
    <w:multiLevelType w:val="hybridMultilevel"/>
    <w:tmpl w:val="16EEEBD6"/>
    <w:lvl w:ilvl="0" w:tplc="C474128E">
      <w:start w:val="1"/>
      <w:numFmt w:val="bullet"/>
      <w:lvlText w:val=""/>
      <w:lvlJc w:val="left"/>
      <w:pPr>
        <w:tabs>
          <w:tab w:val="num" w:pos="568"/>
        </w:tabs>
        <w:ind w:left="568" w:hanging="284"/>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10A37A58"/>
    <w:multiLevelType w:val="multilevel"/>
    <w:tmpl w:val="13B69432"/>
    <w:lvl w:ilvl="0">
      <w:start w:val="1"/>
      <w:numFmt w:val="decimal"/>
      <w:pStyle w:val="Heading1"/>
      <w:lvlText w:val="%1"/>
      <w:lvlJc w:val="left"/>
      <w:pPr>
        <w:tabs>
          <w:tab w:val="num" w:pos="432"/>
        </w:tabs>
        <w:ind w:left="432" w:hanging="432"/>
      </w:pPr>
      <w:rPr>
        <w:rFonts w:cs="Times New Roman" w:hint="default"/>
      </w:rPr>
    </w:lvl>
    <w:lvl w:ilvl="1">
      <w:start w:val="2"/>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 w15:restartNumberingAfterBreak="0">
    <w:nsid w:val="18B87BE3"/>
    <w:multiLevelType w:val="hybridMultilevel"/>
    <w:tmpl w:val="254AE9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EF764A"/>
    <w:multiLevelType w:val="multilevel"/>
    <w:tmpl w:val="BB040EBE"/>
    <w:lvl w:ilvl="0">
      <w:start w:val="1"/>
      <w:numFmt w:val="decimal"/>
      <w:pStyle w:val="OutlineNumbering"/>
      <w:lvlText w:val="%1."/>
      <w:lvlJc w:val="left"/>
      <w:pPr>
        <w:tabs>
          <w:tab w:val="num" w:pos="360"/>
        </w:tabs>
      </w:pPr>
      <w:rPr>
        <w:rFonts w:cs="Times New Roman"/>
      </w:rPr>
    </w:lvl>
    <w:lvl w:ilvl="1">
      <w:start w:val="1"/>
      <w:numFmt w:val="bullet"/>
      <w:lvlText w:val=""/>
      <w:lvlJc w:val="left"/>
      <w:pPr>
        <w:tabs>
          <w:tab w:val="num" w:pos="1440"/>
        </w:tabs>
        <w:ind w:left="1440" w:hanging="720"/>
      </w:pPr>
      <w:rPr>
        <w:rFonts w:ascii="Symbol" w:hAnsi="Symbol" w:hint="default"/>
      </w:rPr>
    </w:lvl>
    <w:lvl w:ilvl="2">
      <w:start w:val="1"/>
      <w:numFmt w:val="none"/>
      <w:lvlText w:val="-"/>
      <w:lvlJc w:val="left"/>
      <w:pPr>
        <w:tabs>
          <w:tab w:val="num" w:pos="2160"/>
        </w:tabs>
        <w:ind w:left="2160" w:hanging="720"/>
      </w:pPr>
      <w:rPr>
        <w:rFonts w:cs="Times New Roman"/>
      </w:rPr>
    </w:lvl>
    <w:lvl w:ilvl="3">
      <w:start w:val="1"/>
      <w:numFmt w:val="none"/>
      <w:lvlText w:val=":"/>
      <w:lvlJc w:val="left"/>
      <w:pPr>
        <w:tabs>
          <w:tab w:val="num" w:pos="2880"/>
        </w:tabs>
        <w:ind w:left="288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F897CB5"/>
    <w:multiLevelType w:val="hybridMultilevel"/>
    <w:tmpl w:val="9800CBBA"/>
    <w:lvl w:ilvl="0" w:tplc="C474128E">
      <w:start w:val="1"/>
      <w:numFmt w:val="bullet"/>
      <w:lvlText w:val=""/>
      <w:lvlJc w:val="left"/>
      <w:pPr>
        <w:tabs>
          <w:tab w:val="num" w:pos="568"/>
        </w:tabs>
        <w:ind w:left="568" w:hanging="284"/>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286B4D0C"/>
    <w:multiLevelType w:val="hybridMultilevel"/>
    <w:tmpl w:val="3E409186"/>
    <w:lvl w:ilvl="0" w:tplc="C474128E">
      <w:start w:val="1"/>
      <w:numFmt w:val="bullet"/>
      <w:lvlText w:val=""/>
      <w:lvlJc w:val="left"/>
      <w:pPr>
        <w:tabs>
          <w:tab w:val="num" w:pos="644"/>
        </w:tabs>
        <w:ind w:left="644" w:hanging="284"/>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3D7EA7"/>
    <w:multiLevelType w:val="hybridMultilevel"/>
    <w:tmpl w:val="2DF22712"/>
    <w:lvl w:ilvl="0" w:tplc="079C6FF4">
      <w:start w:val="1"/>
      <w:numFmt w:val="bullet"/>
      <w:pStyle w:val="Performanceinformation-summary"/>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0D6703"/>
    <w:multiLevelType w:val="hybridMultilevel"/>
    <w:tmpl w:val="39ACCF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8721F0"/>
    <w:multiLevelType w:val="hybridMultilevel"/>
    <w:tmpl w:val="017A2642"/>
    <w:lvl w:ilvl="0" w:tplc="C474128E">
      <w:start w:val="1"/>
      <w:numFmt w:val="bullet"/>
      <w:lvlText w:val=""/>
      <w:lvlJc w:val="left"/>
      <w:pPr>
        <w:tabs>
          <w:tab w:val="num" w:pos="568"/>
        </w:tabs>
        <w:ind w:left="568" w:hanging="284"/>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414E0611"/>
    <w:multiLevelType w:val="singleLevel"/>
    <w:tmpl w:val="DA00E0E6"/>
    <w:lvl w:ilvl="0">
      <w:start w:val="2"/>
      <w:numFmt w:val="decimal"/>
      <w:pStyle w:val="numberlist"/>
      <w:lvlText w:val="%1."/>
      <w:lvlJc w:val="left"/>
      <w:pPr>
        <w:tabs>
          <w:tab w:val="num" w:pos="360"/>
        </w:tabs>
        <w:ind w:left="360" w:hanging="360"/>
      </w:pPr>
      <w:rPr>
        <w:rFonts w:cs="Times New Roman"/>
      </w:rPr>
    </w:lvl>
  </w:abstractNum>
  <w:abstractNum w:abstractNumId="10" w15:restartNumberingAfterBreak="0">
    <w:nsid w:val="431C4FF8"/>
    <w:multiLevelType w:val="singleLevel"/>
    <w:tmpl w:val="E6A84660"/>
    <w:lvl w:ilvl="0">
      <w:start w:val="1"/>
      <w:numFmt w:val="bullet"/>
      <w:pStyle w:val="dotpoint"/>
      <w:lvlText w:val=""/>
      <w:lvlJc w:val="left"/>
      <w:pPr>
        <w:tabs>
          <w:tab w:val="num" w:pos="360"/>
        </w:tabs>
        <w:ind w:left="360" w:hanging="360"/>
      </w:pPr>
      <w:rPr>
        <w:rFonts w:ascii="Symbol" w:hAnsi="Symbol" w:hint="default"/>
        <w:sz w:val="16"/>
      </w:rPr>
    </w:lvl>
  </w:abstractNum>
  <w:abstractNum w:abstractNumId="11" w15:restartNumberingAfterBreak="0">
    <w:nsid w:val="43321A51"/>
    <w:multiLevelType w:val="hybridMultilevel"/>
    <w:tmpl w:val="35EE6ED4"/>
    <w:lvl w:ilvl="0" w:tplc="9B663C36">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9E22473"/>
    <w:multiLevelType w:val="multilevel"/>
    <w:tmpl w:val="1978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B80FEE"/>
    <w:multiLevelType w:val="hybridMultilevel"/>
    <w:tmpl w:val="A3C65E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EB6562"/>
    <w:multiLevelType w:val="hybridMultilevel"/>
    <w:tmpl w:val="4A249D8E"/>
    <w:lvl w:ilvl="0" w:tplc="0C090001">
      <w:start w:val="1"/>
      <w:numFmt w:val="bullet"/>
      <w:lvlText w:val=""/>
      <w:lvlJc w:val="left"/>
      <w:pPr>
        <w:tabs>
          <w:tab w:val="num" w:pos="720"/>
        </w:tabs>
        <w:ind w:left="720" w:hanging="360"/>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4496BCBA">
      <w:start w:val="3"/>
      <w:numFmt w:val="decimal"/>
      <w:lvlText w:val="%2."/>
      <w:lvlJc w:val="left"/>
      <w:pPr>
        <w:tabs>
          <w:tab w:val="num" w:pos="1440"/>
        </w:tabs>
        <w:ind w:left="1440" w:hanging="360"/>
      </w:pPr>
      <w:rPr>
        <w:rFonts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B916844"/>
    <w:multiLevelType w:val="singleLevel"/>
    <w:tmpl w:val="00447134"/>
    <w:lvl w:ilvl="0">
      <w:start w:val="1"/>
      <w:numFmt w:val="bullet"/>
      <w:pStyle w:val="colonpoint"/>
      <w:lvlText w:val=""/>
      <w:lvlJc w:val="left"/>
      <w:pPr>
        <w:tabs>
          <w:tab w:val="num" w:pos="360"/>
        </w:tabs>
        <w:ind w:left="360" w:hanging="360"/>
      </w:pPr>
      <w:rPr>
        <w:rFonts w:ascii="Symbol" w:hAnsi="Symbol" w:hint="default"/>
      </w:rPr>
    </w:lvl>
  </w:abstractNum>
  <w:abstractNum w:abstractNumId="16" w15:restartNumberingAfterBreak="0">
    <w:nsid w:val="6CDC7AD2"/>
    <w:multiLevelType w:val="hybridMultilevel"/>
    <w:tmpl w:val="438E0C10"/>
    <w:lvl w:ilvl="0" w:tplc="0C090001">
      <w:start w:val="1"/>
      <w:numFmt w:val="bullet"/>
      <w:lvlText w:val=""/>
      <w:lvlJc w:val="left"/>
      <w:pPr>
        <w:tabs>
          <w:tab w:val="num" w:pos="720"/>
        </w:tabs>
        <w:ind w:left="720" w:hanging="360"/>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647593D"/>
    <w:multiLevelType w:val="hybridMultilevel"/>
    <w:tmpl w:val="50EAB6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8C4F4D"/>
    <w:multiLevelType w:val="singleLevel"/>
    <w:tmpl w:val="65E81598"/>
    <w:lvl w:ilvl="0">
      <w:start w:val="1"/>
      <w:numFmt w:val="bullet"/>
      <w:pStyle w:val="dashpoint"/>
      <w:lvlText w:val=""/>
      <w:lvlJc w:val="left"/>
      <w:pPr>
        <w:tabs>
          <w:tab w:val="num" w:pos="360"/>
        </w:tabs>
        <w:ind w:left="360" w:hanging="360"/>
      </w:pPr>
      <w:rPr>
        <w:rFonts w:ascii="Symbol" w:hAnsi="Symbol" w:hint="default"/>
      </w:rPr>
    </w:lvl>
  </w:abstractNum>
  <w:abstractNum w:abstractNumId="19" w15:restartNumberingAfterBreak="0">
    <w:nsid w:val="7CF7680E"/>
    <w:multiLevelType w:val="hybridMultilevel"/>
    <w:tmpl w:val="5D30953C"/>
    <w:lvl w:ilvl="0" w:tplc="0C090003">
      <w:start w:val="1"/>
      <w:numFmt w:val="bullet"/>
      <w:lvlText w:val="o"/>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8"/>
  </w:num>
  <w:num w:numId="3">
    <w:abstractNumId w:val="10"/>
  </w:num>
  <w:num w:numId="4">
    <w:abstractNumId w:val="9"/>
  </w:num>
  <w:num w:numId="5">
    <w:abstractNumId w:val="3"/>
  </w:num>
  <w:num w:numId="6">
    <w:abstractNumId w:val="6"/>
  </w:num>
  <w:num w:numId="7">
    <w:abstractNumId w:val="16"/>
  </w:num>
  <w:num w:numId="8">
    <w:abstractNumId w:val="14"/>
  </w:num>
  <w:num w:numId="9">
    <w:abstractNumId w:val="2"/>
  </w:num>
  <w:num w:numId="10">
    <w:abstractNumId w:val="7"/>
  </w:num>
  <w:num w:numId="11">
    <w:abstractNumId w:val="19"/>
  </w:num>
  <w:num w:numId="12">
    <w:abstractNumId w:val="13"/>
  </w:num>
  <w:num w:numId="13">
    <w:abstractNumId w:val="17"/>
  </w:num>
  <w:num w:numId="14">
    <w:abstractNumId w:val="1"/>
  </w:num>
  <w:num w:numId="15">
    <w:abstractNumId w:val="0"/>
  </w:num>
  <w:num w:numId="1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4"/>
  </w:num>
  <w:num w:numId="19">
    <w:abstractNumId w:val="11"/>
  </w:num>
  <w:num w:numId="20">
    <w:abstractNumId w:val="5"/>
  </w:num>
  <w:num w:numId="2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CF"/>
    <w:rsid w:val="00000C47"/>
    <w:rsid w:val="00004878"/>
    <w:rsid w:val="000104AA"/>
    <w:rsid w:val="000116E3"/>
    <w:rsid w:val="0001305B"/>
    <w:rsid w:val="00013114"/>
    <w:rsid w:val="00015C86"/>
    <w:rsid w:val="00017125"/>
    <w:rsid w:val="00025493"/>
    <w:rsid w:val="000337FD"/>
    <w:rsid w:val="00035D4B"/>
    <w:rsid w:val="000360D2"/>
    <w:rsid w:val="000373A6"/>
    <w:rsid w:val="000409E6"/>
    <w:rsid w:val="00041B1B"/>
    <w:rsid w:val="00060A76"/>
    <w:rsid w:val="00070236"/>
    <w:rsid w:val="00073105"/>
    <w:rsid w:val="00080D33"/>
    <w:rsid w:val="00083917"/>
    <w:rsid w:val="00097F5C"/>
    <w:rsid w:val="000A1F36"/>
    <w:rsid w:val="000A4E51"/>
    <w:rsid w:val="000B14F3"/>
    <w:rsid w:val="000B3FF6"/>
    <w:rsid w:val="000B406E"/>
    <w:rsid w:val="000B465D"/>
    <w:rsid w:val="000B5398"/>
    <w:rsid w:val="000B602C"/>
    <w:rsid w:val="000B656B"/>
    <w:rsid w:val="000B714D"/>
    <w:rsid w:val="000C457B"/>
    <w:rsid w:val="000C6D39"/>
    <w:rsid w:val="000C7611"/>
    <w:rsid w:val="000D1B54"/>
    <w:rsid w:val="000D3B29"/>
    <w:rsid w:val="000D413F"/>
    <w:rsid w:val="000D600D"/>
    <w:rsid w:val="000E5671"/>
    <w:rsid w:val="000E7DDF"/>
    <w:rsid w:val="000F2FD2"/>
    <w:rsid w:val="001111FD"/>
    <w:rsid w:val="001124C4"/>
    <w:rsid w:val="00120909"/>
    <w:rsid w:val="001212B6"/>
    <w:rsid w:val="00121F33"/>
    <w:rsid w:val="0012215D"/>
    <w:rsid w:val="00123060"/>
    <w:rsid w:val="00124346"/>
    <w:rsid w:val="00130CEF"/>
    <w:rsid w:val="00131037"/>
    <w:rsid w:val="00134832"/>
    <w:rsid w:val="0014038B"/>
    <w:rsid w:val="001422D1"/>
    <w:rsid w:val="0014297E"/>
    <w:rsid w:val="00143E45"/>
    <w:rsid w:val="00145EBC"/>
    <w:rsid w:val="00150071"/>
    <w:rsid w:val="001614C9"/>
    <w:rsid w:val="001715C5"/>
    <w:rsid w:val="001721DC"/>
    <w:rsid w:val="00175B57"/>
    <w:rsid w:val="001773B7"/>
    <w:rsid w:val="00183DBD"/>
    <w:rsid w:val="00187060"/>
    <w:rsid w:val="001907B3"/>
    <w:rsid w:val="00190C29"/>
    <w:rsid w:val="001910E7"/>
    <w:rsid w:val="00191700"/>
    <w:rsid w:val="00197142"/>
    <w:rsid w:val="00197375"/>
    <w:rsid w:val="001A1738"/>
    <w:rsid w:val="001A1DF0"/>
    <w:rsid w:val="001A4376"/>
    <w:rsid w:val="001B0168"/>
    <w:rsid w:val="001B3B5E"/>
    <w:rsid w:val="001C3586"/>
    <w:rsid w:val="001C37FF"/>
    <w:rsid w:val="001C4D91"/>
    <w:rsid w:val="001D1619"/>
    <w:rsid w:val="001D2B95"/>
    <w:rsid w:val="001D4058"/>
    <w:rsid w:val="001D7DC8"/>
    <w:rsid w:val="001E13E5"/>
    <w:rsid w:val="001E5401"/>
    <w:rsid w:val="001F2836"/>
    <w:rsid w:val="001F5CE5"/>
    <w:rsid w:val="001F7789"/>
    <w:rsid w:val="00200665"/>
    <w:rsid w:val="00204150"/>
    <w:rsid w:val="00212D28"/>
    <w:rsid w:val="00222519"/>
    <w:rsid w:val="0023009B"/>
    <w:rsid w:val="002313FB"/>
    <w:rsid w:val="002343BC"/>
    <w:rsid w:val="0023764A"/>
    <w:rsid w:val="00244BF1"/>
    <w:rsid w:val="002450D3"/>
    <w:rsid w:val="002522A5"/>
    <w:rsid w:val="00253F59"/>
    <w:rsid w:val="00257732"/>
    <w:rsid w:val="002611A2"/>
    <w:rsid w:val="0026169C"/>
    <w:rsid w:val="00262C3D"/>
    <w:rsid w:val="002642AF"/>
    <w:rsid w:val="0026519F"/>
    <w:rsid w:val="002662BD"/>
    <w:rsid w:val="002662CD"/>
    <w:rsid w:val="00267B36"/>
    <w:rsid w:val="00270C32"/>
    <w:rsid w:val="00270DD5"/>
    <w:rsid w:val="00272A3C"/>
    <w:rsid w:val="0027540D"/>
    <w:rsid w:val="002779A4"/>
    <w:rsid w:val="00282609"/>
    <w:rsid w:val="00282AF9"/>
    <w:rsid w:val="00286D57"/>
    <w:rsid w:val="002870B3"/>
    <w:rsid w:val="00293FA2"/>
    <w:rsid w:val="002975C2"/>
    <w:rsid w:val="002A4923"/>
    <w:rsid w:val="002B1A1C"/>
    <w:rsid w:val="002B3292"/>
    <w:rsid w:val="002B4B26"/>
    <w:rsid w:val="002B4EC5"/>
    <w:rsid w:val="002C7FD3"/>
    <w:rsid w:val="002D0562"/>
    <w:rsid w:val="002D3033"/>
    <w:rsid w:val="002E01B1"/>
    <w:rsid w:val="002E2067"/>
    <w:rsid w:val="00302166"/>
    <w:rsid w:val="0030381C"/>
    <w:rsid w:val="00304748"/>
    <w:rsid w:val="00305D08"/>
    <w:rsid w:val="003071ED"/>
    <w:rsid w:val="00311AB6"/>
    <w:rsid w:val="003126A2"/>
    <w:rsid w:val="0031629C"/>
    <w:rsid w:val="00317960"/>
    <w:rsid w:val="00320B51"/>
    <w:rsid w:val="0032276F"/>
    <w:rsid w:val="00323D6F"/>
    <w:rsid w:val="0033742E"/>
    <w:rsid w:val="003402FB"/>
    <w:rsid w:val="003416EB"/>
    <w:rsid w:val="00341CD4"/>
    <w:rsid w:val="00346173"/>
    <w:rsid w:val="003571AE"/>
    <w:rsid w:val="0036016E"/>
    <w:rsid w:val="00362DE4"/>
    <w:rsid w:val="00363C99"/>
    <w:rsid w:val="00364BA5"/>
    <w:rsid w:val="00364FAA"/>
    <w:rsid w:val="003716D5"/>
    <w:rsid w:val="0037240B"/>
    <w:rsid w:val="00372F63"/>
    <w:rsid w:val="003773C4"/>
    <w:rsid w:val="003863BD"/>
    <w:rsid w:val="003863C6"/>
    <w:rsid w:val="003939DC"/>
    <w:rsid w:val="0039508A"/>
    <w:rsid w:val="003A1A35"/>
    <w:rsid w:val="003A5917"/>
    <w:rsid w:val="003B0FFD"/>
    <w:rsid w:val="003B7ED3"/>
    <w:rsid w:val="003C1AF6"/>
    <w:rsid w:val="003C20DF"/>
    <w:rsid w:val="003C4755"/>
    <w:rsid w:val="003C5ABA"/>
    <w:rsid w:val="003C7D7C"/>
    <w:rsid w:val="003D215F"/>
    <w:rsid w:val="003D30C1"/>
    <w:rsid w:val="003D5CE8"/>
    <w:rsid w:val="003E5B9C"/>
    <w:rsid w:val="003F2F98"/>
    <w:rsid w:val="003F3288"/>
    <w:rsid w:val="003F4328"/>
    <w:rsid w:val="003F50FA"/>
    <w:rsid w:val="003F6277"/>
    <w:rsid w:val="0040316C"/>
    <w:rsid w:val="00406F25"/>
    <w:rsid w:val="00413796"/>
    <w:rsid w:val="0041390B"/>
    <w:rsid w:val="00416B12"/>
    <w:rsid w:val="00417274"/>
    <w:rsid w:val="0042069B"/>
    <w:rsid w:val="00424273"/>
    <w:rsid w:val="004256C5"/>
    <w:rsid w:val="00430AC9"/>
    <w:rsid w:val="00431316"/>
    <w:rsid w:val="00431EC4"/>
    <w:rsid w:val="00433D7D"/>
    <w:rsid w:val="00437606"/>
    <w:rsid w:val="0044053D"/>
    <w:rsid w:val="00441AE5"/>
    <w:rsid w:val="00442748"/>
    <w:rsid w:val="004443B8"/>
    <w:rsid w:val="00445099"/>
    <w:rsid w:val="00452B11"/>
    <w:rsid w:val="0045363E"/>
    <w:rsid w:val="00454012"/>
    <w:rsid w:val="00455610"/>
    <w:rsid w:val="00455BA1"/>
    <w:rsid w:val="00456BB0"/>
    <w:rsid w:val="00460A88"/>
    <w:rsid w:val="00471C0A"/>
    <w:rsid w:val="0047218D"/>
    <w:rsid w:val="004721E4"/>
    <w:rsid w:val="00474D50"/>
    <w:rsid w:val="004752FF"/>
    <w:rsid w:val="004812D7"/>
    <w:rsid w:val="0048164B"/>
    <w:rsid w:val="00482ED0"/>
    <w:rsid w:val="00484148"/>
    <w:rsid w:val="004976A2"/>
    <w:rsid w:val="00497A51"/>
    <w:rsid w:val="004A15F9"/>
    <w:rsid w:val="004A1EA2"/>
    <w:rsid w:val="004A61D8"/>
    <w:rsid w:val="004A7375"/>
    <w:rsid w:val="004B3C6F"/>
    <w:rsid w:val="004B69A8"/>
    <w:rsid w:val="004B729D"/>
    <w:rsid w:val="004C37FA"/>
    <w:rsid w:val="004C54E3"/>
    <w:rsid w:val="004D11CD"/>
    <w:rsid w:val="004D40A3"/>
    <w:rsid w:val="004E0A98"/>
    <w:rsid w:val="004E444B"/>
    <w:rsid w:val="004E45A7"/>
    <w:rsid w:val="004E65E0"/>
    <w:rsid w:val="004F1FA9"/>
    <w:rsid w:val="004F21DB"/>
    <w:rsid w:val="00502828"/>
    <w:rsid w:val="005035D7"/>
    <w:rsid w:val="00503705"/>
    <w:rsid w:val="005045F1"/>
    <w:rsid w:val="005104C4"/>
    <w:rsid w:val="00510B7D"/>
    <w:rsid w:val="00513DFD"/>
    <w:rsid w:val="005162E8"/>
    <w:rsid w:val="00516FF1"/>
    <w:rsid w:val="0052020E"/>
    <w:rsid w:val="0052025C"/>
    <w:rsid w:val="00520B2A"/>
    <w:rsid w:val="00526257"/>
    <w:rsid w:val="00534DAB"/>
    <w:rsid w:val="00536D9B"/>
    <w:rsid w:val="00537F70"/>
    <w:rsid w:val="005405FD"/>
    <w:rsid w:val="00540F92"/>
    <w:rsid w:val="0054163E"/>
    <w:rsid w:val="00550891"/>
    <w:rsid w:val="00560E65"/>
    <w:rsid w:val="00564ADE"/>
    <w:rsid w:val="0056621E"/>
    <w:rsid w:val="00571187"/>
    <w:rsid w:val="005774D8"/>
    <w:rsid w:val="00580F1A"/>
    <w:rsid w:val="0058141A"/>
    <w:rsid w:val="00582C17"/>
    <w:rsid w:val="00583C7E"/>
    <w:rsid w:val="00583E5C"/>
    <w:rsid w:val="00584D64"/>
    <w:rsid w:val="0059052E"/>
    <w:rsid w:val="00595DEF"/>
    <w:rsid w:val="0059650E"/>
    <w:rsid w:val="00596EE3"/>
    <w:rsid w:val="005A241D"/>
    <w:rsid w:val="005A4FFA"/>
    <w:rsid w:val="005B5D54"/>
    <w:rsid w:val="005B5DD9"/>
    <w:rsid w:val="005B5DFC"/>
    <w:rsid w:val="005C400A"/>
    <w:rsid w:val="005C550D"/>
    <w:rsid w:val="005C5ADC"/>
    <w:rsid w:val="005D3A57"/>
    <w:rsid w:val="005D4442"/>
    <w:rsid w:val="005E105F"/>
    <w:rsid w:val="005E2035"/>
    <w:rsid w:val="005E3B9E"/>
    <w:rsid w:val="005E5F33"/>
    <w:rsid w:val="005E6944"/>
    <w:rsid w:val="005F206F"/>
    <w:rsid w:val="005F68E7"/>
    <w:rsid w:val="00600960"/>
    <w:rsid w:val="006015CE"/>
    <w:rsid w:val="00601D91"/>
    <w:rsid w:val="0060220B"/>
    <w:rsid w:val="00602A3A"/>
    <w:rsid w:val="006032B8"/>
    <w:rsid w:val="00603982"/>
    <w:rsid w:val="00603AAF"/>
    <w:rsid w:val="00604275"/>
    <w:rsid w:val="0061189A"/>
    <w:rsid w:val="00614783"/>
    <w:rsid w:val="00614A04"/>
    <w:rsid w:val="006276C1"/>
    <w:rsid w:val="00633683"/>
    <w:rsid w:val="0063570B"/>
    <w:rsid w:val="0063719A"/>
    <w:rsid w:val="00641E0E"/>
    <w:rsid w:val="00643817"/>
    <w:rsid w:val="00643DA3"/>
    <w:rsid w:val="006469F1"/>
    <w:rsid w:val="00646B2D"/>
    <w:rsid w:val="00647664"/>
    <w:rsid w:val="00655205"/>
    <w:rsid w:val="00655952"/>
    <w:rsid w:val="0065709E"/>
    <w:rsid w:val="00657376"/>
    <w:rsid w:val="006574DF"/>
    <w:rsid w:val="00657B1D"/>
    <w:rsid w:val="00663755"/>
    <w:rsid w:val="00665215"/>
    <w:rsid w:val="006653D3"/>
    <w:rsid w:val="00667D84"/>
    <w:rsid w:val="006721F7"/>
    <w:rsid w:val="0067458F"/>
    <w:rsid w:val="006756A1"/>
    <w:rsid w:val="00682BB9"/>
    <w:rsid w:val="0068307D"/>
    <w:rsid w:val="0068484C"/>
    <w:rsid w:val="00691507"/>
    <w:rsid w:val="00691844"/>
    <w:rsid w:val="00692578"/>
    <w:rsid w:val="00693423"/>
    <w:rsid w:val="00694D58"/>
    <w:rsid w:val="00695195"/>
    <w:rsid w:val="006979B1"/>
    <w:rsid w:val="00697C1D"/>
    <w:rsid w:val="006A07BB"/>
    <w:rsid w:val="006A0854"/>
    <w:rsid w:val="006A133E"/>
    <w:rsid w:val="006A4EAF"/>
    <w:rsid w:val="006B4A68"/>
    <w:rsid w:val="006B63D7"/>
    <w:rsid w:val="006C2469"/>
    <w:rsid w:val="006D2FE0"/>
    <w:rsid w:val="006D7431"/>
    <w:rsid w:val="006E2568"/>
    <w:rsid w:val="006E5BD4"/>
    <w:rsid w:val="006F105D"/>
    <w:rsid w:val="0070133B"/>
    <w:rsid w:val="007024AE"/>
    <w:rsid w:val="0070733D"/>
    <w:rsid w:val="00715027"/>
    <w:rsid w:val="00715047"/>
    <w:rsid w:val="00717CC2"/>
    <w:rsid w:val="0072003B"/>
    <w:rsid w:val="00730D5D"/>
    <w:rsid w:val="00731032"/>
    <w:rsid w:val="00735BE0"/>
    <w:rsid w:val="007366D5"/>
    <w:rsid w:val="00741E82"/>
    <w:rsid w:val="00744026"/>
    <w:rsid w:val="00746B98"/>
    <w:rsid w:val="0075559C"/>
    <w:rsid w:val="007558CF"/>
    <w:rsid w:val="00762D04"/>
    <w:rsid w:val="00762D7C"/>
    <w:rsid w:val="00765A6C"/>
    <w:rsid w:val="00767219"/>
    <w:rsid w:val="0077340E"/>
    <w:rsid w:val="0077568E"/>
    <w:rsid w:val="00780840"/>
    <w:rsid w:val="00780A1F"/>
    <w:rsid w:val="00781518"/>
    <w:rsid w:val="00787DF9"/>
    <w:rsid w:val="0079211F"/>
    <w:rsid w:val="00792DA3"/>
    <w:rsid w:val="007A0C1B"/>
    <w:rsid w:val="007A2274"/>
    <w:rsid w:val="007A2CA7"/>
    <w:rsid w:val="007A5319"/>
    <w:rsid w:val="007A5720"/>
    <w:rsid w:val="007B1FBB"/>
    <w:rsid w:val="007B2B64"/>
    <w:rsid w:val="007B6940"/>
    <w:rsid w:val="007C1361"/>
    <w:rsid w:val="007C1F45"/>
    <w:rsid w:val="007C2DA4"/>
    <w:rsid w:val="007C3B0B"/>
    <w:rsid w:val="007C53D5"/>
    <w:rsid w:val="007C696D"/>
    <w:rsid w:val="007D3A02"/>
    <w:rsid w:val="007D5322"/>
    <w:rsid w:val="007E05AB"/>
    <w:rsid w:val="007E2387"/>
    <w:rsid w:val="007E618A"/>
    <w:rsid w:val="007E7793"/>
    <w:rsid w:val="007F0381"/>
    <w:rsid w:val="007F0DE3"/>
    <w:rsid w:val="007F2E6F"/>
    <w:rsid w:val="00801928"/>
    <w:rsid w:val="00801DBD"/>
    <w:rsid w:val="00810C71"/>
    <w:rsid w:val="00810FA9"/>
    <w:rsid w:val="00812406"/>
    <w:rsid w:val="008135B0"/>
    <w:rsid w:val="00816BE9"/>
    <w:rsid w:val="00817E83"/>
    <w:rsid w:val="00820B25"/>
    <w:rsid w:val="00824F09"/>
    <w:rsid w:val="008305E6"/>
    <w:rsid w:val="008370E4"/>
    <w:rsid w:val="00837870"/>
    <w:rsid w:val="00837FC6"/>
    <w:rsid w:val="00844615"/>
    <w:rsid w:val="008503F3"/>
    <w:rsid w:val="00852F6E"/>
    <w:rsid w:val="0085399C"/>
    <w:rsid w:val="00853F03"/>
    <w:rsid w:val="00860216"/>
    <w:rsid w:val="00867E64"/>
    <w:rsid w:val="0087089A"/>
    <w:rsid w:val="008720B0"/>
    <w:rsid w:val="008744FA"/>
    <w:rsid w:val="00874628"/>
    <w:rsid w:val="00875094"/>
    <w:rsid w:val="00876E4C"/>
    <w:rsid w:val="00876FCA"/>
    <w:rsid w:val="00877B5C"/>
    <w:rsid w:val="00877FE2"/>
    <w:rsid w:val="008839D0"/>
    <w:rsid w:val="0088540C"/>
    <w:rsid w:val="00885BF8"/>
    <w:rsid w:val="00891618"/>
    <w:rsid w:val="00891D8D"/>
    <w:rsid w:val="008964E8"/>
    <w:rsid w:val="008B219F"/>
    <w:rsid w:val="008C4875"/>
    <w:rsid w:val="008C6181"/>
    <w:rsid w:val="008D1765"/>
    <w:rsid w:val="008D2A89"/>
    <w:rsid w:val="008D7202"/>
    <w:rsid w:val="008E2172"/>
    <w:rsid w:val="008E3E96"/>
    <w:rsid w:val="008E4065"/>
    <w:rsid w:val="008E5248"/>
    <w:rsid w:val="008E774E"/>
    <w:rsid w:val="008F12B8"/>
    <w:rsid w:val="00904AF8"/>
    <w:rsid w:val="00904C40"/>
    <w:rsid w:val="0090614C"/>
    <w:rsid w:val="00906228"/>
    <w:rsid w:val="00915647"/>
    <w:rsid w:val="00922BDD"/>
    <w:rsid w:val="00924C5C"/>
    <w:rsid w:val="00926674"/>
    <w:rsid w:val="009312C0"/>
    <w:rsid w:val="009327BA"/>
    <w:rsid w:val="009362ED"/>
    <w:rsid w:val="00941B75"/>
    <w:rsid w:val="00944B70"/>
    <w:rsid w:val="0095039D"/>
    <w:rsid w:val="00951098"/>
    <w:rsid w:val="00951858"/>
    <w:rsid w:val="009544DF"/>
    <w:rsid w:val="00957A05"/>
    <w:rsid w:val="009615ED"/>
    <w:rsid w:val="009618D7"/>
    <w:rsid w:val="00964A37"/>
    <w:rsid w:val="00972C9A"/>
    <w:rsid w:val="00974E8E"/>
    <w:rsid w:val="00976750"/>
    <w:rsid w:val="00976B88"/>
    <w:rsid w:val="0097763B"/>
    <w:rsid w:val="00986FFF"/>
    <w:rsid w:val="009914BF"/>
    <w:rsid w:val="00991C4C"/>
    <w:rsid w:val="009928AB"/>
    <w:rsid w:val="00992B0B"/>
    <w:rsid w:val="0099610B"/>
    <w:rsid w:val="00997300"/>
    <w:rsid w:val="009A11F4"/>
    <w:rsid w:val="009A1E5C"/>
    <w:rsid w:val="009A6446"/>
    <w:rsid w:val="009C05C8"/>
    <w:rsid w:val="009C395B"/>
    <w:rsid w:val="009C3AB9"/>
    <w:rsid w:val="009E1200"/>
    <w:rsid w:val="009E33DF"/>
    <w:rsid w:val="009F0110"/>
    <w:rsid w:val="009F3097"/>
    <w:rsid w:val="009F3672"/>
    <w:rsid w:val="009F5ABE"/>
    <w:rsid w:val="00A00163"/>
    <w:rsid w:val="00A0411B"/>
    <w:rsid w:val="00A042CC"/>
    <w:rsid w:val="00A05620"/>
    <w:rsid w:val="00A05DA5"/>
    <w:rsid w:val="00A061CD"/>
    <w:rsid w:val="00A072A9"/>
    <w:rsid w:val="00A1150E"/>
    <w:rsid w:val="00A14B96"/>
    <w:rsid w:val="00A159BB"/>
    <w:rsid w:val="00A16A50"/>
    <w:rsid w:val="00A16F2A"/>
    <w:rsid w:val="00A31714"/>
    <w:rsid w:val="00A41EE0"/>
    <w:rsid w:val="00A438D6"/>
    <w:rsid w:val="00A4474B"/>
    <w:rsid w:val="00A473CC"/>
    <w:rsid w:val="00A509EC"/>
    <w:rsid w:val="00A50E21"/>
    <w:rsid w:val="00A54130"/>
    <w:rsid w:val="00A60626"/>
    <w:rsid w:val="00A60F58"/>
    <w:rsid w:val="00A61EB3"/>
    <w:rsid w:val="00A64E27"/>
    <w:rsid w:val="00A66544"/>
    <w:rsid w:val="00A73CE1"/>
    <w:rsid w:val="00A74F99"/>
    <w:rsid w:val="00A81D35"/>
    <w:rsid w:val="00A83EEB"/>
    <w:rsid w:val="00A842A6"/>
    <w:rsid w:val="00A849EF"/>
    <w:rsid w:val="00A85745"/>
    <w:rsid w:val="00A87D97"/>
    <w:rsid w:val="00A93138"/>
    <w:rsid w:val="00AA1C26"/>
    <w:rsid w:val="00AA45BD"/>
    <w:rsid w:val="00AA66A8"/>
    <w:rsid w:val="00AB65F4"/>
    <w:rsid w:val="00AC0B65"/>
    <w:rsid w:val="00AC34EE"/>
    <w:rsid w:val="00AC4B5D"/>
    <w:rsid w:val="00AD002A"/>
    <w:rsid w:val="00AD280F"/>
    <w:rsid w:val="00AD7E6C"/>
    <w:rsid w:val="00AE104A"/>
    <w:rsid w:val="00AF07D3"/>
    <w:rsid w:val="00AF29D7"/>
    <w:rsid w:val="00AF3778"/>
    <w:rsid w:val="00AF696F"/>
    <w:rsid w:val="00B0106C"/>
    <w:rsid w:val="00B0332F"/>
    <w:rsid w:val="00B052A9"/>
    <w:rsid w:val="00B06754"/>
    <w:rsid w:val="00B13188"/>
    <w:rsid w:val="00B1329F"/>
    <w:rsid w:val="00B20EE8"/>
    <w:rsid w:val="00B23012"/>
    <w:rsid w:val="00B275B1"/>
    <w:rsid w:val="00B313AF"/>
    <w:rsid w:val="00B339F6"/>
    <w:rsid w:val="00B344D3"/>
    <w:rsid w:val="00B34585"/>
    <w:rsid w:val="00B345D5"/>
    <w:rsid w:val="00B34CB7"/>
    <w:rsid w:val="00B351B8"/>
    <w:rsid w:val="00B351BD"/>
    <w:rsid w:val="00B43059"/>
    <w:rsid w:val="00B4467C"/>
    <w:rsid w:val="00B47ACF"/>
    <w:rsid w:val="00B517C5"/>
    <w:rsid w:val="00B613B8"/>
    <w:rsid w:val="00B62EE8"/>
    <w:rsid w:val="00B70466"/>
    <w:rsid w:val="00B74BB6"/>
    <w:rsid w:val="00B75947"/>
    <w:rsid w:val="00B7617F"/>
    <w:rsid w:val="00B8237B"/>
    <w:rsid w:val="00B82F86"/>
    <w:rsid w:val="00B853A5"/>
    <w:rsid w:val="00B911BA"/>
    <w:rsid w:val="00B926E9"/>
    <w:rsid w:val="00BA3057"/>
    <w:rsid w:val="00BA30FB"/>
    <w:rsid w:val="00BB7FE8"/>
    <w:rsid w:val="00BC1205"/>
    <w:rsid w:val="00BC172B"/>
    <w:rsid w:val="00BC21F8"/>
    <w:rsid w:val="00BC3CDC"/>
    <w:rsid w:val="00BC4075"/>
    <w:rsid w:val="00BC4F19"/>
    <w:rsid w:val="00BC643A"/>
    <w:rsid w:val="00BC6CA9"/>
    <w:rsid w:val="00BD2F4B"/>
    <w:rsid w:val="00BD5651"/>
    <w:rsid w:val="00BD60BB"/>
    <w:rsid w:val="00BD62B3"/>
    <w:rsid w:val="00BD7057"/>
    <w:rsid w:val="00BE11D7"/>
    <w:rsid w:val="00BE5BF5"/>
    <w:rsid w:val="00BE690A"/>
    <w:rsid w:val="00BF1F50"/>
    <w:rsid w:val="00BF7A53"/>
    <w:rsid w:val="00C0035A"/>
    <w:rsid w:val="00C009E9"/>
    <w:rsid w:val="00C06332"/>
    <w:rsid w:val="00C131BB"/>
    <w:rsid w:val="00C15CE6"/>
    <w:rsid w:val="00C16316"/>
    <w:rsid w:val="00C22043"/>
    <w:rsid w:val="00C235E9"/>
    <w:rsid w:val="00C267EC"/>
    <w:rsid w:val="00C3356F"/>
    <w:rsid w:val="00C42B74"/>
    <w:rsid w:val="00C45CA5"/>
    <w:rsid w:val="00C46618"/>
    <w:rsid w:val="00C51FAE"/>
    <w:rsid w:val="00C605C3"/>
    <w:rsid w:val="00C66D50"/>
    <w:rsid w:val="00C67896"/>
    <w:rsid w:val="00C728B6"/>
    <w:rsid w:val="00C729EA"/>
    <w:rsid w:val="00C73B80"/>
    <w:rsid w:val="00C7486E"/>
    <w:rsid w:val="00C81EF4"/>
    <w:rsid w:val="00C82F7B"/>
    <w:rsid w:val="00C860ED"/>
    <w:rsid w:val="00C861A0"/>
    <w:rsid w:val="00C86ACE"/>
    <w:rsid w:val="00C904EC"/>
    <w:rsid w:val="00C9600F"/>
    <w:rsid w:val="00CA513A"/>
    <w:rsid w:val="00CB215A"/>
    <w:rsid w:val="00CB2871"/>
    <w:rsid w:val="00CB3EFA"/>
    <w:rsid w:val="00CC0245"/>
    <w:rsid w:val="00CC367E"/>
    <w:rsid w:val="00CC37DA"/>
    <w:rsid w:val="00CC6C67"/>
    <w:rsid w:val="00CC6C77"/>
    <w:rsid w:val="00CD0A76"/>
    <w:rsid w:val="00CD55EC"/>
    <w:rsid w:val="00CD7A78"/>
    <w:rsid w:val="00CE606A"/>
    <w:rsid w:val="00CE733B"/>
    <w:rsid w:val="00CF212D"/>
    <w:rsid w:val="00D0275A"/>
    <w:rsid w:val="00D02956"/>
    <w:rsid w:val="00D03641"/>
    <w:rsid w:val="00D03B1A"/>
    <w:rsid w:val="00D13D39"/>
    <w:rsid w:val="00D17E9E"/>
    <w:rsid w:val="00D21104"/>
    <w:rsid w:val="00D22FCC"/>
    <w:rsid w:val="00D330A0"/>
    <w:rsid w:val="00D331FB"/>
    <w:rsid w:val="00D36E0D"/>
    <w:rsid w:val="00D523AA"/>
    <w:rsid w:val="00D52851"/>
    <w:rsid w:val="00D606DF"/>
    <w:rsid w:val="00D62212"/>
    <w:rsid w:val="00D65352"/>
    <w:rsid w:val="00D73A8F"/>
    <w:rsid w:val="00D742BE"/>
    <w:rsid w:val="00D74FFB"/>
    <w:rsid w:val="00D7511B"/>
    <w:rsid w:val="00D82151"/>
    <w:rsid w:val="00D82D24"/>
    <w:rsid w:val="00D82E88"/>
    <w:rsid w:val="00D8357F"/>
    <w:rsid w:val="00D86544"/>
    <w:rsid w:val="00D963CC"/>
    <w:rsid w:val="00D97C93"/>
    <w:rsid w:val="00DA2A2F"/>
    <w:rsid w:val="00DA3F58"/>
    <w:rsid w:val="00DA6936"/>
    <w:rsid w:val="00DB1F04"/>
    <w:rsid w:val="00DB2249"/>
    <w:rsid w:val="00DB49BD"/>
    <w:rsid w:val="00DC1ADD"/>
    <w:rsid w:val="00DC44F9"/>
    <w:rsid w:val="00DC47E0"/>
    <w:rsid w:val="00DC5E83"/>
    <w:rsid w:val="00DD2ECA"/>
    <w:rsid w:val="00DD4D8B"/>
    <w:rsid w:val="00DD75D8"/>
    <w:rsid w:val="00DE126F"/>
    <w:rsid w:val="00DE6EDF"/>
    <w:rsid w:val="00DF12BD"/>
    <w:rsid w:val="00DF45BC"/>
    <w:rsid w:val="00DF4B22"/>
    <w:rsid w:val="00DF5532"/>
    <w:rsid w:val="00DF55FC"/>
    <w:rsid w:val="00DF70C4"/>
    <w:rsid w:val="00E10834"/>
    <w:rsid w:val="00E10E14"/>
    <w:rsid w:val="00E14C9A"/>
    <w:rsid w:val="00E157B4"/>
    <w:rsid w:val="00E15B65"/>
    <w:rsid w:val="00E16C87"/>
    <w:rsid w:val="00E21E00"/>
    <w:rsid w:val="00E24C9F"/>
    <w:rsid w:val="00E27663"/>
    <w:rsid w:val="00E34DD3"/>
    <w:rsid w:val="00E34ED5"/>
    <w:rsid w:val="00E3560C"/>
    <w:rsid w:val="00E40F6A"/>
    <w:rsid w:val="00E44E9A"/>
    <w:rsid w:val="00E46D9D"/>
    <w:rsid w:val="00E501AA"/>
    <w:rsid w:val="00E55C6F"/>
    <w:rsid w:val="00E564AC"/>
    <w:rsid w:val="00E61169"/>
    <w:rsid w:val="00E628E5"/>
    <w:rsid w:val="00E62A3A"/>
    <w:rsid w:val="00E62A8D"/>
    <w:rsid w:val="00E657B4"/>
    <w:rsid w:val="00E65CFD"/>
    <w:rsid w:val="00E70C27"/>
    <w:rsid w:val="00E72B8B"/>
    <w:rsid w:val="00E75914"/>
    <w:rsid w:val="00E7626C"/>
    <w:rsid w:val="00E764DB"/>
    <w:rsid w:val="00E770D0"/>
    <w:rsid w:val="00E817BD"/>
    <w:rsid w:val="00E821EE"/>
    <w:rsid w:val="00E82826"/>
    <w:rsid w:val="00E84179"/>
    <w:rsid w:val="00E92DB8"/>
    <w:rsid w:val="00E93838"/>
    <w:rsid w:val="00E93920"/>
    <w:rsid w:val="00E974EF"/>
    <w:rsid w:val="00EA385C"/>
    <w:rsid w:val="00EA518C"/>
    <w:rsid w:val="00EA75E6"/>
    <w:rsid w:val="00EB0654"/>
    <w:rsid w:val="00EB23D5"/>
    <w:rsid w:val="00EB537B"/>
    <w:rsid w:val="00EB62D4"/>
    <w:rsid w:val="00EC1F5E"/>
    <w:rsid w:val="00ED336C"/>
    <w:rsid w:val="00ED7D11"/>
    <w:rsid w:val="00EE2F9A"/>
    <w:rsid w:val="00EE3272"/>
    <w:rsid w:val="00EF2A81"/>
    <w:rsid w:val="00EF36C8"/>
    <w:rsid w:val="00EF5191"/>
    <w:rsid w:val="00EF53E6"/>
    <w:rsid w:val="00F009C8"/>
    <w:rsid w:val="00F01566"/>
    <w:rsid w:val="00F01EAD"/>
    <w:rsid w:val="00F04146"/>
    <w:rsid w:val="00F125A1"/>
    <w:rsid w:val="00F1414E"/>
    <w:rsid w:val="00F147BA"/>
    <w:rsid w:val="00F15A1D"/>
    <w:rsid w:val="00F16A63"/>
    <w:rsid w:val="00F20D1D"/>
    <w:rsid w:val="00F21346"/>
    <w:rsid w:val="00F234A2"/>
    <w:rsid w:val="00F24699"/>
    <w:rsid w:val="00F25CE9"/>
    <w:rsid w:val="00F2704A"/>
    <w:rsid w:val="00F3098F"/>
    <w:rsid w:val="00F323E5"/>
    <w:rsid w:val="00F355E7"/>
    <w:rsid w:val="00F41719"/>
    <w:rsid w:val="00F44906"/>
    <w:rsid w:val="00F46C55"/>
    <w:rsid w:val="00F529CE"/>
    <w:rsid w:val="00F567AF"/>
    <w:rsid w:val="00F627A5"/>
    <w:rsid w:val="00F62DE1"/>
    <w:rsid w:val="00F657BA"/>
    <w:rsid w:val="00F65BE3"/>
    <w:rsid w:val="00F72427"/>
    <w:rsid w:val="00F76020"/>
    <w:rsid w:val="00F76BEC"/>
    <w:rsid w:val="00F80DC5"/>
    <w:rsid w:val="00F82CB1"/>
    <w:rsid w:val="00F84F6B"/>
    <w:rsid w:val="00F861ED"/>
    <w:rsid w:val="00F87607"/>
    <w:rsid w:val="00F937B9"/>
    <w:rsid w:val="00F94AA0"/>
    <w:rsid w:val="00FA0A1E"/>
    <w:rsid w:val="00FA5259"/>
    <w:rsid w:val="00FB5345"/>
    <w:rsid w:val="00FC2F1E"/>
    <w:rsid w:val="00FC3EB3"/>
    <w:rsid w:val="00FC6236"/>
    <w:rsid w:val="00FD72E9"/>
    <w:rsid w:val="00FD7DE8"/>
    <w:rsid w:val="00FF44F3"/>
    <w:rsid w:val="00FF46EE"/>
    <w:rsid w:val="00FF7E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F537118A-7264-4938-AF69-84177177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619"/>
    <w:pPr>
      <w:spacing w:after="0" w:line="240" w:lineRule="auto"/>
    </w:pPr>
    <w:rPr>
      <w:sz w:val="24"/>
      <w:szCs w:val="20"/>
      <w:lang w:eastAsia="en-US"/>
    </w:rPr>
  </w:style>
  <w:style w:type="paragraph" w:styleId="Heading1">
    <w:name w:val="heading 1"/>
    <w:basedOn w:val="Normal"/>
    <w:next w:val="Normal"/>
    <w:link w:val="Heading1Char"/>
    <w:uiPriority w:val="99"/>
    <w:qFormat/>
    <w:rsid w:val="00C46618"/>
    <w:pPr>
      <w:keepNext/>
      <w:numPr>
        <w:numId w:val="14"/>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46618"/>
    <w:pPr>
      <w:keepNext/>
      <w:numPr>
        <w:ilvl w:val="1"/>
        <w:numId w:val="14"/>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46618"/>
    <w:pPr>
      <w:keepNext/>
      <w:numPr>
        <w:ilvl w:val="2"/>
        <w:numId w:val="14"/>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526257"/>
    <w:pPr>
      <w:outlineLvl w:val="3"/>
    </w:pPr>
    <w:rPr>
      <w:rFonts w:ascii="Tahoma" w:hAnsi="Tahoma" w:cs="Tahoma"/>
      <w:b/>
      <w:i/>
      <w:sz w:val="22"/>
      <w:szCs w:val="22"/>
    </w:rPr>
  </w:style>
  <w:style w:type="paragraph" w:styleId="Heading5">
    <w:name w:val="heading 5"/>
    <w:basedOn w:val="Normal"/>
    <w:next w:val="Normal"/>
    <w:link w:val="Heading5Char"/>
    <w:uiPriority w:val="99"/>
    <w:qFormat/>
    <w:rsid w:val="00571187"/>
    <w:pPr>
      <w:numPr>
        <w:ilvl w:val="4"/>
        <w:numId w:val="14"/>
      </w:numPr>
      <w:spacing w:before="240" w:after="60"/>
      <w:outlineLvl w:val="4"/>
    </w:pPr>
    <w:rPr>
      <w:b/>
      <w:bCs/>
      <w:i/>
      <w:iCs/>
      <w:sz w:val="26"/>
      <w:szCs w:val="26"/>
    </w:rPr>
  </w:style>
  <w:style w:type="paragraph" w:styleId="Heading6">
    <w:name w:val="heading 6"/>
    <w:basedOn w:val="Normal"/>
    <w:next w:val="Normal"/>
    <w:link w:val="Heading6Char"/>
    <w:uiPriority w:val="99"/>
    <w:qFormat/>
    <w:rsid w:val="00571187"/>
    <w:pPr>
      <w:numPr>
        <w:ilvl w:val="5"/>
        <w:numId w:val="14"/>
      </w:numPr>
      <w:spacing w:before="240" w:after="60"/>
      <w:outlineLvl w:val="5"/>
    </w:pPr>
    <w:rPr>
      <w:b/>
      <w:bCs/>
      <w:sz w:val="22"/>
      <w:szCs w:val="22"/>
    </w:rPr>
  </w:style>
  <w:style w:type="paragraph" w:styleId="Heading7">
    <w:name w:val="heading 7"/>
    <w:basedOn w:val="Normal"/>
    <w:next w:val="Normal"/>
    <w:link w:val="Heading7Char"/>
    <w:uiPriority w:val="99"/>
    <w:qFormat/>
    <w:rsid w:val="00C46618"/>
    <w:pPr>
      <w:numPr>
        <w:ilvl w:val="6"/>
        <w:numId w:val="14"/>
      </w:numPr>
      <w:spacing w:before="240" w:after="60"/>
      <w:outlineLvl w:val="6"/>
    </w:pPr>
    <w:rPr>
      <w:szCs w:val="24"/>
    </w:rPr>
  </w:style>
  <w:style w:type="paragraph" w:styleId="Heading8">
    <w:name w:val="heading 8"/>
    <w:basedOn w:val="Normal"/>
    <w:next w:val="Normal"/>
    <w:link w:val="Heading8Char"/>
    <w:uiPriority w:val="99"/>
    <w:qFormat/>
    <w:rsid w:val="00571187"/>
    <w:pPr>
      <w:numPr>
        <w:ilvl w:val="7"/>
        <w:numId w:val="14"/>
      </w:numPr>
      <w:spacing w:before="240" w:after="60"/>
      <w:outlineLvl w:val="7"/>
    </w:pPr>
    <w:rPr>
      <w:i/>
      <w:iCs/>
      <w:szCs w:val="24"/>
    </w:rPr>
  </w:style>
  <w:style w:type="paragraph" w:styleId="Heading9">
    <w:name w:val="heading 9"/>
    <w:basedOn w:val="Normal"/>
    <w:next w:val="Normal"/>
    <w:link w:val="Heading9Char"/>
    <w:uiPriority w:val="99"/>
    <w:qFormat/>
    <w:rsid w:val="00571187"/>
    <w:pPr>
      <w:numPr>
        <w:ilvl w:val="8"/>
        <w:numId w:val="1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9"/>
    <w:locked/>
    <w:rsid w:val="00BC172B"/>
    <w:rPr>
      <w:rFonts w:ascii="Arial" w:hAnsi="Arial" w:cs="Arial"/>
      <w:b/>
      <w:bCs/>
      <w:i/>
      <w:iCs/>
      <w:sz w:val="28"/>
      <w:szCs w:val="28"/>
      <w:lang w:val="en-AU" w:eastAsia="en-US" w:bidi="ar-SA"/>
    </w:rPr>
  </w:style>
  <w:style w:type="character" w:customStyle="1" w:styleId="Heading3Char">
    <w:name w:val="Heading 3 Char"/>
    <w:basedOn w:val="DefaultParagraphFont"/>
    <w:link w:val="Heading3"/>
    <w:uiPriority w:val="99"/>
    <w:locked/>
    <w:rsid w:val="001614C9"/>
    <w:rPr>
      <w:rFonts w:ascii="Arial" w:hAnsi="Arial" w:cs="Arial"/>
      <w:b/>
      <w:bCs/>
      <w:sz w:val="26"/>
      <w:szCs w:val="26"/>
      <w:lang w:val="en-AU" w:eastAsia="en-US" w:bidi="ar-SA"/>
    </w:rPr>
  </w:style>
  <w:style w:type="character" w:customStyle="1" w:styleId="Heading4Char">
    <w:name w:val="Heading 4 Char"/>
    <w:basedOn w:val="DefaultParagraphFont"/>
    <w:link w:val="Heading4"/>
    <w:uiPriority w:val="99"/>
    <w:locked/>
    <w:rsid w:val="00526257"/>
    <w:rPr>
      <w:rFonts w:ascii="Tahoma" w:hAnsi="Tahoma" w:cs="Tahoma"/>
      <w:b/>
      <w:i/>
      <w:lang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heme="majorBidi"/>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cs="Times New Roman"/>
      <w:sz w:val="20"/>
      <w:szCs w:val="20"/>
      <w:lang w:eastAsia="en-US"/>
    </w:rPr>
  </w:style>
  <w:style w:type="character" w:styleId="PageNumber">
    <w:name w:val="page number"/>
    <w:basedOn w:val="DefaultParagraphFont"/>
    <w:uiPriority w:val="99"/>
    <w:rPr>
      <w:rFonts w:cs="Times New Roman"/>
    </w:rPr>
  </w:style>
  <w:style w:type="paragraph" w:customStyle="1" w:styleId="Heading10">
    <w:name w:val="Heading_1"/>
    <w:basedOn w:val="Normal"/>
    <w:uiPriority w:val="99"/>
    <w:rPr>
      <w:b/>
    </w:rPr>
  </w:style>
  <w:style w:type="paragraph" w:customStyle="1" w:styleId="OutlineNumbering">
    <w:name w:val="Outline Numbering"/>
    <w:basedOn w:val="Normal"/>
    <w:uiPriority w:val="99"/>
    <w:pPr>
      <w:numPr>
        <w:numId w:val="5"/>
      </w:numPr>
      <w:tabs>
        <w:tab w:val="clear" w:pos="360"/>
        <w:tab w:val="left" w:pos="720"/>
      </w:tabs>
      <w:spacing w:after="280"/>
    </w:pPr>
  </w:style>
  <w:style w:type="character" w:customStyle="1" w:styleId="Subjecttext">
    <w:name w:val="Subject_text"/>
    <w:uiPriority w:val="99"/>
    <w:rPr>
      <w:b/>
    </w:rPr>
  </w:style>
  <w:style w:type="paragraph" w:customStyle="1" w:styleId="text">
    <w:name w:val="text"/>
    <w:basedOn w:val="Normal"/>
    <w:uiPriority w:val="99"/>
  </w:style>
  <w:style w:type="paragraph" w:customStyle="1" w:styleId="nonumber">
    <w:name w:val="no_number"/>
    <w:basedOn w:val="Normal"/>
    <w:next w:val="numberlist"/>
    <w:uiPriority w:val="99"/>
    <w:pPr>
      <w:spacing w:after="120"/>
    </w:pPr>
  </w:style>
  <w:style w:type="paragraph" w:customStyle="1" w:styleId="numberlist">
    <w:name w:val="number_list"/>
    <w:basedOn w:val="nonumber"/>
    <w:uiPriority w:val="99"/>
    <w:pPr>
      <w:numPr>
        <w:numId w:val="4"/>
      </w:numPr>
      <w:tabs>
        <w:tab w:val="clear" w:pos="360"/>
        <w:tab w:val="num" w:pos="851"/>
      </w:tabs>
    </w:pPr>
  </w:style>
  <w:style w:type="paragraph" w:customStyle="1" w:styleId="colonpoint">
    <w:name w:val="colon point"/>
    <w:basedOn w:val="Normal"/>
    <w:uiPriority w:val="99"/>
    <w:pPr>
      <w:numPr>
        <w:numId w:val="1"/>
      </w:numPr>
      <w:tabs>
        <w:tab w:val="clear" w:pos="360"/>
        <w:tab w:val="num" w:pos="2552"/>
      </w:tabs>
      <w:spacing w:after="120"/>
      <w:ind w:left="2552" w:hanging="851"/>
    </w:pPr>
  </w:style>
  <w:style w:type="paragraph" w:customStyle="1" w:styleId="dotpoint">
    <w:name w:val="dot_point"/>
    <w:basedOn w:val="Normal"/>
    <w:uiPriority w:val="99"/>
    <w:pPr>
      <w:numPr>
        <w:numId w:val="3"/>
      </w:numPr>
      <w:tabs>
        <w:tab w:val="clear" w:pos="360"/>
        <w:tab w:val="num" w:pos="851"/>
      </w:tabs>
      <w:spacing w:after="120"/>
      <w:ind w:left="851" w:hanging="851"/>
    </w:pPr>
  </w:style>
  <w:style w:type="character" w:styleId="Hyperlink">
    <w:name w:val="Hyperlink"/>
    <w:basedOn w:val="DefaultParagraphFont"/>
    <w:uiPriority w:val="99"/>
    <w:rsid w:val="00972C9A"/>
    <w:rPr>
      <w:rFonts w:cs="Times New Roman"/>
      <w:color w:val="0000FF"/>
      <w:u w:val="single"/>
    </w:rPr>
  </w:style>
  <w:style w:type="paragraph" w:customStyle="1" w:styleId="dashpoint">
    <w:name w:val="dash_point"/>
    <w:basedOn w:val="Normal"/>
    <w:uiPriority w:val="99"/>
    <w:pPr>
      <w:numPr>
        <w:numId w:val="2"/>
      </w:numPr>
      <w:tabs>
        <w:tab w:val="clear" w:pos="360"/>
        <w:tab w:val="num" w:pos="1701"/>
      </w:tabs>
      <w:spacing w:after="120"/>
      <w:ind w:left="1702" w:hanging="851"/>
    </w:pPr>
  </w:style>
  <w:style w:type="paragraph" w:customStyle="1" w:styleId="cc">
    <w:name w:val="cc"/>
    <w:basedOn w:val="Header"/>
    <w:uiPriority w:val="99"/>
    <w:pPr>
      <w:tabs>
        <w:tab w:val="clear" w:pos="4153"/>
        <w:tab w:val="clear" w:pos="8306"/>
        <w:tab w:val="left" w:pos="1134"/>
      </w:tabs>
    </w:pPr>
    <w:rPr>
      <w:b/>
    </w:rPr>
  </w:style>
  <w:style w:type="paragraph" w:styleId="BalloonText">
    <w:name w:val="Balloon Text"/>
    <w:basedOn w:val="Normal"/>
    <w:link w:val="BalloonTextChar"/>
    <w:uiPriority w:val="99"/>
    <w:semiHidden/>
    <w:rsid w:val="0041390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eastAsia="en-US"/>
    </w:rPr>
  </w:style>
  <w:style w:type="paragraph" w:styleId="TOC1">
    <w:name w:val="toc 1"/>
    <w:basedOn w:val="Normal"/>
    <w:next w:val="Normal"/>
    <w:autoRedefine/>
    <w:uiPriority w:val="99"/>
    <w:semiHidden/>
    <w:rsid w:val="006B4A68"/>
    <w:pPr>
      <w:spacing w:before="360"/>
    </w:pPr>
    <w:rPr>
      <w:rFonts w:cs="Arial"/>
      <w:b/>
      <w:bCs/>
      <w:caps/>
      <w:szCs w:val="24"/>
    </w:rPr>
  </w:style>
  <w:style w:type="paragraph" w:styleId="TOC2">
    <w:name w:val="toc 2"/>
    <w:basedOn w:val="Normal"/>
    <w:next w:val="Normal"/>
    <w:autoRedefine/>
    <w:uiPriority w:val="99"/>
    <w:semiHidden/>
    <w:rsid w:val="00F01566"/>
    <w:pPr>
      <w:spacing w:before="240" w:line="360" w:lineRule="auto"/>
    </w:pPr>
    <w:rPr>
      <w:b/>
      <w:bCs/>
    </w:rPr>
  </w:style>
  <w:style w:type="table" w:styleId="TableGrid">
    <w:name w:val="Table Grid"/>
    <w:basedOn w:val="TableNormal"/>
    <w:uiPriority w:val="99"/>
    <w:rsid w:val="000104A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715047"/>
    <w:rPr>
      <w:b/>
      <w:bCs/>
      <w:sz w:val="20"/>
    </w:rPr>
  </w:style>
  <w:style w:type="paragraph" w:styleId="TableofFigures">
    <w:name w:val="table of figures"/>
    <w:basedOn w:val="Normal"/>
    <w:next w:val="Normal"/>
    <w:uiPriority w:val="99"/>
    <w:semiHidden/>
    <w:rsid w:val="00875094"/>
  </w:style>
  <w:style w:type="paragraph" w:customStyle="1" w:styleId="Default">
    <w:name w:val="Default"/>
    <w:uiPriority w:val="99"/>
    <w:rsid w:val="00595DEF"/>
    <w:pPr>
      <w:autoSpaceDE w:val="0"/>
      <w:autoSpaceDN w:val="0"/>
      <w:adjustRightInd w:val="0"/>
      <w:spacing w:after="0" w:line="240" w:lineRule="auto"/>
    </w:pPr>
    <w:rPr>
      <w:rFonts w:ascii="Tahoma" w:hAnsi="Tahoma" w:cs="Tahoma"/>
      <w:color w:val="000000"/>
      <w:sz w:val="24"/>
      <w:szCs w:val="24"/>
    </w:rPr>
  </w:style>
  <w:style w:type="paragraph" w:customStyle="1" w:styleId="xl24">
    <w:name w:val="xl24"/>
    <w:basedOn w:val="Normal"/>
    <w:uiPriority w:val="99"/>
    <w:rsid w:val="007B1F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6"/>
      <w:szCs w:val="16"/>
      <w:lang w:eastAsia="en-AU"/>
    </w:rPr>
  </w:style>
  <w:style w:type="paragraph" w:customStyle="1" w:styleId="xl25">
    <w:name w:val="xl25"/>
    <w:basedOn w:val="Normal"/>
    <w:uiPriority w:val="99"/>
    <w:rsid w:val="007B1F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lang w:eastAsia="en-AU"/>
    </w:rPr>
  </w:style>
  <w:style w:type="paragraph" w:customStyle="1" w:styleId="xl26">
    <w:name w:val="xl26"/>
    <w:basedOn w:val="Normal"/>
    <w:uiPriority w:val="99"/>
    <w:rsid w:val="007B1F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lang w:eastAsia="en-AU"/>
    </w:rPr>
  </w:style>
  <w:style w:type="paragraph" w:customStyle="1" w:styleId="xl27">
    <w:name w:val="xl27"/>
    <w:basedOn w:val="Normal"/>
    <w:uiPriority w:val="99"/>
    <w:rsid w:val="007B1FBB"/>
    <w:pPr>
      <w:pBdr>
        <w:top w:val="single" w:sz="4" w:space="0" w:color="auto"/>
        <w:bottom w:val="single" w:sz="4" w:space="0" w:color="auto"/>
      </w:pBdr>
      <w:spacing w:before="100" w:beforeAutospacing="1" w:after="100" w:afterAutospacing="1"/>
      <w:jc w:val="center"/>
    </w:pPr>
    <w:rPr>
      <w:rFonts w:ascii="Tahoma" w:hAnsi="Tahoma" w:cs="Tahoma"/>
      <w:sz w:val="16"/>
      <w:szCs w:val="16"/>
      <w:lang w:eastAsia="en-AU"/>
    </w:rPr>
  </w:style>
  <w:style w:type="paragraph" w:customStyle="1" w:styleId="xl28">
    <w:name w:val="xl28"/>
    <w:basedOn w:val="Normal"/>
    <w:uiPriority w:val="99"/>
    <w:rsid w:val="007B1F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6"/>
      <w:szCs w:val="16"/>
      <w:lang w:eastAsia="en-AU"/>
    </w:rPr>
  </w:style>
  <w:style w:type="paragraph" w:customStyle="1" w:styleId="xl29">
    <w:name w:val="xl29"/>
    <w:basedOn w:val="Normal"/>
    <w:uiPriority w:val="99"/>
    <w:rsid w:val="007B1FBB"/>
    <w:pPr>
      <w:spacing w:before="100" w:beforeAutospacing="1" w:after="100" w:afterAutospacing="1"/>
    </w:pPr>
    <w:rPr>
      <w:rFonts w:ascii="Tahoma" w:hAnsi="Tahoma" w:cs="Tahoma"/>
      <w:sz w:val="16"/>
      <w:szCs w:val="16"/>
      <w:lang w:eastAsia="en-AU"/>
    </w:rPr>
  </w:style>
  <w:style w:type="paragraph" w:customStyle="1" w:styleId="xl30">
    <w:name w:val="xl30"/>
    <w:basedOn w:val="Normal"/>
    <w:uiPriority w:val="99"/>
    <w:rsid w:val="007B1F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eastAsia="en-AU"/>
    </w:rPr>
  </w:style>
  <w:style w:type="paragraph" w:customStyle="1" w:styleId="xl31">
    <w:name w:val="xl31"/>
    <w:basedOn w:val="Normal"/>
    <w:uiPriority w:val="99"/>
    <w:rsid w:val="007B1FB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ahoma" w:hAnsi="Tahoma" w:cs="Tahoma"/>
      <w:sz w:val="16"/>
      <w:szCs w:val="16"/>
      <w:lang w:eastAsia="en-AU"/>
    </w:rPr>
  </w:style>
  <w:style w:type="paragraph" w:customStyle="1" w:styleId="xl32">
    <w:name w:val="xl32"/>
    <w:basedOn w:val="Normal"/>
    <w:uiPriority w:val="99"/>
    <w:rsid w:val="007B1FBB"/>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sz w:val="16"/>
      <w:szCs w:val="16"/>
      <w:lang w:eastAsia="en-AU"/>
    </w:rPr>
  </w:style>
  <w:style w:type="paragraph" w:customStyle="1" w:styleId="xl33">
    <w:name w:val="xl33"/>
    <w:basedOn w:val="Normal"/>
    <w:uiPriority w:val="99"/>
    <w:rsid w:val="007B1F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lang w:eastAsia="en-AU"/>
    </w:rPr>
  </w:style>
  <w:style w:type="paragraph" w:customStyle="1" w:styleId="xl34">
    <w:name w:val="xl34"/>
    <w:basedOn w:val="Normal"/>
    <w:uiPriority w:val="99"/>
    <w:rsid w:val="007B1F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eastAsia="en-AU"/>
    </w:rPr>
  </w:style>
  <w:style w:type="paragraph" w:customStyle="1" w:styleId="xl35">
    <w:name w:val="xl35"/>
    <w:basedOn w:val="Normal"/>
    <w:uiPriority w:val="99"/>
    <w:rsid w:val="007B1F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eastAsia="en-AU"/>
    </w:rPr>
  </w:style>
  <w:style w:type="paragraph" w:customStyle="1" w:styleId="xl36">
    <w:name w:val="xl36"/>
    <w:basedOn w:val="Normal"/>
    <w:uiPriority w:val="99"/>
    <w:rsid w:val="007B1FBB"/>
    <w:pPr>
      <w:shd w:val="clear" w:color="auto" w:fill="FFFF00"/>
      <w:spacing w:before="100" w:beforeAutospacing="1" w:after="100" w:afterAutospacing="1"/>
    </w:pPr>
    <w:rPr>
      <w:rFonts w:ascii="Tahoma" w:hAnsi="Tahoma" w:cs="Tahoma"/>
      <w:sz w:val="16"/>
      <w:szCs w:val="16"/>
      <w:lang w:eastAsia="en-AU"/>
    </w:rPr>
  </w:style>
  <w:style w:type="paragraph" w:customStyle="1" w:styleId="xl37">
    <w:name w:val="xl37"/>
    <w:basedOn w:val="Normal"/>
    <w:uiPriority w:val="99"/>
    <w:rsid w:val="007B1FB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ahoma" w:hAnsi="Tahoma" w:cs="Tahoma"/>
      <w:sz w:val="16"/>
      <w:szCs w:val="16"/>
      <w:lang w:eastAsia="en-AU"/>
    </w:rPr>
  </w:style>
  <w:style w:type="paragraph" w:customStyle="1" w:styleId="xl38">
    <w:name w:val="xl38"/>
    <w:basedOn w:val="Normal"/>
    <w:uiPriority w:val="99"/>
    <w:rsid w:val="007B1F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b/>
      <w:bCs/>
      <w:sz w:val="16"/>
      <w:szCs w:val="16"/>
      <w:lang w:eastAsia="en-AU"/>
    </w:rPr>
  </w:style>
  <w:style w:type="paragraph" w:customStyle="1" w:styleId="xl39">
    <w:name w:val="xl39"/>
    <w:basedOn w:val="Normal"/>
    <w:uiPriority w:val="99"/>
    <w:rsid w:val="007B1F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lang w:eastAsia="en-AU"/>
    </w:rPr>
  </w:style>
  <w:style w:type="paragraph" w:customStyle="1" w:styleId="deep">
    <w:name w:val="deep"/>
    <w:basedOn w:val="Normal"/>
    <w:uiPriority w:val="99"/>
    <w:rsid w:val="00C904EC"/>
    <w:pPr>
      <w:spacing w:before="100" w:beforeAutospacing="1" w:after="100" w:afterAutospacing="1"/>
    </w:pPr>
    <w:rPr>
      <w:b/>
      <w:bCs/>
      <w:sz w:val="32"/>
      <w:szCs w:val="32"/>
      <w:lang w:eastAsia="en-AU"/>
    </w:rPr>
  </w:style>
  <w:style w:type="character" w:styleId="Strong">
    <w:name w:val="Strong"/>
    <w:basedOn w:val="DefaultParagraphFont"/>
    <w:uiPriority w:val="99"/>
    <w:qFormat/>
    <w:rsid w:val="00C904EC"/>
    <w:rPr>
      <w:rFonts w:cs="Times New Roman"/>
      <w:b/>
      <w:bCs/>
    </w:rPr>
  </w:style>
  <w:style w:type="paragraph" w:customStyle="1" w:styleId="Performanceinformation-summary">
    <w:name w:val="Performance information - summary"/>
    <w:basedOn w:val="Normal"/>
    <w:uiPriority w:val="99"/>
    <w:rsid w:val="00CE733B"/>
    <w:pPr>
      <w:numPr>
        <w:numId w:val="6"/>
      </w:numPr>
    </w:pPr>
    <w:rPr>
      <w:szCs w:val="24"/>
      <w:lang w:eastAsia="en-AU"/>
    </w:rPr>
  </w:style>
  <w:style w:type="paragraph" w:styleId="FootnoteText">
    <w:name w:val="footnote text"/>
    <w:basedOn w:val="Normal"/>
    <w:link w:val="FootnoteTextChar"/>
    <w:uiPriority w:val="99"/>
    <w:semiHidden/>
    <w:rsid w:val="00CE733B"/>
    <w:rPr>
      <w:sz w:val="20"/>
      <w:lang w:eastAsia="en-AU"/>
    </w:rPr>
  </w:style>
  <w:style w:type="character" w:customStyle="1" w:styleId="FootnoteTextChar">
    <w:name w:val="Footnote Text Char"/>
    <w:basedOn w:val="DefaultParagraphFont"/>
    <w:link w:val="FootnoteText"/>
    <w:uiPriority w:val="99"/>
    <w:semiHidden/>
    <w:locked/>
    <w:rPr>
      <w:rFonts w:cs="Times New Roman"/>
      <w:sz w:val="20"/>
      <w:szCs w:val="20"/>
      <w:lang w:eastAsia="en-US"/>
    </w:rPr>
  </w:style>
  <w:style w:type="character" w:styleId="FootnoteReference">
    <w:name w:val="footnote reference"/>
    <w:basedOn w:val="DefaultParagraphFont"/>
    <w:uiPriority w:val="99"/>
    <w:semiHidden/>
    <w:rsid w:val="00CE733B"/>
    <w:rPr>
      <w:rFonts w:cs="Times New Roman"/>
      <w:vertAlign w:val="superscript"/>
    </w:rPr>
  </w:style>
  <w:style w:type="character" w:styleId="Emphasis">
    <w:name w:val="Emphasis"/>
    <w:uiPriority w:val="99"/>
    <w:qFormat/>
    <w:rsid w:val="00A042CC"/>
    <w:rPr>
      <w:rFonts w:ascii="Tahoma" w:hAnsi="Tahoma" w:cs="Tahoma"/>
      <w:i/>
      <w:sz w:val="22"/>
      <w:szCs w:val="22"/>
    </w:rPr>
  </w:style>
  <w:style w:type="paragraph" w:styleId="NormalWeb">
    <w:name w:val="Normal (Web)"/>
    <w:basedOn w:val="Normal"/>
    <w:uiPriority w:val="99"/>
    <w:rsid w:val="001F2836"/>
    <w:pPr>
      <w:spacing w:before="100" w:beforeAutospacing="1" w:after="100" w:afterAutospacing="1"/>
    </w:pPr>
    <w:rPr>
      <w:szCs w:val="24"/>
      <w:lang w:eastAsia="en-AU"/>
    </w:rPr>
  </w:style>
  <w:style w:type="paragraph" w:customStyle="1" w:styleId="Style1">
    <w:name w:val="Style1"/>
    <w:basedOn w:val="TOC1"/>
    <w:uiPriority w:val="99"/>
    <w:rsid w:val="001614C9"/>
    <w:rPr>
      <w:rFonts w:cs="Tahoma"/>
      <w:b w:val="0"/>
      <w:sz w:val="22"/>
      <w:szCs w:val="22"/>
    </w:rPr>
  </w:style>
  <w:style w:type="paragraph" w:styleId="TOC4">
    <w:name w:val="toc 4"/>
    <w:basedOn w:val="Normal"/>
    <w:next w:val="Normal"/>
    <w:autoRedefine/>
    <w:uiPriority w:val="99"/>
    <w:semiHidden/>
    <w:rsid w:val="00692578"/>
    <w:pPr>
      <w:ind w:left="480"/>
    </w:pPr>
    <w:rPr>
      <w:sz w:val="20"/>
    </w:rPr>
  </w:style>
  <w:style w:type="paragraph" w:styleId="TOC3">
    <w:name w:val="toc 3"/>
    <w:basedOn w:val="Normal"/>
    <w:next w:val="Normal"/>
    <w:autoRedefine/>
    <w:uiPriority w:val="99"/>
    <w:semiHidden/>
    <w:rsid w:val="00F01566"/>
    <w:pPr>
      <w:spacing w:line="360" w:lineRule="auto"/>
      <w:ind w:left="240"/>
    </w:pPr>
  </w:style>
  <w:style w:type="paragraph" w:styleId="TOC5">
    <w:name w:val="toc 5"/>
    <w:basedOn w:val="Normal"/>
    <w:next w:val="Normal"/>
    <w:autoRedefine/>
    <w:uiPriority w:val="99"/>
    <w:semiHidden/>
    <w:rsid w:val="00692578"/>
    <w:pPr>
      <w:ind w:left="720"/>
    </w:pPr>
    <w:rPr>
      <w:sz w:val="20"/>
    </w:rPr>
  </w:style>
  <w:style w:type="paragraph" w:styleId="TOC6">
    <w:name w:val="toc 6"/>
    <w:basedOn w:val="Normal"/>
    <w:next w:val="Normal"/>
    <w:autoRedefine/>
    <w:uiPriority w:val="99"/>
    <w:semiHidden/>
    <w:rsid w:val="00692578"/>
    <w:pPr>
      <w:ind w:left="960"/>
    </w:pPr>
    <w:rPr>
      <w:sz w:val="20"/>
    </w:rPr>
  </w:style>
  <w:style w:type="paragraph" w:styleId="TOC7">
    <w:name w:val="toc 7"/>
    <w:basedOn w:val="Normal"/>
    <w:next w:val="Normal"/>
    <w:autoRedefine/>
    <w:uiPriority w:val="99"/>
    <w:semiHidden/>
    <w:rsid w:val="00692578"/>
    <w:pPr>
      <w:ind w:left="1200"/>
    </w:pPr>
    <w:rPr>
      <w:sz w:val="20"/>
    </w:rPr>
  </w:style>
  <w:style w:type="paragraph" w:styleId="TOC8">
    <w:name w:val="toc 8"/>
    <w:basedOn w:val="Normal"/>
    <w:next w:val="Normal"/>
    <w:autoRedefine/>
    <w:uiPriority w:val="99"/>
    <w:semiHidden/>
    <w:rsid w:val="00692578"/>
    <w:pPr>
      <w:ind w:left="1440"/>
    </w:pPr>
    <w:rPr>
      <w:sz w:val="20"/>
    </w:rPr>
  </w:style>
  <w:style w:type="paragraph" w:styleId="TOC9">
    <w:name w:val="toc 9"/>
    <w:basedOn w:val="Normal"/>
    <w:next w:val="Normal"/>
    <w:autoRedefine/>
    <w:uiPriority w:val="99"/>
    <w:semiHidden/>
    <w:rsid w:val="00692578"/>
    <w:pPr>
      <w:ind w:left="1680"/>
    </w:pPr>
    <w:rPr>
      <w:sz w:val="20"/>
    </w:rPr>
  </w:style>
  <w:style w:type="character" w:styleId="CommentReference">
    <w:name w:val="annotation reference"/>
    <w:basedOn w:val="DefaultParagraphFont"/>
    <w:uiPriority w:val="99"/>
    <w:semiHidden/>
    <w:rsid w:val="0042069B"/>
    <w:rPr>
      <w:rFonts w:cs="Times New Roman"/>
      <w:sz w:val="16"/>
      <w:szCs w:val="16"/>
    </w:rPr>
  </w:style>
  <w:style w:type="paragraph" w:styleId="CommentText">
    <w:name w:val="annotation text"/>
    <w:basedOn w:val="Normal"/>
    <w:link w:val="CommentTextChar"/>
    <w:uiPriority w:val="99"/>
    <w:semiHidden/>
    <w:rsid w:val="0042069B"/>
    <w:rPr>
      <w:sz w:val="20"/>
    </w:rPr>
  </w:style>
  <w:style w:type="character" w:customStyle="1" w:styleId="CommentTextChar">
    <w:name w:val="Comment Text Char"/>
    <w:basedOn w:val="DefaultParagraphFont"/>
    <w:link w:val="CommentText"/>
    <w:uiPriority w:val="99"/>
    <w:semiHidden/>
    <w:locked/>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42069B"/>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eastAsia="en-US"/>
    </w:rPr>
  </w:style>
  <w:style w:type="paragraph" w:styleId="Title">
    <w:name w:val="Title"/>
    <w:basedOn w:val="Normal"/>
    <w:next w:val="Normal"/>
    <w:link w:val="TitleChar"/>
    <w:uiPriority w:val="10"/>
    <w:qFormat/>
    <w:rsid w:val="00A042CC"/>
    <w:pPr>
      <w:jc w:val="center"/>
    </w:pPr>
    <w:rPr>
      <w:rFonts w:ascii="Tahoma" w:hAnsi="Tahoma" w:cs="Tahoma"/>
      <w:b/>
      <w:sz w:val="40"/>
      <w:szCs w:val="40"/>
    </w:rPr>
  </w:style>
  <w:style w:type="character" w:customStyle="1" w:styleId="TitleChar">
    <w:name w:val="Title Char"/>
    <w:basedOn w:val="DefaultParagraphFont"/>
    <w:link w:val="Title"/>
    <w:uiPriority w:val="10"/>
    <w:rsid w:val="00A042CC"/>
    <w:rPr>
      <w:rFonts w:ascii="Tahoma" w:hAnsi="Tahoma" w:cs="Tahoma"/>
      <w:b/>
      <w:sz w:val="40"/>
      <w:szCs w:val="40"/>
      <w:lang w:eastAsia="en-US"/>
    </w:rPr>
  </w:style>
  <w:style w:type="paragraph" w:styleId="Subtitle">
    <w:name w:val="Subtitle"/>
    <w:basedOn w:val="Normal"/>
    <w:next w:val="Normal"/>
    <w:link w:val="SubtitleChar"/>
    <w:uiPriority w:val="11"/>
    <w:qFormat/>
    <w:rsid w:val="00A042CC"/>
    <w:pPr>
      <w:jc w:val="center"/>
    </w:pPr>
    <w:rPr>
      <w:rFonts w:ascii="Tahoma" w:hAnsi="Tahoma" w:cs="Tahoma"/>
      <w:sz w:val="36"/>
      <w:szCs w:val="36"/>
    </w:rPr>
  </w:style>
  <w:style w:type="character" w:customStyle="1" w:styleId="SubtitleChar">
    <w:name w:val="Subtitle Char"/>
    <w:basedOn w:val="DefaultParagraphFont"/>
    <w:link w:val="Subtitle"/>
    <w:uiPriority w:val="11"/>
    <w:rsid w:val="00A042CC"/>
    <w:rPr>
      <w:rFonts w:ascii="Tahoma" w:hAnsi="Tahoma" w:cs="Tahoma"/>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371621">
      <w:marLeft w:val="0"/>
      <w:marRight w:val="0"/>
      <w:marTop w:val="0"/>
      <w:marBottom w:val="0"/>
      <w:divBdr>
        <w:top w:val="none" w:sz="0" w:space="0" w:color="auto"/>
        <w:left w:val="none" w:sz="0" w:space="0" w:color="auto"/>
        <w:bottom w:val="none" w:sz="0" w:space="0" w:color="auto"/>
        <w:right w:val="none" w:sz="0" w:space="0" w:color="auto"/>
      </w:divBdr>
    </w:div>
    <w:div w:id="992371623">
      <w:marLeft w:val="0"/>
      <w:marRight w:val="0"/>
      <w:marTop w:val="0"/>
      <w:marBottom w:val="0"/>
      <w:divBdr>
        <w:top w:val="none" w:sz="0" w:space="0" w:color="auto"/>
        <w:left w:val="none" w:sz="0" w:space="0" w:color="auto"/>
        <w:bottom w:val="none" w:sz="0" w:space="0" w:color="auto"/>
        <w:right w:val="none" w:sz="0" w:space="0" w:color="auto"/>
      </w:divBdr>
      <w:divsChild>
        <w:div w:id="992371622">
          <w:marLeft w:val="0"/>
          <w:marRight w:val="0"/>
          <w:marTop w:val="0"/>
          <w:marBottom w:val="0"/>
          <w:divBdr>
            <w:top w:val="none" w:sz="0" w:space="0" w:color="auto"/>
            <w:left w:val="none" w:sz="0" w:space="0" w:color="auto"/>
            <w:bottom w:val="none" w:sz="0" w:space="0" w:color="auto"/>
            <w:right w:val="none" w:sz="0" w:space="0" w:color="auto"/>
          </w:divBdr>
          <w:divsChild>
            <w:div w:id="992371673">
              <w:marLeft w:val="0"/>
              <w:marRight w:val="0"/>
              <w:marTop w:val="0"/>
              <w:marBottom w:val="0"/>
              <w:divBdr>
                <w:top w:val="none" w:sz="0" w:space="0" w:color="auto"/>
                <w:left w:val="none" w:sz="0" w:space="0" w:color="auto"/>
                <w:bottom w:val="none" w:sz="0" w:space="0" w:color="auto"/>
                <w:right w:val="none" w:sz="0" w:space="0" w:color="auto"/>
              </w:divBdr>
              <w:divsChild>
                <w:div w:id="9923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71624">
      <w:marLeft w:val="0"/>
      <w:marRight w:val="0"/>
      <w:marTop w:val="0"/>
      <w:marBottom w:val="0"/>
      <w:divBdr>
        <w:top w:val="none" w:sz="0" w:space="0" w:color="auto"/>
        <w:left w:val="none" w:sz="0" w:space="0" w:color="auto"/>
        <w:bottom w:val="none" w:sz="0" w:space="0" w:color="auto"/>
        <w:right w:val="none" w:sz="0" w:space="0" w:color="auto"/>
      </w:divBdr>
    </w:div>
    <w:div w:id="992371625">
      <w:marLeft w:val="0"/>
      <w:marRight w:val="0"/>
      <w:marTop w:val="0"/>
      <w:marBottom w:val="0"/>
      <w:divBdr>
        <w:top w:val="none" w:sz="0" w:space="0" w:color="auto"/>
        <w:left w:val="none" w:sz="0" w:space="0" w:color="auto"/>
        <w:bottom w:val="none" w:sz="0" w:space="0" w:color="auto"/>
        <w:right w:val="none" w:sz="0" w:space="0" w:color="auto"/>
      </w:divBdr>
    </w:div>
    <w:div w:id="992371626">
      <w:marLeft w:val="0"/>
      <w:marRight w:val="0"/>
      <w:marTop w:val="0"/>
      <w:marBottom w:val="0"/>
      <w:divBdr>
        <w:top w:val="none" w:sz="0" w:space="0" w:color="auto"/>
        <w:left w:val="none" w:sz="0" w:space="0" w:color="auto"/>
        <w:bottom w:val="none" w:sz="0" w:space="0" w:color="auto"/>
        <w:right w:val="none" w:sz="0" w:space="0" w:color="auto"/>
      </w:divBdr>
    </w:div>
    <w:div w:id="992371627">
      <w:marLeft w:val="0"/>
      <w:marRight w:val="0"/>
      <w:marTop w:val="0"/>
      <w:marBottom w:val="0"/>
      <w:divBdr>
        <w:top w:val="none" w:sz="0" w:space="0" w:color="auto"/>
        <w:left w:val="none" w:sz="0" w:space="0" w:color="auto"/>
        <w:bottom w:val="none" w:sz="0" w:space="0" w:color="auto"/>
        <w:right w:val="none" w:sz="0" w:space="0" w:color="auto"/>
      </w:divBdr>
    </w:div>
    <w:div w:id="992371629">
      <w:marLeft w:val="0"/>
      <w:marRight w:val="0"/>
      <w:marTop w:val="0"/>
      <w:marBottom w:val="0"/>
      <w:divBdr>
        <w:top w:val="none" w:sz="0" w:space="0" w:color="auto"/>
        <w:left w:val="none" w:sz="0" w:space="0" w:color="auto"/>
        <w:bottom w:val="none" w:sz="0" w:space="0" w:color="auto"/>
        <w:right w:val="none" w:sz="0" w:space="0" w:color="auto"/>
      </w:divBdr>
    </w:div>
    <w:div w:id="992371631">
      <w:marLeft w:val="0"/>
      <w:marRight w:val="0"/>
      <w:marTop w:val="0"/>
      <w:marBottom w:val="0"/>
      <w:divBdr>
        <w:top w:val="none" w:sz="0" w:space="0" w:color="auto"/>
        <w:left w:val="none" w:sz="0" w:space="0" w:color="auto"/>
        <w:bottom w:val="none" w:sz="0" w:space="0" w:color="auto"/>
        <w:right w:val="none" w:sz="0" w:space="0" w:color="auto"/>
      </w:divBdr>
    </w:div>
    <w:div w:id="992371632">
      <w:marLeft w:val="0"/>
      <w:marRight w:val="0"/>
      <w:marTop w:val="0"/>
      <w:marBottom w:val="0"/>
      <w:divBdr>
        <w:top w:val="none" w:sz="0" w:space="0" w:color="auto"/>
        <w:left w:val="none" w:sz="0" w:space="0" w:color="auto"/>
        <w:bottom w:val="none" w:sz="0" w:space="0" w:color="auto"/>
        <w:right w:val="none" w:sz="0" w:space="0" w:color="auto"/>
      </w:divBdr>
    </w:div>
    <w:div w:id="992371633">
      <w:marLeft w:val="0"/>
      <w:marRight w:val="0"/>
      <w:marTop w:val="0"/>
      <w:marBottom w:val="0"/>
      <w:divBdr>
        <w:top w:val="none" w:sz="0" w:space="0" w:color="auto"/>
        <w:left w:val="none" w:sz="0" w:space="0" w:color="auto"/>
        <w:bottom w:val="none" w:sz="0" w:space="0" w:color="auto"/>
        <w:right w:val="none" w:sz="0" w:space="0" w:color="auto"/>
      </w:divBdr>
    </w:div>
    <w:div w:id="992371634">
      <w:marLeft w:val="0"/>
      <w:marRight w:val="0"/>
      <w:marTop w:val="0"/>
      <w:marBottom w:val="0"/>
      <w:divBdr>
        <w:top w:val="none" w:sz="0" w:space="0" w:color="auto"/>
        <w:left w:val="none" w:sz="0" w:space="0" w:color="auto"/>
        <w:bottom w:val="none" w:sz="0" w:space="0" w:color="auto"/>
        <w:right w:val="none" w:sz="0" w:space="0" w:color="auto"/>
      </w:divBdr>
    </w:div>
    <w:div w:id="992371635">
      <w:marLeft w:val="0"/>
      <w:marRight w:val="0"/>
      <w:marTop w:val="0"/>
      <w:marBottom w:val="0"/>
      <w:divBdr>
        <w:top w:val="none" w:sz="0" w:space="0" w:color="auto"/>
        <w:left w:val="none" w:sz="0" w:space="0" w:color="auto"/>
        <w:bottom w:val="none" w:sz="0" w:space="0" w:color="auto"/>
        <w:right w:val="none" w:sz="0" w:space="0" w:color="auto"/>
      </w:divBdr>
    </w:div>
    <w:div w:id="992371636">
      <w:marLeft w:val="0"/>
      <w:marRight w:val="0"/>
      <w:marTop w:val="0"/>
      <w:marBottom w:val="0"/>
      <w:divBdr>
        <w:top w:val="none" w:sz="0" w:space="0" w:color="auto"/>
        <w:left w:val="none" w:sz="0" w:space="0" w:color="auto"/>
        <w:bottom w:val="none" w:sz="0" w:space="0" w:color="auto"/>
        <w:right w:val="none" w:sz="0" w:space="0" w:color="auto"/>
      </w:divBdr>
    </w:div>
    <w:div w:id="992371637">
      <w:marLeft w:val="0"/>
      <w:marRight w:val="0"/>
      <w:marTop w:val="0"/>
      <w:marBottom w:val="0"/>
      <w:divBdr>
        <w:top w:val="none" w:sz="0" w:space="0" w:color="auto"/>
        <w:left w:val="none" w:sz="0" w:space="0" w:color="auto"/>
        <w:bottom w:val="none" w:sz="0" w:space="0" w:color="auto"/>
        <w:right w:val="none" w:sz="0" w:space="0" w:color="auto"/>
      </w:divBdr>
    </w:div>
    <w:div w:id="992371638">
      <w:marLeft w:val="0"/>
      <w:marRight w:val="0"/>
      <w:marTop w:val="0"/>
      <w:marBottom w:val="0"/>
      <w:divBdr>
        <w:top w:val="none" w:sz="0" w:space="0" w:color="auto"/>
        <w:left w:val="none" w:sz="0" w:space="0" w:color="auto"/>
        <w:bottom w:val="none" w:sz="0" w:space="0" w:color="auto"/>
        <w:right w:val="none" w:sz="0" w:space="0" w:color="auto"/>
      </w:divBdr>
      <w:divsChild>
        <w:div w:id="992371650">
          <w:marLeft w:val="0"/>
          <w:marRight w:val="0"/>
          <w:marTop w:val="0"/>
          <w:marBottom w:val="0"/>
          <w:divBdr>
            <w:top w:val="single" w:sz="6" w:space="0" w:color="678FC2"/>
            <w:left w:val="single" w:sz="6" w:space="0" w:color="678FC2"/>
            <w:bottom w:val="single" w:sz="6" w:space="0" w:color="678FC2"/>
            <w:right w:val="single" w:sz="6" w:space="0" w:color="678FC2"/>
          </w:divBdr>
          <w:divsChild>
            <w:div w:id="992371667">
              <w:marLeft w:val="0"/>
              <w:marRight w:val="0"/>
              <w:marTop w:val="0"/>
              <w:marBottom w:val="0"/>
              <w:divBdr>
                <w:top w:val="none" w:sz="0" w:space="0" w:color="auto"/>
                <w:left w:val="none" w:sz="0" w:space="0" w:color="auto"/>
                <w:bottom w:val="none" w:sz="0" w:space="0" w:color="auto"/>
                <w:right w:val="none" w:sz="0" w:space="0" w:color="auto"/>
              </w:divBdr>
              <w:divsChild>
                <w:div w:id="992371646">
                  <w:marLeft w:val="150"/>
                  <w:marRight w:val="150"/>
                  <w:marTop w:val="0"/>
                  <w:marBottom w:val="0"/>
                  <w:divBdr>
                    <w:top w:val="none" w:sz="0" w:space="0" w:color="auto"/>
                    <w:left w:val="none" w:sz="0" w:space="0" w:color="auto"/>
                    <w:bottom w:val="none" w:sz="0" w:space="0" w:color="auto"/>
                    <w:right w:val="none" w:sz="0" w:space="0" w:color="auto"/>
                  </w:divBdr>
                  <w:divsChild>
                    <w:div w:id="992371649">
                      <w:marLeft w:val="0"/>
                      <w:marRight w:val="0"/>
                      <w:marTop w:val="0"/>
                      <w:marBottom w:val="0"/>
                      <w:divBdr>
                        <w:top w:val="none" w:sz="0" w:space="0" w:color="auto"/>
                        <w:left w:val="none" w:sz="0" w:space="0" w:color="auto"/>
                        <w:bottom w:val="none" w:sz="0" w:space="0" w:color="auto"/>
                        <w:right w:val="none" w:sz="0" w:space="0" w:color="auto"/>
                      </w:divBdr>
                      <w:divsChild>
                        <w:div w:id="992371658">
                          <w:marLeft w:val="0"/>
                          <w:marRight w:val="0"/>
                          <w:marTop w:val="0"/>
                          <w:marBottom w:val="0"/>
                          <w:divBdr>
                            <w:top w:val="none" w:sz="0" w:space="0" w:color="auto"/>
                            <w:left w:val="none" w:sz="0" w:space="0" w:color="auto"/>
                            <w:bottom w:val="none" w:sz="0" w:space="0" w:color="auto"/>
                            <w:right w:val="none" w:sz="0" w:space="0" w:color="auto"/>
                          </w:divBdr>
                          <w:divsChild>
                            <w:div w:id="992371630">
                              <w:marLeft w:val="0"/>
                              <w:marRight w:val="0"/>
                              <w:marTop w:val="0"/>
                              <w:marBottom w:val="0"/>
                              <w:divBdr>
                                <w:top w:val="none" w:sz="0" w:space="0" w:color="auto"/>
                                <w:left w:val="none" w:sz="0" w:space="0" w:color="auto"/>
                                <w:bottom w:val="none" w:sz="0" w:space="0" w:color="auto"/>
                                <w:right w:val="none" w:sz="0" w:space="0" w:color="auto"/>
                              </w:divBdr>
                              <w:divsChild>
                                <w:div w:id="9923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371639">
      <w:marLeft w:val="0"/>
      <w:marRight w:val="0"/>
      <w:marTop w:val="0"/>
      <w:marBottom w:val="0"/>
      <w:divBdr>
        <w:top w:val="none" w:sz="0" w:space="0" w:color="auto"/>
        <w:left w:val="none" w:sz="0" w:space="0" w:color="auto"/>
        <w:bottom w:val="none" w:sz="0" w:space="0" w:color="auto"/>
        <w:right w:val="none" w:sz="0" w:space="0" w:color="auto"/>
      </w:divBdr>
    </w:div>
    <w:div w:id="992371640">
      <w:marLeft w:val="0"/>
      <w:marRight w:val="0"/>
      <w:marTop w:val="0"/>
      <w:marBottom w:val="0"/>
      <w:divBdr>
        <w:top w:val="none" w:sz="0" w:space="0" w:color="auto"/>
        <w:left w:val="none" w:sz="0" w:space="0" w:color="auto"/>
        <w:bottom w:val="none" w:sz="0" w:space="0" w:color="auto"/>
        <w:right w:val="none" w:sz="0" w:space="0" w:color="auto"/>
      </w:divBdr>
    </w:div>
    <w:div w:id="992371641">
      <w:marLeft w:val="0"/>
      <w:marRight w:val="0"/>
      <w:marTop w:val="0"/>
      <w:marBottom w:val="0"/>
      <w:divBdr>
        <w:top w:val="none" w:sz="0" w:space="0" w:color="auto"/>
        <w:left w:val="none" w:sz="0" w:space="0" w:color="auto"/>
        <w:bottom w:val="none" w:sz="0" w:space="0" w:color="auto"/>
        <w:right w:val="none" w:sz="0" w:space="0" w:color="auto"/>
      </w:divBdr>
    </w:div>
    <w:div w:id="992371642">
      <w:marLeft w:val="0"/>
      <w:marRight w:val="0"/>
      <w:marTop w:val="0"/>
      <w:marBottom w:val="0"/>
      <w:divBdr>
        <w:top w:val="none" w:sz="0" w:space="0" w:color="auto"/>
        <w:left w:val="none" w:sz="0" w:space="0" w:color="auto"/>
        <w:bottom w:val="none" w:sz="0" w:space="0" w:color="auto"/>
        <w:right w:val="none" w:sz="0" w:space="0" w:color="auto"/>
      </w:divBdr>
    </w:div>
    <w:div w:id="992371643">
      <w:marLeft w:val="0"/>
      <w:marRight w:val="0"/>
      <w:marTop w:val="0"/>
      <w:marBottom w:val="0"/>
      <w:divBdr>
        <w:top w:val="none" w:sz="0" w:space="0" w:color="auto"/>
        <w:left w:val="none" w:sz="0" w:space="0" w:color="auto"/>
        <w:bottom w:val="none" w:sz="0" w:space="0" w:color="auto"/>
        <w:right w:val="none" w:sz="0" w:space="0" w:color="auto"/>
      </w:divBdr>
    </w:div>
    <w:div w:id="992371644">
      <w:marLeft w:val="0"/>
      <w:marRight w:val="0"/>
      <w:marTop w:val="0"/>
      <w:marBottom w:val="0"/>
      <w:divBdr>
        <w:top w:val="none" w:sz="0" w:space="0" w:color="auto"/>
        <w:left w:val="none" w:sz="0" w:space="0" w:color="auto"/>
        <w:bottom w:val="none" w:sz="0" w:space="0" w:color="auto"/>
        <w:right w:val="none" w:sz="0" w:space="0" w:color="auto"/>
      </w:divBdr>
    </w:div>
    <w:div w:id="992371645">
      <w:marLeft w:val="0"/>
      <w:marRight w:val="0"/>
      <w:marTop w:val="0"/>
      <w:marBottom w:val="0"/>
      <w:divBdr>
        <w:top w:val="none" w:sz="0" w:space="0" w:color="auto"/>
        <w:left w:val="none" w:sz="0" w:space="0" w:color="auto"/>
        <w:bottom w:val="none" w:sz="0" w:space="0" w:color="auto"/>
        <w:right w:val="none" w:sz="0" w:space="0" w:color="auto"/>
      </w:divBdr>
    </w:div>
    <w:div w:id="992371647">
      <w:marLeft w:val="0"/>
      <w:marRight w:val="0"/>
      <w:marTop w:val="0"/>
      <w:marBottom w:val="0"/>
      <w:divBdr>
        <w:top w:val="none" w:sz="0" w:space="0" w:color="auto"/>
        <w:left w:val="none" w:sz="0" w:space="0" w:color="auto"/>
        <w:bottom w:val="none" w:sz="0" w:space="0" w:color="auto"/>
        <w:right w:val="none" w:sz="0" w:space="0" w:color="auto"/>
      </w:divBdr>
    </w:div>
    <w:div w:id="992371648">
      <w:marLeft w:val="0"/>
      <w:marRight w:val="0"/>
      <w:marTop w:val="0"/>
      <w:marBottom w:val="0"/>
      <w:divBdr>
        <w:top w:val="none" w:sz="0" w:space="0" w:color="auto"/>
        <w:left w:val="none" w:sz="0" w:space="0" w:color="auto"/>
        <w:bottom w:val="none" w:sz="0" w:space="0" w:color="auto"/>
        <w:right w:val="none" w:sz="0" w:space="0" w:color="auto"/>
      </w:divBdr>
    </w:div>
    <w:div w:id="992371651">
      <w:marLeft w:val="0"/>
      <w:marRight w:val="0"/>
      <w:marTop w:val="0"/>
      <w:marBottom w:val="0"/>
      <w:divBdr>
        <w:top w:val="none" w:sz="0" w:space="0" w:color="auto"/>
        <w:left w:val="none" w:sz="0" w:space="0" w:color="auto"/>
        <w:bottom w:val="none" w:sz="0" w:space="0" w:color="auto"/>
        <w:right w:val="none" w:sz="0" w:space="0" w:color="auto"/>
      </w:divBdr>
    </w:div>
    <w:div w:id="992371652">
      <w:marLeft w:val="0"/>
      <w:marRight w:val="0"/>
      <w:marTop w:val="0"/>
      <w:marBottom w:val="0"/>
      <w:divBdr>
        <w:top w:val="none" w:sz="0" w:space="0" w:color="auto"/>
        <w:left w:val="none" w:sz="0" w:space="0" w:color="auto"/>
        <w:bottom w:val="none" w:sz="0" w:space="0" w:color="auto"/>
        <w:right w:val="none" w:sz="0" w:space="0" w:color="auto"/>
      </w:divBdr>
    </w:div>
    <w:div w:id="992371653">
      <w:marLeft w:val="0"/>
      <w:marRight w:val="0"/>
      <w:marTop w:val="0"/>
      <w:marBottom w:val="0"/>
      <w:divBdr>
        <w:top w:val="none" w:sz="0" w:space="0" w:color="auto"/>
        <w:left w:val="none" w:sz="0" w:space="0" w:color="auto"/>
        <w:bottom w:val="none" w:sz="0" w:space="0" w:color="auto"/>
        <w:right w:val="none" w:sz="0" w:space="0" w:color="auto"/>
      </w:divBdr>
    </w:div>
    <w:div w:id="992371654">
      <w:marLeft w:val="0"/>
      <w:marRight w:val="0"/>
      <w:marTop w:val="0"/>
      <w:marBottom w:val="0"/>
      <w:divBdr>
        <w:top w:val="none" w:sz="0" w:space="0" w:color="auto"/>
        <w:left w:val="none" w:sz="0" w:space="0" w:color="auto"/>
        <w:bottom w:val="none" w:sz="0" w:space="0" w:color="auto"/>
        <w:right w:val="none" w:sz="0" w:space="0" w:color="auto"/>
      </w:divBdr>
    </w:div>
    <w:div w:id="992371655">
      <w:marLeft w:val="0"/>
      <w:marRight w:val="0"/>
      <w:marTop w:val="0"/>
      <w:marBottom w:val="0"/>
      <w:divBdr>
        <w:top w:val="none" w:sz="0" w:space="0" w:color="auto"/>
        <w:left w:val="none" w:sz="0" w:space="0" w:color="auto"/>
        <w:bottom w:val="none" w:sz="0" w:space="0" w:color="auto"/>
        <w:right w:val="none" w:sz="0" w:space="0" w:color="auto"/>
      </w:divBdr>
    </w:div>
    <w:div w:id="992371656">
      <w:marLeft w:val="0"/>
      <w:marRight w:val="0"/>
      <w:marTop w:val="0"/>
      <w:marBottom w:val="0"/>
      <w:divBdr>
        <w:top w:val="none" w:sz="0" w:space="0" w:color="auto"/>
        <w:left w:val="none" w:sz="0" w:space="0" w:color="auto"/>
        <w:bottom w:val="none" w:sz="0" w:space="0" w:color="auto"/>
        <w:right w:val="none" w:sz="0" w:space="0" w:color="auto"/>
      </w:divBdr>
    </w:div>
    <w:div w:id="992371657">
      <w:marLeft w:val="0"/>
      <w:marRight w:val="0"/>
      <w:marTop w:val="0"/>
      <w:marBottom w:val="0"/>
      <w:divBdr>
        <w:top w:val="none" w:sz="0" w:space="0" w:color="auto"/>
        <w:left w:val="none" w:sz="0" w:space="0" w:color="auto"/>
        <w:bottom w:val="none" w:sz="0" w:space="0" w:color="auto"/>
        <w:right w:val="none" w:sz="0" w:space="0" w:color="auto"/>
      </w:divBdr>
    </w:div>
    <w:div w:id="992371660">
      <w:marLeft w:val="0"/>
      <w:marRight w:val="0"/>
      <w:marTop w:val="0"/>
      <w:marBottom w:val="0"/>
      <w:divBdr>
        <w:top w:val="none" w:sz="0" w:space="0" w:color="auto"/>
        <w:left w:val="none" w:sz="0" w:space="0" w:color="auto"/>
        <w:bottom w:val="none" w:sz="0" w:space="0" w:color="auto"/>
        <w:right w:val="none" w:sz="0" w:space="0" w:color="auto"/>
      </w:divBdr>
    </w:div>
    <w:div w:id="992371661">
      <w:marLeft w:val="0"/>
      <w:marRight w:val="0"/>
      <w:marTop w:val="0"/>
      <w:marBottom w:val="0"/>
      <w:divBdr>
        <w:top w:val="none" w:sz="0" w:space="0" w:color="auto"/>
        <w:left w:val="none" w:sz="0" w:space="0" w:color="auto"/>
        <w:bottom w:val="none" w:sz="0" w:space="0" w:color="auto"/>
        <w:right w:val="none" w:sz="0" w:space="0" w:color="auto"/>
      </w:divBdr>
    </w:div>
    <w:div w:id="992371662">
      <w:marLeft w:val="0"/>
      <w:marRight w:val="0"/>
      <w:marTop w:val="0"/>
      <w:marBottom w:val="0"/>
      <w:divBdr>
        <w:top w:val="none" w:sz="0" w:space="0" w:color="auto"/>
        <w:left w:val="none" w:sz="0" w:space="0" w:color="auto"/>
        <w:bottom w:val="none" w:sz="0" w:space="0" w:color="auto"/>
        <w:right w:val="none" w:sz="0" w:space="0" w:color="auto"/>
      </w:divBdr>
    </w:div>
    <w:div w:id="992371663">
      <w:marLeft w:val="0"/>
      <w:marRight w:val="0"/>
      <w:marTop w:val="0"/>
      <w:marBottom w:val="0"/>
      <w:divBdr>
        <w:top w:val="none" w:sz="0" w:space="0" w:color="auto"/>
        <w:left w:val="none" w:sz="0" w:space="0" w:color="auto"/>
        <w:bottom w:val="none" w:sz="0" w:space="0" w:color="auto"/>
        <w:right w:val="none" w:sz="0" w:space="0" w:color="auto"/>
      </w:divBdr>
    </w:div>
    <w:div w:id="992371664">
      <w:marLeft w:val="0"/>
      <w:marRight w:val="0"/>
      <w:marTop w:val="0"/>
      <w:marBottom w:val="0"/>
      <w:divBdr>
        <w:top w:val="none" w:sz="0" w:space="0" w:color="auto"/>
        <w:left w:val="none" w:sz="0" w:space="0" w:color="auto"/>
        <w:bottom w:val="none" w:sz="0" w:space="0" w:color="auto"/>
        <w:right w:val="none" w:sz="0" w:space="0" w:color="auto"/>
      </w:divBdr>
    </w:div>
    <w:div w:id="992371665">
      <w:marLeft w:val="0"/>
      <w:marRight w:val="0"/>
      <w:marTop w:val="0"/>
      <w:marBottom w:val="0"/>
      <w:divBdr>
        <w:top w:val="none" w:sz="0" w:space="0" w:color="auto"/>
        <w:left w:val="none" w:sz="0" w:space="0" w:color="auto"/>
        <w:bottom w:val="none" w:sz="0" w:space="0" w:color="auto"/>
        <w:right w:val="none" w:sz="0" w:space="0" w:color="auto"/>
      </w:divBdr>
    </w:div>
    <w:div w:id="992371666">
      <w:marLeft w:val="0"/>
      <w:marRight w:val="0"/>
      <w:marTop w:val="0"/>
      <w:marBottom w:val="0"/>
      <w:divBdr>
        <w:top w:val="none" w:sz="0" w:space="0" w:color="auto"/>
        <w:left w:val="none" w:sz="0" w:space="0" w:color="auto"/>
        <w:bottom w:val="none" w:sz="0" w:space="0" w:color="auto"/>
        <w:right w:val="none" w:sz="0" w:space="0" w:color="auto"/>
      </w:divBdr>
    </w:div>
    <w:div w:id="992371668">
      <w:marLeft w:val="0"/>
      <w:marRight w:val="0"/>
      <w:marTop w:val="0"/>
      <w:marBottom w:val="0"/>
      <w:divBdr>
        <w:top w:val="none" w:sz="0" w:space="0" w:color="auto"/>
        <w:left w:val="none" w:sz="0" w:space="0" w:color="auto"/>
        <w:bottom w:val="none" w:sz="0" w:space="0" w:color="auto"/>
        <w:right w:val="none" w:sz="0" w:space="0" w:color="auto"/>
      </w:divBdr>
    </w:div>
    <w:div w:id="992371669">
      <w:marLeft w:val="0"/>
      <w:marRight w:val="0"/>
      <w:marTop w:val="0"/>
      <w:marBottom w:val="0"/>
      <w:divBdr>
        <w:top w:val="none" w:sz="0" w:space="0" w:color="auto"/>
        <w:left w:val="none" w:sz="0" w:space="0" w:color="auto"/>
        <w:bottom w:val="none" w:sz="0" w:space="0" w:color="auto"/>
        <w:right w:val="none" w:sz="0" w:space="0" w:color="auto"/>
      </w:divBdr>
    </w:div>
    <w:div w:id="992371670">
      <w:marLeft w:val="0"/>
      <w:marRight w:val="0"/>
      <w:marTop w:val="0"/>
      <w:marBottom w:val="0"/>
      <w:divBdr>
        <w:top w:val="none" w:sz="0" w:space="0" w:color="auto"/>
        <w:left w:val="none" w:sz="0" w:space="0" w:color="auto"/>
        <w:bottom w:val="none" w:sz="0" w:space="0" w:color="auto"/>
        <w:right w:val="none" w:sz="0" w:space="0" w:color="auto"/>
      </w:divBdr>
    </w:div>
    <w:div w:id="992371671">
      <w:marLeft w:val="0"/>
      <w:marRight w:val="0"/>
      <w:marTop w:val="0"/>
      <w:marBottom w:val="0"/>
      <w:divBdr>
        <w:top w:val="none" w:sz="0" w:space="0" w:color="auto"/>
        <w:left w:val="none" w:sz="0" w:space="0" w:color="auto"/>
        <w:bottom w:val="none" w:sz="0" w:space="0" w:color="auto"/>
        <w:right w:val="none" w:sz="0" w:space="0" w:color="auto"/>
      </w:divBdr>
    </w:div>
    <w:div w:id="9923716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Templates\Department\DEWR%20Templates\dewr%20minu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421F5-96A4-4F82-A7E5-AE297C79A198}">
  <ds:schemaRefs>
    <ds:schemaRef ds:uri="http://schemas.openxmlformats.org/package/2006/metadata/core-properties"/>
    <ds:schemaRef ds:uri="http://schemas.microsoft.com/sharepoint/v3"/>
    <ds:schemaRef ds:uri="http://www.w3.org/XML/1998/namespace"/>
    <ds:schemaRef ds:uri="http://purl.org/dc/term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08607E8B-621E-4DAA-8D10-E0F11AC0BD95}">
  <ds:schemaRefs>
    <ds:schemaRef ds:uri="http://schemas.microsoft.com/sharepoint/v3/contenttype/forms"/>
  </ds:schemaRefs>
</ds:datastoreItem>
</file>

<file path=customXml/itemProps3.xml><?xml version="1.0" encoding="utf-8"?>
<ds:datastoreItem xmlns:ds="http://schemas.openxmlformats.org/officeDocument/2006/customXml" ds:itemID="{16BA79B1-C0C7-4781-96D8-16F516032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DF28B2-0955-4FCF-A8B8-6E38E6C97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dewr minute.dot</Template>
  <TotalTime>1</TotalTime>
  <Pages>15</Pages>
  <Words>3267</Words>
  <Characters>18626</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HARMAN,Graham</dc:creator>
  <cp:lastModifiedBy>ROBSON,Meredith</cp:lastModifiedBy>
  <cp:revision>2</cp:revision>
  <cp:lastPrinted>2009-08-11T22:26:00Z</cp:lastPrinted>
  <dcterms:created xsi:type="dcterms:W3CDTF">2020-07-09T23:07:00Z</dcterms:created>
  <dcterms:modified xsi:type="dcterms:W3CDTF">2020-07-09T23:07:00Z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leaseDate">
    <vt:lpwstr>2005-06-30T00:00:00Z</vt:lpwstr>
  </property>
  <property fmtid="{D5CDD505-2E9C-101B-9397-08002B2CF9AE}" pid="3" name="ExpiryDate">
    <vt:lpwstr>2008-02-21T00:00:00Z</vt:lpwstr>
  </property>
  <property fmtid="{D5CDD505-2E9C-101B-9397-08002B2CF9AE}" pid="4" name="OFSC viewing only">
    <vt:lpwstr>yes</vt:lpwstr>
  </property>
  <property fmtid="{D5CDD505-2E9C-101B-9397-08002B2CF9AE}" pid="5" name="Document">
    <vt:lpwstr>Templates</vt:lpwstr>
  </property>
  <property fmtid="{D5CDD505-2E9C-101B-9397-08002B2CF9AE}" pid="6" name="ContentTypeId">
    <vt:lpwstr>0x01010064D00985BFFC5C4888EA7A1112042214</vt:lpwstr>
  </property>
</Properties>
</file>