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CF" w:rsidRDefault="00D16FCF">
      <w:bookmarkStart w:id="0" w:name="_GoBack"/>
      <w:bookmarkEnd w:id="0"/>
    </w:p>
    <w:p w:rsidR="007B5A3A" w:rsidRPr="006A280B" w:rsidRDefault="007B5A3A" w:rsidP="007B5A3A">
      <w:pPr>
        <w:jc w:val="center"/>
      </w:pPr>
      <w:r>
        <w:rPr>
          <w:noProof/>
        </w:rPr>
        <w:drawing>
          <wp:inline distT="0" distB="0" distL="0" distR="0" wp14:anchorId="1773CD45" wp14:editId="509685F0">
            <wp:extent cx="4756688" cy="1104900"/>
            <wp:effectExtent l="0" t="0" r="6350" b="0"/>
            <wp:docPr id="2" name="Picture 2" descr="Coat of Arms" title="Australian Government Department of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0482\AppData\Local\Microsoft\Windows\Temporary Internet Files\Content.Outlook\P11B970A\Dept Employment_Inline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6688" cy="1104900"/>
                    </a:xfrm>
                    <a:prstGeom prst="rect">
                      <a:avLst/>
                    </a:prstGeom>
                    <a:noFill/>
                    <a:ln>
                      <a:noFill/>
                    </a:ln>
                  </pic:spPr>
                </pic:pic>
              </a:graphicData>
            </a:graphic>
          </wp:inline>
        </w:drawing>
      </w:r>
    </w:p>
    <w:p w:rsidR="007B5A3A" w:rsidRPr="006A280B" w:rsidRDefault="007B5A3A" w:rsidP="007B5A3A"/>
    <w:p w:rsidR="007B5A3A" w:rsidRDefault="007B5A3A" w:rsidP="007B5A3A"/>
    <w:p w:rsidR="007B5A3A" w:rsidRPr="006A280B" w:rsidRDefault="007B5A3A" w:rsidP="007B5A3A"/>
    <w:p w:rsidR="007B5A3A" w:rsidRPr="006A280B" w:rsidRDefault="007B5A3A" w:rsidP="007B5A3A"/>
    <w:p w:rsidR="007B5A3A" w:rsidRPr="006A280B" w:rsidRDefault="007B5A3A" w:rsidP="007B5A3A">
      <w:pPr>
        <w:pStyle w:val="Title"/>
      </w:pPr>
      <w:r w:rsidRPr="00794C9E">
        <w:t>A REVIEW TO MODERNISE</w:t>
      </w:r>
      <w:r>
        <w:t xml:space="preserve"> </w:t>
      </w:r>
      <w:r w:rsidRPr="006A280B">
        <w:t>THE OFFICE OF THE FEDERAL SAFETY COMMISSIONER AND THE AUSTRALIAN GOVERNMENT BUILDING AND CONSTRUCTION OHS ACCREDITATION SCHEME</w:t>
      </w:r>
    </w:p>
    <w:p w:rsidR="007B5A3A" w:rsidRDefault="007B5A3A"/>
    <w:p w:rsidR="00A43F26" w:rsidRDefault="00A43F26"/>
    <w:p w:rsidR="00A43F26" w:rsidRDefault="00A43F26"/>
    <w:p w:rsidR="00A43F26" w:rsidRDefault="00A43F26"/>
    <w:p w:rsidR="00A43F26" w:rsidRDefault="00A43F26"/>
    <w:p w:rsidR="00A43F26" w:rsidRDefault="00A43F26"/>
    <w:p w:rsidR="00A43F26" w:rsidRPr="003941CE" w:rsidRDefault="003941CE" w:rsidP="003941CE">
      <w:pPr>
        <w:pStyle w:val="Title"/>
        <w:sectPr w:rsidR="00A43F26" w:rsidRPr="003941CE" w:rsidSect="0044203F">
          <w:headerReference w:type="default" r:id="rId12"/>
          <w:pgSz w:w="11906" w:h="16838" w:code="9"/>
          <w:pgMar w:top="1418" w:right="1134" w:bottom="1418" w:left="1418" w:header="567" w:footer="567" w:gutter="0"/>
          <w:cols w:space="708"/>
          <w:docGrid w:linePitch="360"/>
        </w:sectPr>
      </w:pPr>
      <w:r w:rsidRPr="003941CE">
        <w:t>June 2014</w:t>
      </w:r>
    </w:p>
    <w:p w:rsidR="008A7DC5" w:rsidRDefault="00793E83">
      <w:pPr>
        <w:pStyle w:val="TOC1"/>
        <w:rPr>
          <w:rFonts w:asciiTheme="minorHAnsi" w:eastAsiaTheme="minorEastAsia" w:hAnsiTheme="minorHAnsi" w:cstheme="minorBidi"/>
        </w:rPr>
      </w:pPr>
      <w:r>
        <w:rPr>
          <w:b/>
        </w:rPr>
        <w:lastRenderedPageBreak/>
        <w:fldChar w:fldCharType="begin"/>
      </w:r>
      <w:r>
        <w:rPr>
          <w:b/>
        </w:rPr>
        <w:instrText xml:space="preserve"> TOC \o "1-2" \h \z \u </w:instrText>
      </w:r>
      <w:r>
        <w:rPr>
          <w:b/>
        </w:rPr>
        <w:fldChar w:fldCharType="separate"/>
      </w:r>
      <w:hyperlink w:anchor="_Toc390429499" w:history="1">
        <w:r w:rsidR="008A7DC5" w:rsidRPr="006F5405">
          <w:rPr>
            <w:rStyle w:val="Hyperlink"/>
          </w:rPr>
          <w:t>Executive Summary</w:t>
        </w:r>
        <w:r w:rsidR="008A7DC5">
          <w:rPr>
            <w:webHidden/>
          </w:rPr>
          <w:tab/>
        </w:r>
        <w:r w:rsidR="008A7DC5">
          <w:rPr>
            <w:webHidden/>
          </w:rPr>
          <w:fldChar w:fldCharType="begin"/>
        </w:r>
        <w:r w:rsidR="008A7DC5">
          <w:rPr>
            <w:webHidden/>
          </w:rPr>
          <w:instrText xml:space="preserve"> PAGEREF _Toc390429499 \h </w:instrText>
        </w:r>
        <w:r w:rsidR="008A7DC5">
          <w:rPr>
            <w:webHidden/>
          </w:rPr>
        </w:r>
        <w:r w:rsidR="008A7DC5">
          <w:rPr>
            <w:webHidden/>
          </w:rPr>
          <w:fldChar w:fldCharType="separate"/>
        </w:r>
        <w:r w:rsidR="00B97287">
          <w:rPr>
            <w:webHidden/>
          </w:rPr>
          <w:t>4</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00" w:history="1">
        <w:r w:rsidR="008A7DC5" w:rsidRPr="006F5405">
          <w:rPr>
            <w:rStyle w:val="Hyperlink"/>
          </w:rPr>
          <w:t>Recommendations</w:t>
        </w:r>
        <w:r w:rsidR="008A7DC5">
          <w:rPr>
            <w:webHidden/>
          </w:rPr>
          <w:tab/>
        </w:r>
        <w:r w:rsidR="008A7DC5">
          <w:rPr>
            <w:webHidden/>
          </w:rPr>
          <w:fldChar w:fldCharType="begin"/>
        </w:r>
        <w:r w:rsidR="008A7DC5">
          <w:rPr>
            <w:webHidden/>
          </w:rPr>
          <w:instrText xml:space="preserve"> PAGEREF _Toc390429500 \h </w:instrText>
        </w:r>
        <w:r w:rsidR="008A7DC5">
          <w:rPr>
            <w:webHidden/>
          </w:rPr>
        </w:r>
        <w:r w:rsidR="008A7DC5">
          <w:rPr>
            <w:webHidden/>
          </w:rPr>
          <w:fldChar w:fldCharType="separate"/>
        </w:r>
        <w:r w:rsidR="00B97287">
          <w:rPr>
            <w:webHidden/>
          </w:rPr>
          <w:t>6</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01" w:history="1">
        <w:r w:rsidR="008A7DC5" w:rsidRPr="006F5405">
          <w:rPr>
            <w:rStyle w:val="Hyperlink"/>
          </w:rPr>
          <w:t>How the Review was undertaken</w:t>
        </w:r>
        <w:r w:rsidR="008A7DC5">
          <w:rPr>
            <w:webHidden/>
          </w:rPr>
          <w:tab/>
        </w:r>
        <w:r w:rsidR="008A7DC5">
          <w:rPr>
            <w:webHidden/>
          </w:rPr>
          <w:fldChar w:fldCharType="begin"/>
        </w:r>
        <w:r w:rsidR="008A7DC5">
          <w:rPr>
            <w:webHidden/>
          </w:rPr>
          <w:instrText xml:space="preserve"> PAGEREF _Toc390429501 \h </w:instrText>
        </w:r>
        <w:r w:rsidR="008A7DC5">
          <w:rPr>
            <w:webHidden/>
          </w:rPr>
        </w:r>
        <w:r w:rsidR="008A7DC5">
          <w:rPr>
            <w:webHidden/>
          </w:rPr>
          <w:fldChar w:fldCharType="separate"/>
        </w:r>
        <w:r w:rsidR="00B97287">
          <w:rPr>
            <w:webHidden/>
          </w:rPr>
          <w:t>9</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02" w:history="1">
        <w:r w:rsidR="008A7DC5" w:rsidRPr="006F5405">
          <w:rPr>
            <w:rStyle w:val="Hyperlink"/>
          </w:rPr>
          <w:t>Costs and Benefits</w:t>
        </w:r>
        <w:r w:rsidR="008A7DC5">
          <w:rPr>
            <w:webHidden/>
          </w:rPr>
          <w:tab/>
        </w:r>
        <w:r w:rsidR="008A7DC5">
          <w:rPr>
            <w:webHidden/>
          </w:rPr>
          <w:fldChar w:fldCharType="begin"/>
        </w:r>
        <w:r w:rsidR="008A7DC5">
          <w:rPr>
            <w:webHidden/>
          </w:rPr>
          <w:instrText xml:space="preserve"> PAGEREF _Toc390429502 \h </w:instrText>
        </w:r>
        <w:r w:rsidR="008A7DC5">
          <w:rPr>
            <w:webHidden/>
          </w:rPr>
        </w:r>
        <w:r w:rsidR="008A7DC5">
          <w:rPr>
            <w:webHidden/>
          </w:rPr>
          <w:fldChar w:fldCharType="separate"/>
        </w:r>
        <w:r w:rsidR="00B97287">
          <w:rPr>
            <w:webHidden/>
          </w:rPr>
          <w:t>10</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3" w:history="1">
        <w:r w:rsidR="008A7DC5" w:rsidRPr="006F5405">
          <w:rPr>
            <w:rStyle w:val="Hyperlink"/>
          </w:rPr>
          <w:t>Overview</w:t>
        </w:r>
        <w:r w:rsidR="008A7DC5">
          <w:rPr>
            <w:webHidden/>
          </w:rPr>
          <w:tab/>
        </w:r>
        <w:r w:rsidR="008A7DC5">
          <w:rPr>
            <w:webHidden/>
          </w:rPr>
          <w:fldChar w:fldCharType="begin"/>
        </w:r>
        <w:r w:rsidR="008A7DC5">
          <w:rPr>
            <w:webHidden/>
          </w:rPr>
          <w:instrText xml:space="preserve"> PAGEREF _Toc390429503 \h </w:instrText>
        </w:r>
        <w:r w:rsidR="008A7DC5">
          <w:rPr>
            <w:webHidden/>
          </w:rPr>
        </w:r>
        <w:r w:rsidR="008A7DC5">
          <w:rPr>
            <w:webHidden/>
          </w:rPr>
          <w:fldChar w:fldCharType="separate"/>
        </w:r>
        <w:r w:rsidR="00B97287">
          <w:rPr>
            <w:webHidden/>
          </w:rPr>
          <w:t>10</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4" w:history="1">
        <w:r w:rsidR="008A7DC5" w:rsidRPr="006F5405">
          <w:rPr>
            <w:rStyle w:val="Hyperlink"/>
          </w:rPr>
          <w:t>Benefits of the Scheme</w:t>
        </w:r>
        <w:r w:rsidR="008A7DC5">
          <w:rPr>
            <w:webHidden/>
          </w:rPr>
          <w:tab/>
        </w:r>
        <w:r w:rsidR="008A7DC5">
          <w:rPr>
            <w:webHidden/>
          </w:rPr>
          <w:fldChar w:fldCharType="begin"/>
        </w:r>
        <w:r w:rsidR="008A7DC5">
          <w:rPr>
            <w:webHidden/>
          </w:rPr>
          <w:instrText xml:space="preserve"> PAGEREF _Toc390429504 \h </w:instrText>
        </w:r>
        <w:r w:rsidR="008A7DC5">
          <w:rPr>
            <w:webHidden/>
          </w:rPr>
        </w:r>
        <w:r w:rsidR="008A7DC5">
          <w:rPr>
            <w:webHidden/>
          </w:rPr>
          <w:fldChar w:fldCharType="separate"/>
        </w:r>
        <w:r w:rsidR="00B97287">
          <w:rPr>
            <w:webHidden/>
          </w:rPr>
          <w:t>11</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5" w:history="1">
        <w:r w:rsidR="008A7DC5" w:rsidRPr="006F5405">
          <w:rPr>
            <w:rStyle w:val="Hyperlink"/>
          </w:rPr>
          <w:t>Costs of the Scheme</w:t>
        </w:r>
        <w:r w:rsidR="008A7DC5">
          <w:rPr>
            <w:webHidden/>
          </w:rPr>
          <w:tab/>
        </w:r>
        <w:r w:rsidR="008A7DC5">
          <w:rPr>
            <w:webHidden/>
          </w:rPr>
          <w:fldChar w:fldCharType="begin"/>
        </w:r>
        <w:r w:rsidR="008A7DC5">
          <w:rPr>
            <w:webHidden/>
          </w:rPr>
          <w:instrText xml:space="preserve"> PAGEREF _Toc390429505 \h </w:instrText>
        </w:r>
        <w:r w:rsidR="008A7DC5">
          <w:rPr>
            <w:webHidden/>
          </w:rPr>
        </w:r>
        <w:r w:rsidR="008A7DC5">
          <w:rPr>
            <w:webHidden/>
          </w:rPr>
          <w:fldChar w:fldCharType="separate"/>
        </w:r>
        <w:r w:rsidR="00B97287">
          <w:rPr>
            <w:webHidden/>
          </w:rPr>
          <w:t>12</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6" w:history="1">
        <w:r w:rsidR="008A7DC5" w:rsidRPr="006F5405">
          <w:rPr>
            <w:rStyle w:val="Hyperlink"/>
          </w:rPr>
          <w:t>Value for Money</w:t>
        </w:r>
        <w:r w:rsidR="008A7DC5">
          <w:rPr>
            <w:webHidden/>
          </w:rPr>
          <w:tab/>
        </w:r>
        <w:r w:rsidR="008A7DC5">
          <w:rPr>
            <w:webHidden/>
          </w:rPr>
          <w:fldChar w:fldCharType="begin"/>
        </w:r>
        <w:r w:rsidR="008A7DC5">
          <w:rPr>
            <w:webHidden/>
          </w:rPr>
          <w:instrText xml:space="preserve"> PAGEREF _Toc390429506 \h </w:instrText>
        </w:r>
        <w:r w:rsidR="008A7DC5">
          <w:rPr>
            <w:webHidden/>
          </w:rPr>
        </w:r>
        <w:r w:rsidR="008A7DC5">
          <w:rPr>
            <w:webHidden/>
          </w:rPr>
          <w:fldChar w:fldCharType="separate"/>
        </w:r>
        <w:r w:rsidR="00B97287">
          <w:rPr>
            <w:webHidden/>
          </w:rPr>
          <w:t>14</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7" w:history="1">
        <w:r w:rsidR="008A7DC5" w:rsidRPr="006F5405">
          <w:rPr>
            <w:rStyle w:val="Hyperlink"/>
          </w:rPr>
          <w:t>Conclusion</w:t>
        </w:r>
        <w:r w:rsidR="008A7DC5">
          <w:rPr>
            <w:webHidden/>
          </w:rPr>
          <w:tab/>
        </w:r>
        <w:r w:rsidR="008A7DC5">
          <w:rPr>
            <w:webHidden/>
          </w:rPr>
          <w:fldChar w:fldCharType="begin"/>
        </w:r>
        <w:r w:rsidR="008A7DC5">
          <w:rPr>
            <w:webHidden/>
          </w:rPr>
          <w:instrText xml:space="preserve"> PAGEREF _Toc390429507 \h </w:instrText>
        </w:r>
        <w:r w:rsidR="008A7DC5">
          <w:rPr>
            <w:webHidden/>
          </w:rPr>
        </w:r>
        <w:r w:rsidR="008A7DC5">
          <w:rPr>
            <w:webHidden/>
          </w:rPr>
          <w:fldChar w:fldCharType="separate"/>
        </w:r>
        <w:r w:rsidR="00B97287">
          <w:rPr>
            <w:webHidden/>
          </w:rPr>
          <w:t>15</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08" w:history="1">
        <w:r w:rsidR="008A7DC5" w:rsidRPr="006F5405">
          <w:rPr>
            <w:rStyle w:val="Hyperlink"/>
          </w:rPr>
          <w:t>Coverage of the Scheme</w:t>
        </w:r>
        <w:r w:rsidR="008A7DC5">
          <w:rPr>
            <w:webHidden/>
          </w:rPr>
          <w:tab/>
        </w:r>
        <w:r w:rsidR="008A7DC5">
          <w:rPr>
            <w:webHidden/>
          </w:rPr>
          <w:fldChar w:fldCharType="begin"/>
        </w:r>
        <w:r w:rsidR="008A7DC5">
          <w:rPr>
            <w:webHidden/>
          </w:rPr>
          <w:instrText xml:space="preserve"> PAGEREF _Toc390429508 \h </w:instrText>
        </w:r>
        <w:r w:rsidR="008A7DC5">
          <w:rPr>
            <w:webHidden/>
          </w:rPr>
        </w:r>
        <w:r w:rsidR="008A7DC5">
          <w:rPr>
            <w:webHidden/>
          </w:rPr>
          <w:fldChar w:fldCharType="separate"/>
        </w:r>
        <w:r w:rsidR="00B97287">
          <w:rPr>
            <w:webHidden/>
          </w:rPr>
          <w:t>16</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09" w:history="1">
        <w:r w:rsidR="008A7DC5" w:rsidRPr="006F5405">
          <w:rPr>
            <w:rStyle w:val="Hyperlink"/>
          </w:rPr>
          <w:t>Thresholds</w:t>
        </w:r>
        <w:r w:rsidR="008A7DC5">
          <w:rPr>
            <w:webHidden/>
          </w:rPr>
          <w:tab/>
        </w:r>
        <w:r w:rsidR="008A7DC5">
          <w:rPr>
            <w:webHidden/>
          </w:rPr>
          <w:fldChar w:fldCharType="begin"/>
        </w:r>
        <w:r w:rsidR="008A7DC5">
          <w:rPr>
            <w:webHidden/>
          </w:rPr>
          <w:instrText xml:space="preserve"> PAGEREF _Toc390429509 \h </w:instrText>
        </w:r>
        <w:r w:rsidR="008A7DC5">
          <w:rPr>
            <w:webHidden/>
          </w:rPr>
        </w:r>
        <w:r w:rsidR="008A7DC5">
          <w:rPr>
            <w:webHidden/>
          </w:rPr>
          <w:fldChar w:fldCharType="separate"/>
        </w:r>
        <w:r w:rsidR="00B97287">
          <w:rPr>
            <w:webHidden/>
          </w:rPr>
          <w:t>16</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0" w:history="1">
        <w:r w:rsidR="008A7DC5" w:rsidRPr="006F5405">
          <w:rPr>
            <w:rStyle w:val="Hyperlink"/>
          </w:rPr>
          <w:t>Definition of building work</w:t>
        </w:r>
        <w:r w:rsidR="008A7DC5">
          <w:rPr>
            <w:webHidden/>
          </w:rPr>
          <w:tab/>
        </w:r>
        <w:r w:rsidR="008A7DC5">
          <w:rPr>
            <w:webHidden/>
          </w:rPr>
          <w:fldChar w:fldCharType="begin"/>
        </w:r>
        <w:r w:rsidR="008A7DC5">
          <w:rPr>
            <w:webHidden/>
          </w:rPr>
          <w:instrText xml:space="preserve"> PAGEREF _Toc390429510 \h </w:instrText>
        </w:r>
        <w:r w:rsidR="008A7DC5">
          <w:rPr>
            <w:webHidden/>
          </w:rPr>
        </w:r>
        <w:r w:rsidR="008A7DC5">
          <w:rPr>
            <w:webHidden/>
          </w:rPr>
          <w:fldChar w:fldCharType="separate"/>
        </w:r>
        <w:r w:rsidR="00B97287">
          <w:rPr>
            <w:webHidden/>
          </w:rPr>
          <w:t>19</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1" w:history="1">
        <w:r w:rsidR="008A7DC5" w:rsidRPr="006F5405">
          <w:rPr>
            <w:rStyle w:val="Hyperlink"/>
          </w:rPr>
          <w:t>Residential</w:t>
        </w:r>
        <w:r w:rsidR="008A7DC5">
          <w:rPr>
            <w:webHidden/>
          </w:rPr>
          <w:tab/>
        </w:r>
        <w:r w:rsidR="008A7DC5">
          <w:rPr>
            <w:webHidden/>
          </w:rPr>
          <w:fldChar w:fldCharType="begin"/>
        </w:r>
        <w:r w:rsidR="008A7DC5">
          <w:rPr>
            <w:webHidden/>
          </w:rPr>
          <w:instrText xml:space="preserve"> PAGEREF _Toc390429511 \h </w:instrText>
        </w:r>
        <w:r w:rsidR="008A7DC5">
          <w:rPr>
            <w:webHidden/>
          </w:rPr>
        </w:r>
        <w:r w:rsidR="008A7DC5">
          <w:rPr>
            <w:webHidden/>
          </w:rPr>
          <w:fldChar w:fldCharType="separate"/>
        </w:r>
        <w:r w:rsidR="00B97287">
          <w:rPr>
            <w:webHidden/>
          </w:rPr>
          <w:t>20</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2" w:history="1">
        <w:r w:rsidR="008A7DC5" w:rsidRPr="006F5405">
          <w:rPr>
            <w:rStyle w:val="Hyperlink"/>
          </w:rPr>
          <w:t>Exemptions</w:t>
        </w:r>
        <w:r w:rsidR="008A7DC5">
          <w:rPr>
            <w:webHidden/>
          </w:rPr>
          <w:tab/>
        </w:r>
        <w:r w:rsidR="008A7DC5">
          <w:rPr>
            <w:webHidden/>
          </w:rPr>
          <w:fldChar w:fldCharType="begin"/>
        </w:r>
        <w:r w:rsidR="008A7DC5">
          <w:rPr>
            <w:webHidden/>
          </w:rPr>
          <w:instrText xml:space="preserve"> PAGEREF _Toc390429512 \h </w:instrText>
        </w:r>
        <w:r w:rsidR="008A7DC5">
          <w:rPr>
            <w:webHidden/>
          </w:rPr>
        </w:r>
        <w:r w:rsidR="008A7DC5">
          <w:rPr>
            <w:webHidden/>
          </w:rPr>
          <w:fldChar w:fldCharType="separate"/>
        </w:r>
        <w:r w:rsidR="00B97287">
          <w:rPr>
            <w:webHidden/>
          </w:rPr>
          <w:t>22</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13" w:history="1">
        <w:r w:rsidR="008A7DC5" w:rsidRPr="006F5405">
          <w:rPr>
            <w:rStyle w:val="Hyperlink"/>
          </w:rPr>
          <w:t>Becoming accredited</w:t>
        </w:r>
        <w:r w:rsidR="008A7DC5">
          <w:rPr>
            <w:webHidden/>
          </w:rPr>
          <w:tab/>
        </w:r>
        <w:r w:rsidR="008A7DC5">
          <w:rPr>
            <w:webHidden/>
          </w:rPr>
          <w:fldChar w:fldCharType="begin"/>
        </w:r>
        <w:r w:rsidR="008A7DC5">
          <w:rPr>
            <w:webHidden/>
          </w:rPr>
          <w:instrText xml:space="preserve"> PAGEREF _Toc390429513 \h </w:instrText>
        </w:r>
        <w:r w:rsidR="008A7DC5">
          <w:rPr>
            <w:webHidden/>
          </w:rPr>
        </w:r>
        <w:r w:rsidR="008A7DC5">
          <w:rPr>
            <w:webHidden/>
          </w:rPr>
          <w:fldChar w:fldCharType="separate"/>
        </w:r>
        <w:r w:rsidR="00B97287">
          <w:rPr>
            <w:webHidden/>
          </w:rPr>
          <w:t>23</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4" w:history="1">
        <w:r w:rsidR="008A7DC5" w:rsidRPr="006F5405">
          <w:rPr>
            <w:rStyle w:val="Hyperlink"/>
          </w:rPr>
          <w:t>Current Accreditation Process</w:t>
        </w:r>
        <w:r w:rsidR="008A7DC5">
          <w:rPr>
            <w:webHidden/>
          </w:rPr>
          <w:tab/>
        </w:r>
        <w:r w:rsidR="008A7DC5">
          <w:rPr>
            <w:webHidden/>
          </w:rPr>
          <w:fldChar w:fldCharType="begin"/>
        </w:r>
        <w:r w:rsidR="008A7DC5">
          <w:rPr>
            <w:webHidden/>
          </w:rPr>
          <w:instrText xml:space="preserve"> PAGEREF _Toc390429514 \h </w:instrText>
        </w:r>
        <w:r w:rsidR="008A7DC5">
          <w:rPr>
            <w:webHidden/>
          </w:rPr>
        </w:r>
        <w:r w:rsidR="008A7DC5">
          <w:rPr>
            <w:webHidden/>
          </w:rPr>
          <w:fldChar w:fldCharType="separate"/>
        </w:r>
        <w:r w:rsidR="00B97287">
          <w:rPr>
            <w:webHidden/>
          </w:rPr>
          <w:t>23</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5" w:history="1">
        <w:r w:rsidR="008A7DC5" w:rsidRPr="006F5405">
          <w:rPr>
            <w:rStyle w:val="Hyperlink"/>
          </w:rPr>
          <w:t>Accreditation Fees</w:t>
        </w:r>
        <w:r w:rsidR="008A7DC5">
          <w:rPr>
            <w:webHidden/>
          </w:rPr>
          <w:tab/>
        </w:r>
        <w:r w:rsidR="008A7DC5">
          <w:rPr>
            <w:webHidden/>
          </w:rPr>
          <w:fldChar w:fldCharType="begin"/>
        </w:r>
        <w:r w:rsidR="008A7DC5">
          <w:rPr>
            <w:webHidden/>
          </w:rPr>
          <w:instrText xml:space="preserve"> PAGEREF _Toc390429515 \h </w:instrText>
        </w:r>
        <w:r w:rsidR="008A7DC5">
          <w:rPr>
            <w:webHidden/>
          </w:rPr>
        </w:r>
        <w:r w:rsidR="008A7DC5">
          <w:rPr>
            <w:webHidden/>
          </w:rPr>
          <w:fldChar w:fldCharType="separate"/>
        </w:r>
        <w:r w:rsidR="00B97287">
          <w:rPr>
            <w:webHidden/>
          </w:rPr>
          <w:t>24</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6" w:history="1">
        <w:r w:rsidR="008A7DC5" w:rsidRPr="006F5405">
          <w:rPr>
            <w:rStyle w:val="Hyperlink"/>
          </w:rPr>
          <w:t>Application Prerequisite - AS/NZS 4801:2001</w:t>
        </w:r>
        <w:r w:rsidR="008A7DC5">
          <w:rPr>
            <w:webHidden/>
          </w:rPr>
          <w:tab/>
        </w:r>
        <w:r w:rsidR="008A7DC5">
          <w:rPr>
            <w:webHidden/>
          </w:rPr>
          <w:fldChar w:fldCharType="begin"/>
        </w:r>
        <w:r w:rsidR="008A7DC5">
          <w:rPr>
            <w:webHidden/>
          </w:rPr>
          <w:instrText xml:space="preserve"> PAGEREF _Toc390429516 \h </w:instrText>
        </w:r>
        <w:r w:rsidR="008A7DC5">
          <w:rPr>
            <w:webHidden/>
          </w:rPr>
        </w:r>
        <w:r w:rsidR="008A7DC5">
          <w:rPr>
            <w:webHidden/>
          </w:rPr>
          <w:fldChar w:fldCharType="separate"/>
        </w:r>
        <w:r w:rsidR="00B97287">
          <w:rPr>
            <w:webHidden/>
          </w:rPr>
          <w:t>25</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7" w:history="1">
        <w:r w:rsidR="008A7DC5" w:rsidRPr="006F5405">
          <w:rPr>
            <w:rStyle w:val="Hyperlink"/>
          </w:rPr>
          <w:t>Improvements to the Accreditation Process</w:t>
        </w:r>
        <w:r w:rsidR="008A7DC5">
          <w:rPr>
            <w:webHidden/>
          </w:rPr>
          <w:tab/>
        </w:r>
        <w:r w:rsidR="008A7DC5">
          <w:rPr>
            <w:webHidden/>
          </w:rPr>
          <w:fldChar w:fldCharType="begin"/>
        </w:r>
        <w:r w:rsidR="008A7DC5">
          <w:rPr>
            <w:webHidden/>
          </w:rPr>
          <w:instrText xml:space="preserve"> PAGEREF _Toc390429517 \h </w:instrText>
        </w:r>
        <w:r w:rsidR="008A7DC5">
          <w:rPr>
            <w:webHidden/>
          </w:rPr>
        </w:r>
        <w:r w:rsidR="008A7DC5">
          <w:rPr>
            <w:webHidden/>
          </w:rPr>
          <w:fldChar w:fldCharType="separate"/>
        </w:r>
        <w:r w:rsidR="00B97287">
          <w:rPr>
            <w:webHidden/>
          </w:rPr>
          <w:t>26</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8" w:history="1">
        <w:r w:rsidR="008A7DC5" w:rsidRPr="006F5405">
          <w:rPr>
            <w:rStyle w:val="Hyperlink"/>
          </w:rPr>
          <w:t>Accessibility for small companies</w:t>
        </w:r>
        <w:r w:rsidR="008A7DC5">
          <w:rPr>
            <w:webHidden/>
          </w:rPr>
          <w:tab/>
        </w:r>
        <w:r w:rsidR="008A7DC5">
          <w:rPr>
            <w:webHidden/>
          </w:rPr>
          <w:fldChar w:fldCharType="begin"/>
        </w:r>
        <w:r w:rsidR="008A7DC5">
          <w:rPr>
            <w:webHidden/>
          </w:rPr>
          <w:instrText xml:space="preserve"> PAGEREF _Toc390429518 \h </w:instrText>
        </w:r>
        <w:r w:rsidR="008A7DC5">
          <w:rPr>
            <w:webHidden/>
          </w:rPr>
        </w:r>
        <w:r w:rsidR="008A7DC5">
          <w:rPr>
            <w:webHidden/>
          </w:rPr>
          <w:fldChar w:fldCharType="separate"/>
        </w:r>
        <w:r w:rsidR="00B97287">
          <w:rPr>
            <w:webHidden/>
          </w:rPr>
          <w:t>27</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19" w:history="1">
        <w:r w:rsidR="008A7DC5" w:rsidRPr="006F5405">
          <w:rPr>
            <w:rStyle w:val="Hyperlink"/>
          </w:rPr>
          <w:t>Joint Venture Accreditation Arrangements</w:t>
        </w:r>
        <w:r w:rsidR="008A7DC5">
          <w:rPr>
            <w:webHidden/>
          </w:rPr>
          <w:tab/>
        </w:r>
        <w:r w:rsidR="008A7DC5">
          <w:rPr>
            <w:webHidden/>
          </w:rPr>
          <w:fldChar w:fldCharType="begin"/>
        </w:r>
        <w:r w:rsidR="008A7DC5">
          <w:rPr>
            <w:webHidden/>
          </w:rPr>
          <w:instrText xml:space="preserve"> PAGEREF _Toc390429519 \h </w:instrText>
        </w:r>
        <w:r w:rsidR="008A7DC5">
          <w:rPr>
            <w:webHidden/>
          </w:rPr>
        </w:r>
        <w:r w:rsidR="008A7DC5">
          <w:rPr>
            <w:webHidden/>
          </w:rPr>
          <w:fldChar w:fldCharType="separate"/>
        </w:r>
        <w:r w:rsidR="00B97287">
          <w:rPr>
            <w:webHidden/>
          </w:rPr>
          <w:t>28</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0" w:history="1">
        <w:r w:rsidR="008A7DC5" w:rsidRPr="006F5405">
          <w:rPr>
            <w:rStyle w:val="Hyperlink"/>
          </w:rPr>
          <w:t>Simplifying Criteria</w:t>
        </w:r>
        <w:r w:rsidR="008A7DC5">
          <w:rPr>
            <w:webHidden/>
          </w:rPr>
          <w:tab/>
        </w:r>
        <w:r w:rsidR="008A7DC5">
          <w:rPr>
            <w:webHidden/>
          </w:rPr>
          <w:fldChar w:fldCharType="begin"/>
        </w:r>
        <w:r w:rsidR="008A7DC5">
          <w:rPr>
            <w:webHidden/>
          </w:rPr>
          <w:instrText xml:space="preserve"> PAGEREF _Toc390429520 \h </w:instrText>
        </w:r>
        <w:r w:rsidR="008A7DC5">
          <w:rPr>
            <w:webHidden/>
          </w:rPr>
        </w:r>
        <w:r w:rsidR="008A7DC5">
          <w:rPr>
            <w:webHidden/>
          </w:rPr>
          <w:fldChar w:fldCharType="separate"/>
        </w:r>
        <w:r w:rsidR="00B97287">
          <w:rPr>
            <w:webHidden/>
          </w:rPr>
          <w:t>29</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21" w:history="1">
        <w:r w:rsidR="008A7DC5" w:rsidRPr="006F5405">
          <w:rPr>
            <w:rStyle w:val="Hyperlink"/>
          </w:rPr>
          <w:t>Maintaining Accreditation</w:t>
        </w:r>
        <w:r w:rsidR="008A7DC5">
          <w:rPr>
            <w:webHidden/>
          </w:rPr>
          <w:tab/>
        </w:r>
        <w:r w:rsidR="008A7DC5">
          <w:rPr>
            <w:webHidden/>
          </w:rPr>
          <w:fldChar w:fldCharType="begin"/>
        </w:r>
        <w:r w:rsidR="008A7DC5">
          <w:rPr>
            <w:webHidden/>
          </w:rPr>
          <w:instrText xml:space="preserve"> PAGEREF _Toc390429521 \h </w:instrText>
        </w:r>
        <w:r w:rsidR="008A7DC5">
          <w:rPr>
            <w:webHidden/>
          </w:rPr>
        </w:r>
        <w:r w:rsidR="008A7DC5">
          <w:rPr>
            <w:webHidden/>
          </w:rPr>
          <w:fldChar w:fldCharType="separate"/>
        </w:r>
        <w:r w:rsidR="00B97287">
          <w:rPr>
            <w:webHidden/>
          </w:rPr>
          <w:t>31</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2" w:history="1">
        <w:r w:rsidR="008A7DC5" w:rsidRPr="006F5405">
          <w:rPr>
            <w:rStyle w:val="Hyperlink"/>
          </w:rPr>
          <w:t>Reaccreditation Process</w:t>
        </w:r>
        <w:r w:rsidR="008A7DC5">
          <w:rPr>
            <w:webHidden/>
          </w:rPr>
          <w:tab/>
        </w:r>
        <w:r w:rsidR="008A7DC5">
          <w:rPr>
            <w:webHidden/>
          </w:rPr>
          <w:fldChar w:fldCharType="begin"/>
        </w:r>
        <w:r w:rsidR="008A7DC5">
          <w:rPr>
            <w:webHidden/>
          </w:rPr>
          <w:instrText xml:space="preserve"> PAGEREF _Toc390429522 \h </w:instrText>
        </w:r>
        <w:r w:rsidR="008A7DC5">
          <w:rPr>
            <w:webHidden/>
          </w:rPr>
        </w:r>
        <w:r w:rsidR="008A7DC5">
          <w:rPr>
            <w:webHidden/>
          </w:rPr>
          <w:fldChar w:fldCharType="separate"/>
        </w:r>
        <w:r w:rsidR="00B97287">
          <w:rPr>
            <w:webHidden/>
          </w:rPr>
          <w:t>32</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3" w:history="1">
        <w:r w:rsidR="008A7DC5" w:rsidRPr="006F5405">
          <w:rPr>
            <w:rStyle w:val="Hyperlink"/>
          </w:rPr>
          <w:t>Extending the Accreditation Period</w:t>
        </w:r>
        <w:r w:rsidR="008A7DC5">
          <w:rPr>
            <w:webHidden/>
          </w:rPr>
          <w:tab/>
        </w:r>
        <w:r w:rsidR="008A7DC5">
          <w:rPr>
            <w:webHidden/>
          </w:rPr>
          <w:fldChar w:fldCharType="begin"/>
        </w:r>
        <w:r w:rsidR="008A7DC5">
          <w:rPr>
            <w:webHidden/>
          </w:rPr>
          <w:instrText xml:space="preserve"> PAGEREF _Toc390429523 \h </w:instrText>
        </w:r>
        <w:r w:rsidR="008A7DC5">
          <w:rPr>
            <w:webHidden/>
          </w:rPr>
        </w:r>
        <w:r w:rsidR="008A7DC5">
          <w:rPr>
            <w:webHidden/>
          </w:rPr>
          <w:fldChar w:fldCharType="separate"/>
        </w:r>
        <w:r w:rsidR="00B97287">
          <w:rPr>
            <w:webHidden/>
          </w:rPr>
          <w:t>33</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4" w:history="1">
        <w:r w:rsidR="008A7DC5" w:rsidRPr="006F5405">
          <w:rPr>
            <w:rStyle w:val="Hyperlink"/>
          </w:rPr>
          <w:t>Risk-based Audit Approach to Maintaining Accreditation</w:t>
        </w:r>
        <w:r w:rsidR="008A7DC5">
          <w:rPr>
            <w:webHidden/>
          </w:rPr>
          <w:tab/>
        </w:r>
        <w:r w:rsidR="008A7DC5">
          <w:rPr>
            <w:webHidden/>
          </w:rPr>
          <w:fldChar w:fldCharType="begin"/>
        </w:r>
        <w:r w:rsidR="008A7DC5">
          <w:rPr>
            <w:webHidden/>
          </w:rPr>
          <w:instrText xml:space="preserve"> PAGEREF _Toc390429524 \h </w:instrText>
        </w:r>
        <w:r w:rsidR="008A7DC5">
          <w:rPr>
            <w:webHidden/>
          </w:rPr>
        </w:r>
        <w:r w:rsidR="008A7DC5">
          <w:rPr>
            <w:webHidden/>
          </w:rPr>
          <w:fldChar w:fldCharType="separate"/>
        </w:r>
        <w:r w:rsidR="00B97287">
          <w:rPr>
            <w:webHidden/>
          </w:rPr>
          <w:t>33</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5" w:history="1">
        <w:r w:rsidR="008A7DC5" w:rsidRPr="006F5405">
          <w:rPr>
            <w:rStyle w:val="Hyperlink"/>
          </w:rPr>
          <w:t>Determining the Risk Profile</w:t>
        </w:r>
        <w:r w:rsidR="008A7DC5">
          <w:rPr>
            <w:webHidden/>
          </w:rPr>
          <w:tab/>
        </w:r>
        <w:r w:rsidR="008A7DC5">
          <w:rPr>
            <w:webHidden/>
          </w:rPr>
          <w:fldChar w:fldCharType="begin"/>
        </w:r>
        <w:r w:rsidR="008A7DC5">
          <w:rPr>
            <w:webHidden/>
          </w:rPr>
          <w:instrText xml:space="preserve"> PAGEREF _Toc390429525 \h </w:instrText>
        </w:r>
        <w:r w:rsidR="008A7DC5">
          <w:rPr>
            <w:webHidden/>
          </w:rPr>
        </w:r>
        <w:r w:rsidR="008A7DC5">
          <w:rPr>
            <w:webHidden/>
          </w:rPr>
          <w:fldChar w:fldCharType="separate"/>
        </w:r>
        <w:r w:rsidR="00B97287">
          <w:rPr>
            <w:webHidden/>
          </w:rPr>
          <w:t>35</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6" w:history="1">
        <w:r w:rsidR="008A7DC5" w:rsidRPr="006F5405">
          <w:rPr>
            <w:rStyle w:val="Hyperlink"/>
          </w:rPr>
          <w:t>Reporting</w:t>
        </w:r>
        <w:r w:rsidR="008A7DC5">
          <w:rPr>
            <w:webHidden/>
          </w:rPr>
          <w:tab/>
        </w:r>
        <w:r w:rsidR="008A7DC5">
          <w:rPr>
            <w:webHidden/>
          </w:rPr>
          <w:fldChar w:fldCharType="begin"/>
        </w:r>
        <w:r w:rsidR="008A7DC5">
          <w:rPr>
            <w:webHidden/>
          </w:rPr>
          <w:instrText xml:space="preserve"> PAGEREF _Toc390429526 \h </w:instrText>
        </w:r>
        <w:r w:rsidR="008A7DC5">
          <w:rPr>
            <w:webHidden/>
          </w:rPr>
        </w:r>
        <w:r w:rsidR="008A7DC5">
          <w:rPr>
            <w:webHidden/>
          </w:rPr>
          <w:fldChar w:fldCharType="separate"/>
        </w:r>
        <w:r w:rsidR="00B97287">
          <w:rPr>
            <w:webHidden/>
          </w:rPr>
          <w:t>36</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27" w:history="1">
        <w:r w:rsidR="008A7DC5" w:rsidRPr="006F5405">
          <w:rPr>
            <w:rStyle w:val="Hyperlink"/>
          </w:rPr>
          <w:t>OFSC Performance</w:t>
        </w:r>
        <w:r w:rsidR="008A7DC5">
          <w:rPr>
            <w:webHidden/>
          </w:rPr>
          <w:tab/>
        </w:r>
        <w:r w:rsidR="008A7DC5">
          <w:rPr>
            <w:webHidden/>
          </w:rPr>
          <w:fldChar w:fldCharType="begin"/>
        </w:r>
        <w:r w:rsidR="008A7DC5">
          <w:rPr>
            <w:webHidden/>
          </w:rPr>
          <w:instrText xml:space="preserve"> PAGEREF _Toc390429527 \h </w:instrText>
        </w:r>
        <w:r w:rsidR="008A7DC5">
          <w:rPr>
            <w:webHidden/>
          </w:rPr>
        </w:r>
        <w:r w:rsidR="008A7DC5">
          <w:rPr>
            <w:webHidden/>
          </w:rPr>
          <w:fldChar w:fldCharType="separate"/>
        </w:r>
        <w:r w:rsidR="00B97287">
          <w:rPr>
            <w:webHidden/>
          </w:rPr>
          <w:t>37</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8" w:history="1">
        <w:r w:rsidR="008A7DC5" w:rsidRPr="006F5405">
          <w:rPr>
            <w:rStyle w:val="Hyperlink"/>
          </w:rPr>
          <w:t>OFSC Communication of best practice</w:t>
        </w:r>
        <w:r w:rsidR="008A7DC5">
          <w:rPr>
            <w:webHidden/>
          </w:rPr>
          <w:tab/>
        </w:r>
        <w:r w:rsidR="008A7DC5">
          <w:rPr>
            <w:webHidden/>
          </w:rPr>
          <w:fldChar w:fldCharType="begin"/>
        </w:r>
        <w:r w:rsidR="008A7DC5">
          <w:rPr>
            <w:webHidden/>
          </w:rPr>
          <w:instrText xml:space="preserve"> PAGEREF _Toc390429528 \h </w:instrText>
        </w:r>
        <w:r w:rsidR="008A7DC5">
          <w:rPr>
            <w:webHidden/>
          </w:rPr>
        </w:r>
        <w:r w:rsidR="008A7DC5">
          <w:rPr>
            <w:webHidden/>
          </w:rPr>
          <w:fldChar w:fldCharType="separate"/>
        </w:r>
        <w:r w:rsidR="00B97287">
          <w:rPr>
            <w:webHidden/>
          </w:rPr>
          <w:t>37</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29" w:history="1">
        <w:r w:rsidR="008A7DC5" w:rsidRPr="006F5405">
          <w:rPr>
            <w:rStyle w:val="Hyperlink"/>
          </w:rPr>
          <w:t>The OFSC and Federal Safety Officers</w:t>
        </w:r>
        <w:r w:rsidR="008A7DC5">
          <w:rPr>
            <w:webHidden/>
          </w:rPr>
          <w:tab/>
        </w:r>
        <w:r w:rsidR="008A7DC5">
          <w:rPr>
            <w:webHidden/>
          </w:rPr>
          <w:fldChar w:fldCharType="begin"/>
        </w:r>
        <w:r w:rsidR="008A7DC5">
          <w:rPr>
            <w:webHidden/>
          </w:rPr>
          <w:instrText xml:space="preserve"> PAGEREF _Toc390429529 \h </w:instrText>
        </w:r>
        <w:r w:rsidR="008A7DC5">
          <w:rPr>
            <w:webHidden/>
          </w:rPr>
        </w:r>
        <w:r w:rsidR="008A7DC5">
          <w:rPr>
            <w:webHidden/>
          </w:rPr>
          <w:fldChar w:fldCharType="separate"/>
        </w:r>
        <w:r w:rsidR="00B97287">
          <w:rPr>
            <w:webHidden/>
          </w:rPr>
          <w:t>38</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30" w:history="1">
        <w:r w:rsidR="008A7DC5" w:rsidRPr="006F5405">
          <w:rPr>
            <w:rStyle w:val="Hyperlink"/>
          </w:rPr>
          <w:t>Conflict of Interest</w:t>
        </w:r>
        <w:r w:rsidR="008A7DC5">
          <w:rPr>
            <w:webHidden/>
          </w:rPr>
          <w:tab/>
        </w:r>
        <w:r w:rsidR="008A7DC5">
          <w:rPr>
            <w:webHidden/>
          </w:rPr>
          <w:fldChar w:fldCharType="begin"/>
        </w:r>
        <w:r w:rsidR="008A7DC5">
          <w:rPr>
            <w:webHidden/>
          </w:rPr>
          <w:instrText xml:space="preserve"> PAGEREF _Toc390429530 \h </w:instrText>
        </w:r>
        <w:r w:rsidR="008A7DC5">
          <w:rPr>
            <w:webHidden/>
          </w:rPr>
        </w:r>
        <w:r w:rsidR="008A7DC5">
          <w:rPr>
            <w:webHidden/>
          </w:rPr>
          <w:fldChar w:fldCharType="separate"/>
        </w:r>
        <w:r w:rsidR="00B97287">
          <w:rPr>
            <w:webHidden/>
          </w:rPr>
          <w:t>39</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31" w:history="1">
        <w:r w:rsidR="008A7DC5" w:rsidRPr="006F5405">
          <w:rPr>
            <w:rStyle w:val="Hyperlink"/>
          </w:rPr>
          <w:t>Regular reviews of the Scheme</w:t>
        </w:r>
        <w:r w:rsidR="008A7DC5">
          <w:rPr>
            <w:webHidden/>
          </w:rPr>
          <w:tab/>
        </w:r>
        <w:r w:rsidR="008A7DC5">
          <w:rPr>
            <w:webHidden/>
          </w:rPr>
          <w:fldChar w:fldCharType="begin"/>
        </w:r>
        <w:r w:rsidR="008A7DC5">
          <w:rPr>
            <w:webHidden/>
          </w:rPr>
          <w:instrText xml:space="preserve"> PAGEREF _Toc390429531 \h </w:instrText>
        </w:r>
        <w:r w:rsidR="008A7DC5">
          <w:rPr>
            <w:webHidden/>
          </w:rPr>
        </w:r>
        <w:r w:rsidR="008A7DC5">
          <w:rPr>
            <w:webHidden/>
          </w:rPr>
          <w:fldChar w:fldCharType="separate"/>
        </w:r>
        <w:r w:rsidR="00B97287">
          <w:rPr>
            <w:webHidden/>
          </w:rPr>
          <w:t>40</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2" w:history="1">
        <w:r w:rsidR="008A7DC5" w:rsidRPr="006F5405">
          <w:rPr>
            <w:rStyle w:val="Hyperlink"/>
          </w:rPr>
          <w:t>Australian Government Agencies</w:t>
        </w:r>
        <w:r w:rsidR="008A7DC5">
          <w:rPr>
            <w:webHidden/>
          </w:rPr>
          <w:tab/>
        </w:r>
        <w:r w:rsidR="008A7DC5">
          <w:rPr>
            <w:webHidden/>
          </w:rPr>
          <w:fldChar w:fldCharType="begin"/>
        </w:r>
        <w:r w:rsidR="008A7DC5">
          <w:rPr>
            <w:webHidden/>
          </w:rPr>
          <w:instrText xml:space="preserve"> PAGEREF _Toc390429532 \h </w:instrText>
        </w:r>
        <w:r w:rsidR="008A7DC5">
          <w:rPr>
            <w:webHidden/>
          </w:rPr>
        </w:r>
        <w:r w:rsidR="008A7DC5">
          <w:rPr>
            <w:webHidden/>
          </w:rPr>
          <w:fldChar w:fldCharType="separate"/>
        </w:r>
        <w:r w:rsidR="00B97287">
          <w:rPr>
            <w:webHidden/>
          </w:rPr>
          <w:t>41</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3" w:history="1">
        <w:r w:rsidR="008A7DC5" w:rsidRPr="006F5405">
          <w:rPr>
            <w:rStyle w:val="Hyperlink"/>
          </w:rPr>
          <w:t>Other Jurisdictions’ Prequalification requirements</w:t>
        </w:r>
        <w:r w:rsidR="008A7DC5">
          <w:rPr>
            <w:webHidden/>
          </w:rPr>
          <w:tab/>
        </w:r>
        <w:r w:rsidR="008A7DC5">
          <w:rPr>
            <w:webHidden/>
          </w:rPr>
          <w:fldChar w:fldCharType="begin"/>
        </w:r>
        <w:r w:rsidR="008A7DC5">
          <w:rPr>
            <w:webHidden/>
          </w:rPr>
          <w:instrText xml:space="preserve"> PAGEREF _Toc390429533 \h </w:instrText>
        </w:r>
        <w:r w:rsidR="008A7DC5">
          <w:rPr>
            <w:webHidden/>
          </w:rPr>
        </w:r>
        <w:r w:rsidR="008A7DC5">
          <w:rPr>
            <w:webHidden/>
          </w:rPr>
          <w:fldChar w:fldCharType="separate"/>
        </w:r>
        <w:r w:rsidR="00B97287">
          <w:rPr>
            <w:webHidden/>
          </w:rPr>
          <w:t>42</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34" w:history="1">
        <w:r w:rsidR="008A7DC5" w:rsidRPr="006F5405">
          <w:rPr>
            <w:rStyle w:val="Hyperlink"/>
          </w:rPr>
          <w:t>Expanding recognition of the Scheme</w:t>
        </w:r>
        <w:r w:rsidR="008A7DC5">
          <w:rPr>
            <w:webHidden/>
          </w:rPr>
          <w:tab/>
        </w:r>
        <w:r w:rsidR="008A7DC5">
          <w:rPr>
            <w:webHidden/>
          </w:rPr>
          <w:fldChar w:fldCharType="begin"/>
        </w:r>
        <w:r w:rsidR="008A7DC5">
          <w:rPr>
            <w:webHidden/>
          </w:rPr>
          <w:instrText xml:space="preserve"> PAGEREF _Toc390429534 \h </w:instrText>
        </w:r>
        <w:r w:rsidR="008A7DC5">
          <w:rPr>
            <w:webHidden/>
          </w:rPr>
        </w:r>
        <w:r w:rsidR="008A7DC5">
          <w:rPr>
            <w:webHidden/>
          </w:rPr>
          <w:fldChar w:fldCharType="separate"/>
        </w:r>
        <w:r w:rsidR="00B97287">
          <w:rPr>
            <w:webHidden/>
          </w:rPr>
          <w:t>43</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5" w:history="1">
        <w:r w:rsidR="008A7DC5" w:rsidRPr="006F5405">
          <w:rPr>
            <w:rStyle w:val="Hyperlink"/>
          </w:rPr>
          <w:t>Whole of Government approach to construction work</w:t>
        </w:r>
        <w:r w:rsidR="008A7DC5">
          <w:rPr>
            <w:webHidden/>
          </w:rPr>
          <w:tab/>
        </w:r>
        <w:r w:rsidR="008A7DC5">
          <w:rPr>
            <w:webHidden/>
          </w:rPr>
          <w:fldChar w:fldCharType="begin"/>
        </w:r>
        <w:r w:rsidR="008A7DC5">
          <w:rPr>
            <w:webHidden/>
          </w:rPr>
          <w:instrText xml:space="preserve"> PAGEREF _Toc390429535 \h </w:instrText>
        </w:r>
        <w:r w:rsidR="008A7DC5">
          <w:rPr>
            <w:webHidden/>
          </w:rPr>
        </w:r>
        <w:r w:rsidR="008A7DC5">
          <w:rPr>
            <w:webHidden/>
          </w:rPr>
          <w:fldChar w:fldCharType="separate"/>
        </w:r>
        <w:r w:rsidR="00B97287">
          <w:rPr>
            <w:webHidden/>
          </w:rPr>
          <w:t>44</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6" w:history="1">
        <w:r w:rsidR="008A7DC5" w:rsidRPr="006F5405">
          <w:rPr>
            <w:rStyle w:val="Hyperlink"/>
          </w:rPr>
          <w:t>Subcontractors</w:t>
        </w:r>
        <w:r w:rsidR="008A7DC5">
          <w:rPr>
            <w:webHidden/>
          </w:rPr>
          <w:tab/>
        </w:r>
        <w:r w:rsidR="008A7DC5">
          <w:rPr>
            <w:webHidden/>
          </w:rPr>
          <w:fldChar w:fldCharType="begin"/>
        </w:r>
        <w:r w:rsidR="008A7DC5">
          <w:rPr>
            <w:webHidden/>
          </w:rPr>
          <w:instrText xml:space="preserve"> PAGEREF _Toc390429536 \h </w:instrText>
        </w:r>
        <w:r w:rsidR="008A7DC5">
          <w:rPr>
            <w:webHidden/>
          </w:rPr>
        </w:r>
        <w:r w:rsidR="008A7DC5">
          <w:rPr>
            <w:webHidden/>
          </w:rPr>
          <w:fldChar w:fldCharType="separate"/>
        </w:r>
        <w:r w:rsidR="00B97287">
          <w:rPr>
            <w:webHidden/>
          </w:rPr>
          <w:t>45</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7" w:history="1">
        <w:r w:rsidR="008A7DC5" w:rsidRPr="006F5405">
          <w:rPr>
            <w:rStyle w:val="Hyperlink"/>
          </w:rPr>
          <w:t>International companies</w:t>
        </w:r>
        <w:r w:rsidR="008A7DC5">
          <w:rPr>
            <w:webHidden/>
          </w:rPr>
          <w:tab/>
        </w:r>
        <w:r w:rsidR="008A7DC5">
          <w:rPr>
            <w:webHidden/>
          </w:rPr>
          <w:fldChar w:fldCharType="begin"/>
        </w:r>
        <w:r w:rsidR="008A7DC5">
          <w:rPr>
            <w:webHidden/>
          </w:rPr>
          <w:instrText xml:space="preserve"> PAGEREF _Toc390429537 \h </w:instrText>
        </w:r>
        <w:r w:rsidR="008A7DC5">
          <w:rPr>
            <w:webHidden/>
          </w:rPr>
        </w:r>
        <w:r w:rsidR="008A7DC5">
          <w:rPr>
            <w:webHidden/>
          </w:rPr>
          <w:fldChar w:fldCharType="separate"/>
        </w:r>
        <w:r w:rsidR="00B97287">
          <w:rPr>
            <w:webHidden/>
          </w:rPr>
          <w:t>46</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38" w:history="1">
        <w:r w:rsidR="008A7DC5" w:rsidRPr="006F5405">
          <w:rPr>
            <w:rStyle w:val="Hyperlink"/>
          </w:rPr>
          <w:t>Appendices</w:t>
        </w:r>
        <w:r w:rsidR="008A7DC5">
          <w:rPr>
            <w:webHidden/>
          </w:rPr>
          <w:tab/>
        </w:r>
        <w:r w:rsidR="008A7DC5">
          <w:rPr>
            <w:webHidden/>
          </w:rPr>
          <w:fldChar w:fldCharType="begin"/>
        </w:r>
        <w:r w:rsidR="008A7DC5">
          <w:rPr>
            <w:webHidden/>
          </w:rPr>
          <w:instrText xml:space="preserve"> PAGEREF _Toc390429538 \h </w:instrText>
        </w:r>
        <w:r w:rsidR="008A7DC5">
          <w:rPr>
            <w:webHidden/>
          </w:rPr>
        </w:r>
        <w:r w:rsidR="008A7DC5">
          <w:rPr>
            <w:webHidden/>
          </w:rPr>
          <w:fldChar w:fldCharType="separate"/>
        </w:r>
        <w:r w:rsidR="00B97287">
          <w:rPr>
            <w:webHidden/>
          </w:rPr>
          <w:t>49</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39" w:history="1">
        <w:r w:rsidR="008A7DC5" w:rsidRPr="006F5405">
          <w:rPr>
            <w:rStyle w:val="Hyperlink"/>
          </w:rPr>
          <w:t>Australian Government Building and Construction OHS Accreditation Scheme - how does the Scheme operate?</w:t>
        </w:r>
        <w:r w:rsidR="008A7DC5">
          <w:rPr>
            <w:webHidden/>
          </w:rPr>
          <w:tab/>
        </w:r>
        <w:r w:rsidR="008A7DC5">
          <w:rPr>
            <w:webHidden/>
          </w:rPr>
          <w:fldChar w:fldCharType="begin"/>
        </w:r>
        <w:r w:rsidR="008A7DC5">
          <w:rPr>
            <w:webHidden/>
          </w:rPr>
          <w:instrText xml:space="preserve"> PAGEREF _Toc390429539 \h </w:instrText>
        </w:r>
        <w:r w:rsidR="008A7DC5">
          <w:rPr>
            <w:webHidden/>
          </w:rPr>
        </w:r>
        <w:r w:rsidR="008A7DC5">
          <w:rPr>
            <w:webHidden/>
          </w:rPr>
          <w:fldChar w:fldCharType="separate"/>
        </w:r>
        <w:r w:rsidR="00B97287">
          <w:rPr>
            <w:webHidden/>
          </w:rPr>
          <w:t>49</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40" w:history="1">
        <w:r w:rsidR="008A7DC5" w:rsidRPr="006F5405">
          <w:rPr>
            <w:rStyle w:val="Hyperlink"/>
          </w:rPr>
          <w:t>Links Between Workforce Health and Safety and Productivity: Broader Research</w:t>
        </w:r>
        <w:r w:rsidR="008A7DC5">
          <w:rPr>
            <w:webHidden/>
          </w:rPr>
          <w:tab/>
        </w:r>
        <w:r w:rsidR="008A7DC5">
          <w:rPr>
            <w:webHidden/>
          </w:rPr>
          <w:fldChar w:fldCharType="begin"/>
        </w:r>
        <w:r w:rsidR="008A7DC5">
          <w:rPr>
            <w:webHidden/>
          </w:rPr>
          <w:instrText xml:space="preserve"> PAGEREF _Toc390429540 \h </w:instrText>
        </w:r>
        <w:r w:rsidR="008A7DC5">
          <w:rPr>
            <w:webHidden/>
          </w:rPr>
        </w:r>
        <w:r w:rsidR="008A7DC5">
          <w:rPr>
            <w:webHidden/>
          </w:rPr>
          <w:fldChar w:fldCharType="separate"/>
        </w:r>
        <w:r w:rsidR="00B97287">
          <w:rPr>
            <w:webHidden/>
          </w:rPr>
          <w:t>51</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41" w:history="1">
        <w:r w:rsidR="008A7DC5" w:rsidRPr="006F5405">
          <w:rPr>
            <w:rStyle w:val="Hyperlink"/>
          </w:rPr>
          <w:t>Safe Work Method Statements</w:t>
        </w:r>
        <w:r w:rsidR="008A7DC5">
          <w:rPr>
            <w:webHidden/>
          </w:rPr>
          <w:tab/>
        </w:r>
        <w:r w:rsidR="008A7DC5">
          <w:rPr>
            <w:webHidden/>
          </w:rPr>
          <w:fldChar w:fldCharType="begin"/>
        </w:r>
        <w:r w:rsidR="008A7DC5">
          <w:rPr>
            <w:webHidden/>
          </w:rPr>
          <w:instrText xml:space="preserve"> PAGEREF _Toc390429541 \h </w:instrText>
        </w:r>
        <w:r w:rsidR="008A7DC5">
          <w:rPr>
            <w:webHidden/>
          </w:rPr>
        </w:r>
        <w:r w:rsidR="008A7DC5">
          <w:rPr>
            <w:webHidden/>
          </w:rPr>
          <w:fldChar w:fldCharType="separate"/>
        </w:r>
        <w:r w:rsidR="00B97287">
          <w:rPr>
            <w:webHidden/>
          </w:rPr>
          <w:t>54</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42" w:history="1">
        <w:r w:rsidR="008A7DC5" w:rsidRPr="006F5405">
          <w:rPr>
            <w:rStyle w:val="Hyperlink"/>
          </w:rPr>
          <w:t>Federal Safety Officers</w:t>
        </w:r>
        <w:r w:rsidR="008A7DC5">
          <w:rPr>
            <w:webHidden/>
          </w:rPr>
          <w:tab/>
        </w:r>
        <w:r w:rsidR="008A7DC5">
          <w:rPr>
            <w:webHidden/>
          </w:rPr>
          <w:fldChar w:fldCharType="begin"/>
        </w:r>
        <w:r w:rsidR="008A7DC5">
          <w:rPr>
            <w:webHidden/>
          </w:rPr>
          <w:instrText xml:space="preserve"> PAGEREF _Toc390429542 \h </w:instrText>
        </w:r>
        <w:r w:rsidR="008A7DC5">
          <w:rPr>
            <w:webHidden/>
          </w:rPr>
        </w:r>
        <w:r w:rsidR="008A7DC5">
          <w:rPr>
            <w:webHidden/>
          </w:rPr>
          <w:fldChar w:fldCharType="separate"/>
        </w:r>
        <w:r w:rsidR="00B97287">
          <w:rPr>
            <w:webHidden/>
          </w:rPr>
          <w:t>55</w:t>
        </w:r>
        <w:r w:rsidR="008A7DC5">
          <w:rPr>
            <w:webHidden/>
          </w:rPr>
          <w:fldChar w:fldCharType="end"/>
        </w:r>
      </w:hyperlink>
    </w:p>
    <w:p w:rsidR="008A7DC5" w:rsidRDefault="002F3FF6">
      <w:pPr>
        <w:pStyle w:val="TOC1"/>
        <w:rPr>
          <w:rFonts w:asciiTheme="minorHAnsi" w:eastAsiaTheme="minorEastAsia" w:hAnsiTheme="minorHAnsi" w:cstheme="minorBidi"/>
        </w:rPr>
      </w:pPr>
      <w:hyperlink w:anchor="_Toc390429543" w:history="1">
        <w:r w:rsidR="008A7DC5" w:rsidRPr="006F5405">
          <w:rPr>
            <w:rStyle w:val="Hyperlink"/>
          </w:rPr>
          <w:t>Attachments</w:t>
        </w:r>
        <w:r w:rsidR="008A7DC5">
          <w:rPr>
            <w:webHidden/>
          </w:rPr>
          <w:tab/>
        </w:r>
        <w:r w:rsidR="008A7DC5">
          <w:rPr>
            <w:webHidden/>
          </w:rPr>
          <w:fldChar w:fldCharType="begin"/>
        </w:r>
        <w:r w:rsidR="008A7DC5">
          <w:rPr>
            <w:webHidden/>
          </w:rPr>
          <w:instrText xml:space="preserve"> PAGEREF _Toc390429543 \h </w:instrText>
        </w:r>
        <w:r w:rsidR="008A7DC5">
          <w:rPr>
            <w:webHidden/>
          </w:rPr>
        </w:r>
        <w:r w:rsidR="008A7DC5">
          <w:rPr>
            <w:webHidden/>
          </w:rPr>
          <w:fldChar w:fldCharType="separate"/>
        </w:r>
        <w:r w:rsidR="00B97287">
          <w:rPr>
            <w:webHidden/>
          </w:rPr>
          <w:t>57</w:t>
        </w:r>
        <w:r w:rsidR="008A7DC5">
          <w:rPr>
            <w:webHidden/>
          </w:rPr>
          <w:fldChar w:fldCharType="end"/>
        </w:r>
      </w:hyperlink>
    </w:p>
    <w:p w:rsidR="008A7DC5" w:rsidRDefault="002F3FF6">
      <w:pPr>
        <w:pStyle w:val="TOC2"/>
        <w:rPr>
          <w:rFonts w:asciiTheme="minorHAnsi" w:eastAsiaTheme="minorEastAsia" w:hAnsiTheme="minorHAnsi" w:cstheme="minorBidi"/>
        </w:rPr>
      </w:pPr>
      <w:hyperlink w:anchor="_Toc390429544" w:history="1">
        <w:r w:rsidR="008A7DC5" w:rsidRPr="006F5405">
          <w:rPr>
            <w:rStyle w:val="Hyperlink"/>
          </w:rPr>
          <w:t>Terms of Reference</w:t>
        </w:r>
        <w:r w:rsidR="008A7DC5">
          <w:rPr>
            <w:webHidden/>
          </w:rPr>
          <w:tab/>
        </w:r>
        <w:r w:rsidR="008A7DC5">
          <w:rPr>
            <w:webHidden/>
          </w:rPr>
          <w:fldChar w:fldCharType="begin"/>
        </w:r>
        <w:r w:rsidR="008A7DC5">
          <w:rPr>
            <w:webHidden/>
          </w:rPr>
          <w:instrText xml:space="preserve"> PAGEREF _Toc390429544 \h </w:instrText>
        </w:r>
        <w:r w:rsidR="008A7DC5">
          <w:rPr>
            <w:webHidden/>
          </w:rPr>
        </w:r>
        <w:r w:rsidR="008A7DC5">
          <w:rPr>
            <w:webHidden/>
          </w:rPr>
          <w:fldChar w:fldCharType="separate"/>
        </w:r>
        <w:r w:rsidR="00B97287">
          <w:rPr>
            <w:webHidden/>
          </w:rPr>
          <w:t>57</w:t>
        </w:r>
        <w:r w:rsidR="008A7DC5">
          <w:rPr>
            <w:webHidden/>
          </w:rPr>
          <w:fldChar w:fldCharType="end"/>
        </w:r>
      </w:hyperlink>
    </w:p>
    <w:p w:rsidR="007B5A3A" w:rsidRDefault="00793E83" w:rsidP="00D01E0E">
      <w:pPr>
        <w:pStyle w:val="TOC2"/>
        <w:sectPr w:rsidR="007B5A3A" w:rsidSect="0044203F">
          <w:headerReference w:type="default" r:id="rId13"/>
          <w:pgSz w:w="11906" w:h="16838" w:code="9"/>
          <w:pgMar w:top="1418" w:right="1134" w:bottom="1418" w:left="1418" w:header="567" w:footer="567" w:gutter="0"/>
          <w:cols w:space="708"/>
          <w:docGrid w:linePitch="360"/>
        </w:sectPr>
      </w:pPr>
      <w:r>
        <w:fldChar w:fldCharType="end"/>
      </w:r>
    </w:p>
    <w:p w:rsidR="0081575B" w:rsidRDefault="0081575B" w:rsidP="00226B47">
      <w:pPr>
        <w:pStyle w:val="Heading1"/>
      </w:pPr>
      <w:bookmarkStart w:id="1" w:name="_Toc390429499"/>
      <w:r w:rsidRPr="000C2CC1">
        <w:lastRenderedPageBreak/>
        <w:t xml:space="preserve">Executive </w:t>
      </w:r>
      <w:r w:rsidR="00AE5A5A" w:rsidRPr="000C2CC1">
        <w:t>S</w:t>
      </w:r>
      <w:r w:rsidRPr="000C2CC1">
        <w:t>ummary</w:t>
      </w:r>
      <w:bookmarkEnd w:id="1"/>
    </w:p>
    <w:p w:rsidR="00226B47" w:rsidRDefault="00226B47" w:rsidP="00ED251D">
      <w:pPr>
        <w:pStyle w:val="Heading3"/>
      </w:pPr>
    </w:p>
    <w:p w:rsidR="002E683C" w:rsidRPr="003005B9" w:rsidRDefault="002E683C" w:rsidP="00226B47">
      <w:pPr>
        <w:pStyle w:val="Heading2"/>
      </w:pPr>
      <w:r w:rsidRPr="003005B9">
        <w:t>Background</w:t>
      </w:r>
    </w:p>
    <w:p w:rsidR="002E683C" w:rsidRDefault="002E683C" w:rsidP="0081575B"/>
    <w:p w:rsidR="0081575B" w:rsidRDefault="0081575B" w:rsidP="00793E83">
      <w:pPr>
        <w:rPr>
          <w:rFonts w:ascii="Arial" w:hAnsi="Arial" w:cs="Arial"/>
          <w:sz w:val="22"/>
          <w:szCs w:val="22"/>
        </w:rPr>
      </w:pPr>
      <w:r w:rsidRPr="00793E83">
        <w:rPr>
          <w:rFonts w:ascii="Arial" w:hAnsi="Arial" w:cs="Arial"/>
          <w:sz w:val="22"/>
          <w:szCs w:val="22"/>
        </w:rPr>
        <w:t xml:space="preserve">The </w:t>
      </w:r>
      <w:r w:rsidR="00716939" w:rsidRPr="00793E83">
        <w:rPr>
          <w:rFonts w:ascii="Arial" w:hAnsi="Arial" w:cs="Arial"/>
          <w:sz w:val="22"/>
          <w:szCs w:val="22"/>
        </w:rPr>
        <w:t xml:space="preserve">Australian Government Building and Construction OHS Accreditation </w:t>
      </w:r>
      <w:r w:rsidRPr="00793E83">
        <w:rPr>
          <w:rFonts w:ascii="Arial" w:hAnsi="Arial" w:cs="Arial"/>
          <w:sz w:val="22"/>
          <w:szCs w:val="22"/>
        </w:rPr>
        <w:t xml:space="preserve">Scheme </w:t>
      </w:r>
      <w:r w:rsidR="002E683C">
        <w:rPr>
          <w:rFonts w:ascii="Arial" w:hAnsi="Arial" w:cs="Arial"/>
          <w:sz w:val="22"/>
          <w:szCs w:val="22"/>
        </w:rPr>
        <w:t xml:space="preserve">(the Scheme) </w:t>
      </w:r>
      <w:r w:rsidRPr="00793E83">
        <w:rPr>
          <w:rFonts w:ascii="Arial" w:hAnsi="Arial" w:cs="Arial"/>
          <w:sz w:val="22"/>
          <w:szCs w:val="22"/>
        </w:rPr>
        <w:t xml:space="preserve">was established by the </w:t>
      </w:r>
      <w:r w:rsidR="005028C1">
        <w:rPr>
          <w:rFonts w:ascii="Arial" w:hAnsi="Arial" w:cs="Arial"/>
          <w:sz w:val="22"/>
          <w:szCs w:val="22"/>
        </w:rPr>
        <w:t>Austra</w:t>
      </w:r>
      <w:r w:rsidR="007C578B">
        <w:rPr>
          <w:rFonts w:ascii="Arial" w:hAnsi="Arial" w:cs="Arial"/>
          <w:sz w:val="22"/>
          <w:szCs w:val="22"/>
        </w:rPr>
        <w:t>lian</w:t>
      </w:r>
      <w:r w:rsidR="007C578B" w:rsidRPr="00793E83">
        <w:rPr>
          <w:rFonts w:ascii="Arial" w:hAnsi="Arial" w:cs="Arial"/>
          <w:sz w:val="22"/>
          <w:szCs w:val="22"/>
        </w:rPr>
        <w:t xml:space="preserve"> </w:t>
      </w:r>
      <w:r w:rsidRPr="00793E83">
        <w:rPr>
          <w:rFonts w:ascii="Arial" w:hAnsi="Arial" w:cs="Arial"/>
          <w:sz w:val="22"/>
          <w:szCs w:val="22"/>
        </w:rPr>
        <w:t>Government</w:t>
      </w:r>
      <w:r w:rsidR="00CC7C8F">
        <w:rPr>
          <w:rFonts w:ascii="Arial" w:hAnsi="Arial" w:cs="Arial"/>
          <w:sz w:val="22"/>
          <w:szCs w:val="22"/>
        </w:rPr>
        <w:t xml:space="preserve"> (the Government)</w:t>
      </w:r>
      <w:r w:rsidRPr="00793E83">
        <w:rPr>
          <w:rFonts w:ascii="Arial" w:hAnsi="Arial" w:cs="Arial"/>
          <w:sz w:val="22"/>
          <w:szCs w:val="22"/>
        </w:rPr>
        <w:t xml:space="preserve"> in 2006 in response to the Cole Royal Commission’s conclusion that the safety record in the building and construction industry was unacceptable. It recommended that the Government use its influence as a client and provider of capital to foster improved performance.</w:t>
      </w:r>
    </w:p>
    <w:p w:rsidR="002E683C" w:rsidRDefault="002E683C" w:rsidP="00793E83">
      <w:pPr>
        <w:rPr>
          <w:rFonts w:ascii="Arial" w:hAnsi="Arial" w:cs="Arial"/>
          <w:sz w:val="22"/>
          <w:szCs w:val="22"/>
        </w:rPr>
      </w:pPr>
    </w:p>
    <w:p w:rsidR="002E683C" w:rsidRPr="002E683C" w:rsidRDefault="002E683C" w:rsidP="002E683C">
      <w:pPr>
        <w:rPr>
          <w:rFonts w:ascii="Arial" w:hAnsi="Arial" w:cs="Arial"/>
          <w:sz w:val="22"/>
          <w:szCs w:val="22"/>
        </w:rPr>
      </w:pPr>
      <w:r>
        <w:rPr>
          <w:rFonts w:ascii="Arial" w:hAnsi="Arial" w:cs="Arial"/>
          <w:sz w:val="22"/>
          <w:szCs w:val="22"/>
        </w:rPr>
        <w:t>T</w:t>
      </w:r>
      <w:r w:rsidRPr="002E683C">
        <w:rPr>
          <w:rFonts w:ascii="Arial" w:hAnsi="Arial" w:cs="Arial"/>
          <w:sz w:val="22"/>
          <w:szCs w:val="22"/>
        </w:rPr>
        <w:t xml:space="preserve">he Government established the </w:t>
      </w:r>
      <w:r w:rsidR="00296333">
        <w:rPr>
          <w:rFonts w:ascii="Arial" w:hAnsi="Arial" w:cs="Arial"/>
          <w:sz w:val="22"/>
          <w:szCs w:val="22"/>
        </w:rPr>
        <w:t xml:space="preserve">Office of the </w:t>
      </w:r>
      <w:r w:rsidRPr="002E683C">
        <w:rPr>
          <w:rFonts w:ascii="Arial" w:hAnsi="Arial" w:cs="Arial"/>
          <w:sz w:val="22"/>
          <w:szCs w:val="22"/>
        </w:rPr>
        <w:t>Federal Safety Commissioner (</w:t>
      </w:r>
      <w:r w:rsidR="00296333">
        <w:rPr>
          <w:rFonts w:ascii="Arial" w:hAnsi="Arial" w:cs="Arial"/>
          <w:sz w:val="22"/>
          <w:szCs w:val="22"/>
        </w:rPr>
        <w:t>O</w:t>
      </w:r>
      <w:r w:rsidRPr="002E683C">
        <w:rPr>
          <w:rFonts w:ascii="Arial" w:hAnsi="Arial" w:cs="Arial"/>
          <w:sz w:val="22"/>
          <w:szCs w:val="22"/>
        </w:rPr>
        <w:t xml:space="preserve">FSC) to develop, implement and administer </w:t>
      </w:r>
      <w:r>
        <w:rPr>
          <w:rFonts w:ascii="Arial" w:hAnsi="Arial" w:cs="Arial"/>
          <w:sz w:val="22"/>
          <w:szCs w:val="22"/>
        </w:rPr>
        <w:t>the S</w:t>
      </w:r>
      <w:r w:rsidRPr="002E683C">
        <w:rPr>
          <w:rFonts w:ascii="Arial" w:hAnsi="Arial" w:cs="Arial"/>
          <w:sz w:val="22"/>
          <w:szCs w:val="22"/>
        </w:rPr>
        <w:t xml:space="preserve">cheme </w:t>
      </w:r>
      <w:r w:rsidR="00296333">
        <w:rPr>
          <w:rFonts w:ascii="Arial" w:hAnsi="Arial" w:cs="Arial"/>
          <w:sz w:val="22"/>
          <w:szCs w:val="22"/>
        </w:rPr>
        <w:t xml:space="preserve">to apply to </w:t>
      </w:r>
      <w:r w:rsidRPr="002E683C">
        <w:rPr>
          <w:rFonts w:ascii="Arial" w:hAnsi="Arial" w:cs="Arial"/>
          <w:sz w:val="22"/>
          <w:szCs w:val="22"/>
        </w:rPr>
        <w:t>Government building and construction work</w:t>
      </w:r>
      <w:r w:rsidR="008F3909">
        <w:rPr>
          <w:rFonts w:ascii="Arial" w:hAnsi="Arial" w:cs="Arial"/>
          <w:sz w:val="22"/>
          <w:szCs w:val="22"/>
        </w:rPr>
        <w:t>.</w:t>
      </w:r>
      <w:r w:rsidR="001E43FA">
        <w:rPr>
          <w:rFonts w:ascii="Arial" w:hAnsi="Arial" w:cs="Arial"/>
          <w:sz w:val="22"/>
          <w:szCs w:val="22"/>
        </w:rPr>
        <w:t xml:space="preserve"> O</w:t>
      </w:r>
      <w:r w:rsidR="006B10F6">
        <w:rPr>
          <w:rFonts w:ascii="Arial" w:hAnsi="Arial" w:cs="Arial"/>
          <w:sz w:val="22"/>
          <w:szCs w:val="22"/>
        </w:rPr>
        <w:t xml:space="preserve">nly companies accredited under the Scheme are eligible to undertake </w:t>
      </w:r>
      <w:r w:rsidR="00DF5B66">
        <w:rPr>
          <w:rFonts w:ascii="Arial" w:hAnsi="Arial" w:cs="Arial"/>
          <w:sz w:val="22"/>
          <w:szCs w:val="22"/>
        </w:rPr>
        <w:t>Commonwealth</w:t>
      </w:r>
      <w:r w:rsidR="006B10F6">
        <w:rPr>
          <w:rFonts w:ascii="Arial" w:hAnsi="Arial" w:cs="Arial"/>
          <w:sz w:val="22"/>
          <w:szCs w:val="22"/>
        </w:rPr>
        <w:t xml:space="preserve"> Government funded building projects </w:t>
      </w:r>
      <w:r w:rsidR="001E43FA">
        <w:rPr>
          <w:rFonts w:ascii="Arial" w:hAnsi="Arial" w:cs="Arial"/>
          <w:sz w:val="22"/>
          <w:szCs w:val="22"/>
        </w:rPr>
        <w:t>above</w:t>
      </w:r>
      <w:r w:rsidR="006B10F6">
        <w:rPr>
          <w:rFonts w:ascii="Arial" w:hAnsi="Arial" w:cs="Arial"/>
          <w:sz w:val="22"/>
          <w:szCs w:val="22"/>
        </w:rPr>
        <w:t xml:space="preserve"> certain financial thresholds (outlined in the section titled ‘</w:t>
      </w:r>
      <w:r w:rsidR="00DF5B66">
        <w:rPr>
          <w:rFonts w:ascii="Arial" w:hAnsi="Arial" w:cs="Arial"/>
          <w:sz w:val="22"/>
          <w:szCs w:val="22"/>
        </w:rPr>
        <w:t>C</w:t>
      </w:r>
      <w:r w:rsidR="006B10F6">
        <w:rPr>
          <w:rFonts w:ascii="Arial" w:hAnsi="Arial" w:cs="Arial"/>
          <w:sz w:val="22"/>
          <w:szCs w:val="22"/>
        </w:rPr>
        <w:t xml:space="preserve">urrent </w:t>
      </w:r>
      <w:r w:rsidR="00DF5B66">
        <w:rPr>
          <w:rFonts w:ascii="Arial" w:hAnsi="Arial" w:cs="Arial"/>
          <w:sz w:val="22"/>
          <w:szCs w:val="22"/>
        </w:rPr>
        <w:t>T</w:t>
      </w:r>
      <w:r w:rsidR="006B10F6">
        <w:rPr>
          <w:rFonts w:ascii="Arial" w:hAnsi="Arial" w:cs="Arial"/>
          <w:sz w:val="22"/>
          <w:szCs w:val="22"/>
        </w:rPr>
        <w:t>hresholds’</w:t>
      </w:r>
      <w:r w:rsidR="001E43FA">
        <w:rPr>
          <w:rFonts w:ascii="Arial" w:hAnsi="Arial" w:cs="Arial"/>
          <w:sz w:val="22"/>
          <w:szCs w:val="22"/>
        </w:rPr>
        <w:t>)</w:t>
      </w:r>
      <w:r w:rsidR="006B10F6">
        <w:rPr>
          <w:rFonts w:ascii="Arial" w:hAnsi="Arial" w:cs="Arial"/>
          <w:sz w:val="22"/>
          <w:szCs w:val="22"/>
        </w:rPr>
        <w:t>.</w:t>
      </w:r>
      <w:r w:rsidR="00521F02">
        <w:rPr>
          <w:rFonts w:ascii="Arial" w:hAnsi="Arial" w:cs="Arial"/>
          <w:sz w:val="22"/>
          <w:szCs w:val="22"/>
        </w:rPr>
        <w:t xml:space="preserve"> The 321 currently accredited companies are estimated to account for 30 to 50 per cent of annual financial turnover in the building industry.</w:t>
      </w:r>
    </w:p>
    <w:p w:rsidR="002E683C" w:rsidRPr="00793E83" w:rsidRDefault="002E683C" w:rsidP="00793E83">
      <w:pPr>
        <w:rPr>
          <w:rFonts w:ascii="Arial" w:hAnsi="Arial" w:cs="Arial"/>
          <w:sz w:val="22"/>
          <w:szCs w:val="22"/>
        </w:rPr>
      </w:pPr>
    </w:p>
    <w:p w:rsidR="0081575B" w:rsidRPr="00793E83" w:rsidRDefault="002E683C" w:rsidP="00793E83">
      <w:pPr>
        <w:rPr>
          <w:rFonts w:ascii="Arial" w:hAnsi="Arial" w:cs="Arial"/>
          <w:sz w:val="22"/>
          <w:szCs w:val="22"/>
        </w:rPr>
      </w:pPr>
      <w:r>
        <w:rPr>
          <w:rFonts w:ascii="Arial" w:hAnsi="Arial" w:cs="Arial"/>
          <w:sz w:val="22"/>
          <w:szCs w:val="22"/>
        </w:rPr>
        <w:t xml:space="preserve">In </w:t>
      </w:r>
      <w:r w:rsidR="00521F02">
        <w:rPr>
          <w:rFonts w:ascii="Arial" w:hAnsi="Arial" w:cs="Arial"/>
          <w:sz w:val="22"/>
          <w:szCs w:val="22"/>
        </w:rPr>
        <w:t xml:space="preserve">October </w:t>
      </w:r>
      <w:r>
        <w:rPr>
          <w:rFonts w:ascii="Arial" w:hAnsi="Arial" w:cs="Arial"/>
          <w:sz w:val="22"/>
          <w:szCs w:val="22"/>
        </w:rPr>
        <w:t>2013, t</w:t>
      </w:r>
      <w:r w:rsidR="0081575B" w:rsidRPr="00793E83">
        <w:rPr>
          <w:rFonts w:ascii="Arial" w:hAnsi="Arial" w:cs="Arial"/>
          <w:sz w:val="22"/>
          <w:szCs w:val="22"/>
        </w:rPr>
        <w:t xml:space="preserve">he </w:t>
      </w:r>
      <w:r w:rsidR="00521F02">
        <w:rPr>
          <w:rFonts w:ascii="Arial" w:hAnsi="Arial" w:cs="Arial"/>
          <w:sz w:val="22"/>
          <w:szCs w:val="22"/>
        </w:rPr>
        <w:t>G</w:t>
      </w:r>
      <w:r w:rsidR="0081575B" w:rsidRPr="00793E83">
        <w:rPr>
          <w:rFonts w:ascii="Arial" w:hAnsi="Arial" w:cs="Arial"/>
          <w:sz w:val="22"/>
          <w:szCs w:val="22"/>
        </w:rPr>
        <w:t xml:space="preserve">overnment, while strongly supporting </w:t>
      </w:r>
      <w:r w:rsidR="00270FB0" w:rsidRPr="00793E83">
        <w:rPr>
          <w:rFonts w:ascii="Arial" w:hAnsi="Arial" w:cs="Arial"/>
          <w:sz w:val="22"/>
          <w:szCs w:val="22"/>
        </w:rPr>
        <w:t xml:space="preserve">the </w:t>
      </w:r>
      <w:r w:rsidR="0081575B" w:rsidRPr="00793E83">
        <w:rPr>
          <w:rFonts w:ascii="Arial" w:hAnsi="Arial" w:cs="Arial"/>
          <w:sz w:val="22"/>
          <w:szCs w:val="22"/>
        </w:rPr>
        <w:t xml:space="preserve">Scheme, asked the Department </w:t>
      </w:r>
      <w:r w:rsidR="00270FB0" w:rsidRPr="00793E83">
        <w:rPr>
          <w:rFonts w:ascii="Arial" w:hAnsi="Arial" w:cs="Arial"/>
          <w:sz w:val="22"/>
          <w:szCs w:val="22"/>
        </w:rPr>
        <w:t xml:space="preserve">of Employment (the Department) </w:t>
      </w:r>
      <w:r w:rsidR="0081575B" w:rsidRPr="00793E83">
        <w:rPr>
          <w:rFonts w:ascii="Arial" w:hAnsi="Arial" w:cs="Arial"/>
          <w:sz w:val="22"/>
          <w:szCs w:val="22"/>
        </w:rPr>
        <w:t xml:space="preserve">to undertake a review to identify options for streamlining and modernising the Scheme, and to reduce any unnecessary regulatory or compliance burdens on building firms. </w:t>
      </w:r>
      <w:r w:rsidR="006B10F6">
        <w:rPr>
          <w:rFonts w:ascii="Arial" w:hAnsi="Arial" w:cs="Arial"/>
          <w:sz w:val="22"/>
          <w:szCs w:val="22"/>
        </w:rPr>
        <w:t xml:space="preserve">Importantly, these factors have been considered with a view to </w:t>
      </w:r>
      <w:r w:rsidR="005D6CDB">
        <w:rPr>
          <w:rFonts w:ascii="Arial" w:hAnsi="Arial" w:cs="Arial"/>
          <w:sz w:val="22"/>
          <w:szCs w:val="22"/>
        </w:rPr>
        <w:t xml:space="preserve">at least </w:t>
      </w:r>
      <w:r w:rsidR="006B10F6">
        <w:rPr>
          <w:rFonts w:ascii="Arial" w:hAnsi="Arial" w:cs="Arial"/>
          <w:sz w:val="22"/>
          <w:szCs w:val="22"/>
        </w:rPr>
        <w:t xml:space="preserve">maintaining the safety outcomes fostered by the Scheme. </w:t>
      </w:r>
      <w:r w:rsidR="0081575B" w:rsidRPr="00793E83">
        <w:rPr>
          <w:rFonts w:ascii="Arial" w:hAnsi="Arial" w:cs="Arial"/>
          <w:sz w:val="22"/>
          <w:szCs w:val="22"/>
        </w:rPr>
        <w:t xml:space="preserve">Terms of Reference </w:t>
      </w:r>
      <w:r w:rsidR="000718DD">
        <w:rPr>
          <w:rFonts w:ascii="Arial" w:hAnsi="Arial" w:cs="Arial"/>
          <w:sz w:val="22"/>
          <w:szCs w:val="22"/>
        </w:rPr>
        <w:t xml:space="preserve">of the Review </w:t>
      </w:r>
      <w:r w:rsidR="0081575B" w:rsidRPr="00793E83">
        <w:rPr>
          <w:rFonts w:ascii="Arial" w:hAnsi="Arial" w:cs="Arial"/>
          <w:sz w:val="22"/>
          <w:szCs w:val="22"/>
        </w:rPr>
        <w:t>are at</w:t>
      </w:r>
      <w:r w:rsidR="00270FB0" w:rsidRPr="00793E83">
        <w:rPr>
          <w:rFonts w:ascii="Arial" w:hAnsi="Arial" w:cs="Arial"/>
          <w:sz w:val="22"/>
          <w:szCs w:val="22"/>
        </w:rPr>
        <w:t xml:space="preserve"> Attachment</w:t>
      </w:r>
      <w:r w:rsidR="008F3909">
        <w:rPr>
          <w:rFonts w:ascii="Arial" w:hAnsi="Arial" w:cs="Arial"/>
          <w:sz w:val="22"/>
          <w:szCs w:val="22"/>
        </w:rPr>
        <w:t> </w:t>
      </w:r>
      <w:r w:rsidR="00270FB0" w:rsidRPr="00793E83">
        <w:rPr>
          <w:rFonts w:ascii="Arial" w:hAnsi="Arial" w:cs="Arial"/>
          <w:sz w:val="22"/>
          <w:szCs w:val="22"/>
        </w:rPr>
        <w:t>A.</w:t>
      </w:r>
      <w:r w:rsidR="0081575B" w:rsidRPr="00793E83">
        <w:rPr>
          <w:rFonts w:ascii="Arial" w:hAnsi="Arial" w:cs="Arial"/>
          <w:sz w:val="22"/>
          <w:szCs w:val="22"/>
        </w:rPr>
        <w:t xml:space="preserve"> </w:t>
      </w:r>
    </w:p>
    <w:p w:rsidR="0081575B" w:rsidRPr="00793E83" w:rsidRDefault="0081575B" w:rsidP="00793E83">
      <w:pPr>
        <w:rPr>
          <w:rFonts w:ascii="Arial" w:hAnsi="Arial" w:cs="Arial"/>
          <w:sz w:val="22"/>
          <w:szCs w:val="22"/>
        </w:rPr>
      </w:pPr>
    </w:p>
    <w:p w:rsidR="007C578B" w:rsidRDefault="00270FB0" w:rsidP="00793E83">
      <w:pPr>
        <w:rPr>
          <w:rFonts w:ascii="Arial" w:hAnsi="Arial" w:cs="Arial"/>
          <w:sz w:val="22"/>
          <w:szCs w:val="22"/>
        </w:rPr>
      </w:pPr>
      <w:r w:rsidRPr="00CF1650">
        <w:rPr>
          <w:rFonts w:ascii="Arial" w:hAnsi="Arial" w:cs="Arial"/>
          <w:sz w:val="22"/>
          <w:szCs w:val="22"/>
        </w:rPr>
        <w:t>The R</w:t>
      </w:r>
      <w:r w:rsidR="0081575B" w:rsidRPr="00CF1650">
        <w:rPr>
          <w:rFonts w:ascii="Arial" w:hAnsi="Arial" w:cs="Arial"/>
          <w:sz w:val="22"/>
          <w:szCs w:val="22"/>
        </w:rPr>
        <w:t xml:space="preserve">eview, the most comprehensive undertaken since the Scheme commenced, </w:t>
      </w:r>
      <w:r w:rsidR="0081575B" w:rsidRPr="00793E83">
        <w:rPr>
          <w:rFonts w:ascii="Arial" w:hAnsi="Arial" w:cs="Arial"/>
          <w:sz w:val="22"/>
          <w:szCs w:val="22"/>
        </w:rPr>
        <w:t xml:space="preserve">was informed by an Advisory Panel comprising representatives of key industry associations, unions, </w:t>
      </w:r>
      <w:r w:rsidR="00521F02">
        <w:rPr>
          <w:rFonts w:ascii="Arial" w:hAnsi="Arial" w:cs="Arial"/>
          <w:sz w:val="22"/>
          <w:szCs w:val="22"/>
        </w:rPr>
        <w:t>g</w:t>
      </w:r>
      <w:r w:rsidR="0081575B" w:rsidRPr="00793E83">
        <w:rPr>
          <w:rFonts w:ascii="Arial" w:hAnsi="Arial" w:cs="Arial"/>
          <w:sz w:val="22"/>
          <w:szCs w:val="22"/>
        </w:rPr>
        <w:t>overnment agencies and the Federal Safety Commissioner</w:t>
      </w:r>
      <w:r w:rsidRPr="00793E83">
        <w:rPr>
          <w:rFonts w:ascii="Arial" w:hAnsi="Arial" w:cs="Arial"/>
          <w:sz w:val="22"/>
          <w:szCs w:val="22"/>
        </w:rPr>
        <w:t xml:space="preserve"> (FSC)</w:t>
      </w:r>
      <w:r w:rsidR="0081575B" w:rsidRPr="00793E83">
        <w:rPr>
          <w:rFonts w:ascii="Arial" w:hAnsi="Arial" w:cs="Arial"/>
          <w:sz w:val="22"/>
          <w:szCs w:val="22"/>
        </w:rPr>
        <w:t xml:space="preserve">. Advisory Panel members consulted within their organisations and consolidated their members’ views to provide feedback and advice on possible options for change. </w:t>
      </w:r>
    </w:p>
    <w:p w:rsidR="007C578B" w:rsidRDefault="007C578B" w:rsidP="00793E83">
      <w:pPr>
        <w:rPr>
          <w:rFonts w:ascii="Arial" w:hAnsi="Arial" w:cs="Arial"/>
          <w:sz w:val="22"/>
          <w:szCs w:val="22"/>
        </w:rPr>
      </w:pPr>
    </w:p>
    <w:p w:rsidR="0081575B" w:rsidRPr="00793E83" w:rsidRDefault="0081575B" w:rsidP="00793E83">
      <w:pPr>
        <w:rPr>
          <w:rFonts w:ascii="Arial" w:hAnsi="Arial" w:cs="Arial"/>
          <w:sz w:val="22"/>
          <w:szCs w:val="22"/>
        </w:rPr>
      </w:pPr>
      <w:r w:rsidRPr="00793E83">
        <w:rPr>
          <w:rFonts w:ascii="Arial" w:hAnsi="Arial" w:cs="Arial"/>
          <w:sz w:val="22"/>
          <w:szCs w:val="22"/>
        </w:rPr>
        <w:t>Submissions were sought</w:t>
      </w:r>
      <w:r w:rsidR="00B161F8">
        <w:rPr>
          <w:rFonts w:ascii="Arial" w:hAnsi="Arial" w:cs="Arial"/>
          <w:sz w:val="22"/>
          <w:szCs w:val="22"/>
        </w:rPr>
        <w:t xml:space="preserve"> (</w:t>
      </w:r>
      <w:r w:rsidR="00DF5B66">
        <w:rPr>
          <w:rFonts w:ascii="Arial" w:hAnsi="Arial" w:cs="Arial"/>
          <w:sz w:val="22"/>
          <w:szCs w:val="22"/>
        </w:rPr>
        <w:t>with 47</w:t>
      </w:r>
      <w:r w:rsidRPr="00793E83">
        <w:rPr>
          <w:rFonts w:ascii="Arial" w:hAnsi="Arial" w:cs="Arial"/>
          <w:sz w:val="22"/>
          <w:szCs w:val="22"/>
        </w:rPr>
        <w:t xml:space="preserve"> received</w:t>
      </w:r>
      <w:r w:rsidR="00B161F8">
        <w:rPr>
          <w:rFonts w:ascii="Arial" w:hAnsi="Arial" w:cs="Arial"/>
          <w:sz w:val="22"/>
          <w:szCs w:val="22"/>
        </w:rPr>
        <w:t>)</w:t>
      </w:r>
      <w:r w:rsidRPr="00793E83">
        <w:rPr>
          <w:rFonts w:ascii="Arial" w:hAnsi="Arial" w:cs="Arial"/>
          <w:sz w:val="22"/>
          <w:szCs w:val="22"/>
        </w:rPr>
        <w:t xml:space="preserve"> in response to a Discussion Paper released on 28 February 2014. A survey of all accredited companies </w:t>
      </w:r>
      <w:r w:rsidR="008F3909">
        <w:rPr>
          <w:rFonts w:ascii="Arial" w:hAnsi="Arial" w:cs="Arial"/>
          <w:sz w:val="22"/>
          <w:szCs w:val="22"/>
        </w:rPr>
        <w:t xml:space="preserve">(the Survey) </w:t>
      </w:r>
      <w:r w:rsidRPr="00793E83">
        <w:rPr>
          <w:rFonts w:ascii="Arial" w:hAnsi="Arial" w:cs="Arial"/>
          <w:sz w:val="22"/>
          <w:szCs w:val="22"/>
        </w:rPr>
        <w:t>was</w:t>
      </w:r>
      <w:r w:rsidR="005028C1">
        <w:rPr>
          <w:rFonts w:ascii="Arial" w:hAnsi="Arial" w:cs="Arial"/>
          <w:sz w:val="22"/>
          <w:szCs w:val="22"/>
        </w:rPr>
        <w:t xml:space="preserve"> also</w:t>
      </w:r>
      <w:r w:rsidRPr="00793E83">
        <w:rPr>
          <w:rFonts w:ascii="Arial" w:hAnsi="Arial" w:cs="Arial"/>
          <w:sz w:val="22"/>
          <w:szCs w:val="22"/>
        </w:rPr>
        <w:t xml:space="preserve"> undertaken, with more than 40</w:t>
      </w:r>
      <w:r w:rsidR="00270FB0" w:rsidRPr="00793E83">
        <w:rPr>
          <w:rFonts w:ascii="Arial" w:hAnsi="Arial" w:cs="Arial"/>
          <w:sz w:val="22"/>
          <w:szCs w:val="22"/>
        </w:rPr>
        <w:t xml:space="preserve"> per cent</w:t>
      </w:r>
      <w:r w:rsidRPr="00793E83">
        <w:rPr>
          <w:rFonts w:ascii="Arial" w:hAnsi="Arial" w:cs="Arial"/>
          <w:sz w:val="22"/>
          <w:szCs w:val="22"/>
        </w:rPr>
        <w:t xml:space="preserve"> responding (126 companies), which provided the Department and </w:t>
      </w:r>
      <w:r w:rsidR="002E683C">
        <w:rPr>
          <w:rFonts w:ascii="Arial" w:hAnsi="Arial" w:cs="Arial"/>
          <w:sz w:val="22"/>
          <w:szCs w:val="22"/>
        </w:rPr>
        <w:t xml:space="preserve">the </w:t>
      </w:r>
      <w:r w:rsidRPr="00793E83">
        <w:rPr>
          <w:rFonts w:ascii="Arial" w:hAnsi="Arial" w:cs="Arial"/>
          <w:sz w:val="22"/>
          <w:szCs w:val="22"/>
        </w:rPr>
        <w:t>Advisory Panel with valuable insights into the experience of companies in gaining and maintaining accreditation.</w:t>
      </w:r>
      <w:r w:rsidR="004D2E88">
        <w:rPr>
          <w:rFonts w:ascii="Arial" w:hAnsi="Arial" w:cs="Arial"/>
          <w:sz w:val="22"/>
          <w:szCs w:val="22"/>
        </w:rPr>
        <w:t xml:space="preserve"> </w:t>
      </w:r>
    </w:p>
    <w:p w:rsidR="0081575B" w:rsidRDefault="0081575B" w:rsidP="00793E83">
      <w:pPr>
        <w:rPr>
          <w:rFonts w:ascii="Arial" w:hAnsi="Arial" w:cs="Arial"/>
          <w:sz w:val="22"/>
          <w:szCs w:val="22"/>
        </w:rPr>
      </w:pPr>
    </w:p>
    <w:p w:rsidR="002E683C" w:rsidRPr="009F6F45" w:rsidRDefault="007C578B" w:rsidP="00226B47">
      <w:pPr>
        <w:pStyle w:val="Heading2"/>
      </w:pPr>
      <w:r>
        <w:t>Findings</w:t>
      </w:r>
    </w:p>
    <w:p w:rsidR="002E683C" w:rsidRPr="00793E83" w:rsidRDefault="002E683C" w:rsidP="00793E83">
      <w:pPr>
        <w:rPr>
          <w:rFonts w:ascii="Arial" w:hAnsi="Arial" w:cs="Arial"/>
          <w:sz w:val="22"/>
          <w:szCs w:val="22"/>
        </w:rPr>
      </w:pPr>
    </w:p>
    <w:p w:rsidR="005C616E" w:rsidRDefault="0081575B" w:rsidP="00793E83">
      <w:pPr>
        <w:rPr>
          <w:rFonts w:ascii="Arial" w:hAnsi="Arial" w:cs="Arial"/>
          <w:sz w:val="22"/>
          <w:szCs w:val="22"/>
        </w:rPr>
      </w:pPr>
      <w:r w:rsidRPr="00793E83">
        <w:rPr>
          <w:rFonts w:ascii="Arial" w:hAnsi="Arial" w:cs="Arial"/>
          <w:sz w:val="22"/>
          <w:szCs w:val="22"/>
        </w:rPr>
        <w:t>There was general agreement that the Scheme sets the highest standards for safety in the industry in Australia, but concerns were raised about costs and value</w:t>
      </w:r>
      <w:r w:rsidR="005C616E">
        <w:rPr>
          <w:rFonts w:ascii="Arial" w:hAnsi="Arial" w:cs="Arial"/>
          <w:sz w:val="22"/>
          <w:szCs w:val="22"/>
        </w:rPr>
        <w:t xml:space="preserve"> for money</w:t>
      </w:r>
      <w:r w:rsidRPr="00793E83">
        <w:rPr>
          <w:rFonts w:ascii="Arial" w:hAnsi="Arial" w:cs="Arial"/>
          <w:sz w:val="22"/>
          <w:szCs w:val="22"/>
        </w:rPr>
        <w:t>, particularly for small and medium</w:t>
      </w:r>
      <w:r w:rsidR="00A95F86">
        <w:rPr>
          <w:rFonts w:ascii="Arial" w:hAnsi="Arial" w:cs="Arial"/>
          <w:sz w:val="22"/>
          <w:szCs w:val="22"/>
        </w:rPr>
        <w:t>-</w:t>
      </w:r>
      <w:r w:rsidRPr="00793E83">
        <w:rPr>
          <w:rFonts w:ascii="Arial" w:hAnsi="Arial" w:cs="Arial"/>
          <w:sz w:val="22"/>
          <w:szCs w:val="22"/>
        </w:rPr>
        <w:t xml:space="preserve">sized companies. </w:t>
      </w:r>
    </w:p>
    <w:p w:rsidR="005C616E" w:rsidRDefault="005C616E" w:rsidP="00793E83">
      <w:pPr>
        <w:rPr>
          <w:rFonts w:ascii="Arial" w:hAnsi="Arial" w:cs="Arial"/>
          <w:sz w:val="22"/>
          <w:szCs w:val="22"/>
        </w:rPr>
      </w:pPr>
    </w:p>
    <w:p w:rsidR="00B46210" w:rsidRDefault="0081575B" w:rsidP="00363782">
      <w:pPr>
        <w:tabs>
          <w:tab w:val="left" w:pos="8647"/>
        </w:tabs>
        <w:rPr>
          <w:rFonts w:ascii="Arial" w:hAnsi="Arial" w:cs="Arial"/>
          <w:sz w:val="22"/>
          <w:szCs w:val="22"/>
        </w:rPr>
      </w:pPr>
      <w:r w:rsidRPr="00793E83">
        <w:rPr>
          <w:rFonts w:ascii="Arial" w:hAnsi="Arial" w:cs="Arial"/>
          <w:sz w:val="22"/>
          <w:szCs w:val="22"/>
        </w:rPr>
        <w:t>On the benefits side, more than 80</w:t>
      </w:r>
      <w:r w:rsidR="00270FB0" w:rsidRPr="00793E83">
        <w:rPr>
          <w:rFonts w:ascii="Arial" w:hAnsi="Arial" w:cs="Arial"/>
          <w:sz w:val="22"/>
          <w:szCs w:val="22"/>
        </w:rPr>
        <w:t xml:space="preserve"> per cent</w:t>
      </w:r>
      <w:r w:rsidRPr="00793E83">
        <w:rPr>
          <w:rFonts w:ascii="Arial" w:hAnsi="Arial" w:cs="Arial"/>
          <w:sz w:val="22"/>
          <w:szCs w:val="22"/>
        </w:rPr>
        <w:t xml:space="preserve"> of accredited companies </w:t>
      </w:r>
      <w:r w:rsidR="009C6201">
        <w:rPr>
          <w:rFonts w:ascii="Arial" w:hAnsi="Arial" w:cs="Arial"/>
          <w:sz w:val="22"/>
          <w:szCs w:val="22"/>
        </w:rPr>
        <w:t xml:space="preserve">that responded to the Survey </w:t>
      </w:r>
      <w:r w:rsidRPr="00793E83">
        <w:rPr>
          <w:rFonts w:ascii="Arial" w:hAnsi="Arial" w:cs="Arial"/>
          <w:sz w:val="22"/>
          <w:szCs w:val="22"/>
        </w:rPr>
        <w:t xml:space="preserve">stated that the Scheme has improved their safety standards beyond the level </w:t>
      </w:r>
      <w:r w:rsidR="00A95F86">
        <w:rPr>
          <w:rFonts w:ascii="Arial" w:hAnsi="Arial" w:cs="Arial"/>
          <w:sz w:val="22"/>
          <w:szCs w:val="22"/>
        </w:rPr>
        <w:t>they</w:t>
      </w:r>
      <w:r w:rsidRPr="00793E83">
        <w:rPr>
          <w:rFonts w:ascii="Arial" w:hAnsi="Arial" w:cs="Arial"/>
          <w:sz w:val="22"/>
          <w:szCs w:val="22"/>
        </w:rPr>
        <w:t xml:space="preserve"> would otherwise have been, with more than 94</w:t>
      </w:r>
      <w:r w:rsidR="00270FB0" w:rsidRPr="00793E83">
        <w:rPr>
          <w:rFonts w:ascii="Arial" w:hAnsi="Arial" w:cs="Arial"/>
          <w:sz w:val="22"/>
          <w:szCs w:val="22"/>
        </w:rPr>
        <w:t xml:space="preserve"> per cent</w:t>
      </w:r>
      <w:r w:rsidRPr="00793E83">
        <w:rPr>
          <w:rFonts w:ascii="Arial" w:hAnsi="Arial" w:cs="Arial"/>
          <w:sz w:val="22"/>
          <w:szCs w:val="22"/>
        </w:rPr>
        <w:t xml:space="preserve"> of small companies having that view</w:t>
      </w:r>
      <w:r w:rsidR="005C616E">
        <w:rPr>
          <w:rFonts w:ascii="Arial" w:hAnsi="Arial" w:cs="Arial"/>
          <w:sz w:val="22"/>
          <w:szCs w:val="22"/>
        </w:rPr>
        <w:t>.</w:t>
      </w:r>
      <w:r w:rsidR="00242476" w:rsidRPr="00793E83">
        <w:rPr>
          <w:rFonts w:ascii="Arial" w:hAnsi="Arial" w:cs="Arial"/>
          <w:sz w:val="22"/>
          <w:szCs w:val="22"/>
        </w:rPr>
        <w:t xml:space="preserve"> </w:t>
      </w:r>
      <w:r w:rsidR="00615993">
        <w:rPr>
          <w:rFonts w:ascii="Arial" w:hAnsi="Arial" w:cs="Arial"/>
          <w:sz w:val="22"/>
          <w:szCs w:val="22"/>
        </w:rPr>
        <w:t>Fewer than 14 per</w:t>
      </w:r>
      <w:r w:rsidR="00363782">
        <w:rPr>
          <w:rFonts w:ascii="Arial" w:hAnsi="Arial" w:cs="Arial"/>
          <w:sz w:val="22"/>
          <w:szCs w:val="22"/>
        </w:rPr>
        <w:t xml:space="preserve"> </w:t>
      </w:r>
      <w:r w:rsidR="00615993">
        <w:rPr>
          <w:rFonts w:ascii="Arial" w:hAnsi="Arial" w:cs="Arial"/>
          <w:sz w:val="22"/>
          <w:szCs w:val="22"/>
        </w:rPr>
        <w:t xml:space="preserve">cent of respondents thought that the Scheme had </w:t>
      </w:r>
      <w:r w:rsidR="00615993" w:rsidRPr="009F6F45">
        <w:rPr>
          <w:rFonts w:ascii="Arial" w:hAnsi="Arial" w:cs="Arial"/>
          <w:sz w:val="22"/>
          <w:szCs w:val="22"/>
        </w:rPr>
        <w:t>not</w:t>
      </w:r>
      <w:r w:rsidR="00615993">
        <w:rPr>
          <w:rFonts w:ascii="Arial" w:hAnsi="Arial" w:cs="Arial"/>
          <w:sz w:val="22"/>
          <w:szCs w:val="22"/>
        </w:rPr>
        <w:t xml:space="preserve"> improved safety across the industry more broadly.</w:t>
      </w:r>
    </w:p>
    <w:p w:rsidR="00242476" w:rsidRPr="00793E83" w:rsidRDefault="00242476" w:rsidP="00242476">
      <w:pPr>
        <w:rPr>
          <w:rFonts w:ascii="Arial" w:hAnsi="Arial" w:cs="Arial"/>
          <w:sz w:val="22"/>
          <w:szCs w:val="22"/>
        </w:rPr>
      </w:pPr>
    </w:p>
    <w:p w:rsidR="0081575B" w:rsidRPr="00793E83" w:rsidRDefault="0081575B" w:rsidP="00793E83">
      <w:pPr>
        <w:rPr>
          <w:rFonts w:ascii="Arial" w:hAnsi="Arial" w:cs="Arial"/>
          <w:sz w:val="22"/>
          <w:szCs w:val="22"/>
        </w:rPr>
      </w:pPr>
      <w:r w:rsidRPr="00793E83">
        <w:rPr>
          <w:rFonts w:ascii="Arial" w:hAnsi="Arial" w:cs="Arial"/>
          <w:sz w:val="22"/>
          <w:szCs w:val="22"/>
        </w:rPr>
        <w:t xml:space="preserve">However, the majority of industry associations and many companies consider that more can be done to address barriers and costs (both actual and perceived) </w:t>
      </w:r>
      <w:r w:rsidR="00A95F86">
        <w:rPr>
          <w:rFonts w:ascii="Arial" w:hAnsi="Arial" w:cs="Arial"/>
          <w:sz w:val="22"/>
          <w:szCs w:val="22"/>
        </w:rPr>
        <w:t>of</w:t>
      </w:r>
      <w:r w:rsidRPr="00793E83">
        <w:rPr>
          <w:rFonts w:ascii="Arial" w:hAnsi="Arial" w:cs="Arial"/>
          <w:sz w:val="22"/>
          <w:szCs w:val="22"/>
        </w:rPr>
        <w:t xml:space="preserve"> participating in the Scheme. </w:t>
      </w:r>
      <w:r w:rsidR="00FE0F86">
        <w:rPr>
          <w:rFonts w:ascii="Arial" w:hAnsi="Arial" w:cs="Arial"/>
          <w:sz w:val="22"/>
          <w:szCs w:val="22"/>
        </w:rPr>
        <w:t>Overall, 60 per</w:t>
      </w:r>
      <w:r w:rsidR="00DF5B66">
        <w:rPr>
          <w:rFonts w:ascii="Arial" w:hAnsi="Arial" w:cs="Arial"/>
          <w:sz w:val="22"/>
          <w:szCs w:val="22"/>
        </w:rPr>
        <w:t xml:space="preserve"> </w:t>
      </w:r>
      <w:r w:rsidR="00FE0F86">
        <w:rPr>
          <w:rFonts w:ascii="Arial" w:hAnsi="Arial" w:cs="Arial"/>
          <w:sz w:val="22"/>
          <w:szCs w:val="22"/>
        </w:rPr>
        <w:t xml:space="preserve">cent of accredited companies thought the Scheme represented value for money, </w:t>
      </w:r>
      <w:r w:rsidR="005028C1">
        <w:rPr>
          <w:rFonts w:ascii="Arial" w:hAnsi="Arial" w:cs="Arial"/>
          <w:sz w:val="22"/>
          <w:szCs w:val="22"/>
        </w:rPr>
        <w:t>with this figure rising to</w:t>
      </w:r>
      <w:r w:rsidR="00FE0F86">
        <w:rPr>
          <w:rFonts w:ascii="Arial" w:hAnsi="Arial" w:cs="Arial"/>
          <w:sz w:val="22"/>
          <w:szCs w:val="22"/>
        </w:rPr>
        <w:t xml:space="preserve"> 80 per</w:t>
      </w:r>
      <w:r w:rsidR="002E683C">
        <w:rPr>
          <w:rFonts w:ascii="Arial" w:hAnsi="Arial" w:cs="Arial"/>
          <w:sz w:val="22"/>
          <w:szCs w:val="22"/>
        </w:rPr>
        <w:t xml:space="preserve"> </w:t>
      </w:r>
      <w:r w:rsidR="00FE0F86">
        <w:rPr>
          <w:rFonts w:ascii="Arial" w:hAnsi="Arial" w:cs="Arial"/>
          <w:sz w:val="22"/>
          <w:szCs w:val="22"/>
        </w:rPr>
        <w:t xml:space="preserve">cent </w:t>
      </w:r>
      <w:r w:rsidR="005028C1">
        <w:rPr>
          <w:rFonts w:ascii="Arial" w:hAnsi="Arial" w:cs="Arial"/>
          <w:sz w:val="22"/>
          <w:szCs w:val="22"/>
        </w:rPr>
        <w:t xml:space="preserve">for </w:t>
      </w:r>
      <w:r w:rsidR="00FE0F86">
        <w:rPr>
          <w:rFonts w:ascii="Arial" w:hAnsi="Arial" w:cs="Arial"/>
          <w:sz w:val="22"/>
          <w:szCs w:val="22"/>
        </w:rPr>
        <w:t>companies that have achieved accreditation since streamlined application processes were introduced in early 2013.</w:t>
      </w:r>
      <w:r w:rsidR="004D2E88">
        <w:rPr>
          <w:rFonts w:ascii="Arial" w:hAnsi="Arial" w:cs="Arial"/>
          <w:sz w:val="22"/>
          <w:szCs w:val="22"/>
        </w:rPr>
        <w:t xml:space="preserve">  </w:t>
      </w:r>
    </w:p>
    <w:p w:rsidR="0081575B" w:rsidRPr="00793E83" w:rsidRDefault="0081575B" w:rsidP="00793E83">
      <w:pPr>
        <w:rPr>
          <w:rFonts w:ascii="Arial" w:hAnsi="Arial" w:cs="Arial"/>
          <w:sz w:val="22"/>
          <w:szCs w:val="22"/>
        </w:rPr>
      </w:pPr>
    </w:p>
    <w:p w:rsidR="007C578B" w:rsidRDefault="0081575B" w:rsidP="00793E83">
      <w:pPr>
        <w:rPr>
          <w:rFonts w:ascii="Arial" w:hAnsi="Arial" w:cs="Arial"/>
          <w:sz w:val="22"/>
          <w:szCs w:val="22"/>
        </w:rPr>
      </w:pPr>
      <w:r w:rsidRPr="00793E83">
        <w:rPr>
          <w:rFonts w:ascii="Arial" w:hAnsi="Arial" w:cs="Arial"/>
          <w:sz w:val="22"/>
          <w:szCs w:val="22"/>
        </w:rPr>
        <w:t xml:space="preserve">In order for the Scheme to remain relevant and effective in driving safety improvements in the industry, it is important </w:t>
      </w:r>
      <w:r w:rsidR="001E43FA">
        <w:rPr>
          <w:rFonts w:ascii="Arial" w:hAnsi="Arial" w:cs="Arial"/>
          <w:sz w:val="22"/>
          <w:szCs w:val="22"/>
        </w:rPr>
        <w:t xml:space="preserve">that </w:t>
      </w:r>
      <w:r w:rsidRPr="00793E83">
        <w:rPr>
          <w:rFonts w:ascii="Arial" w:hAnsi="Arial" w:cs="Arial"/>
          <w:sz w:val="22"/>
          <w:szCs w:val="22"/>
        </w:rPr>
        <w:t>the administrative procedures and practices, and the coverage of the Scheme, be re-assessed. This is particularly important in the context of the Government’s deregulation agenda, the economic imperative of increased industry productivity and consideration of improved regulatory approaches such as those canvassed recently by the Productivity Commission</w:t>
      </w:r>
      <w:r w:rsidRPr="00793E83">
        <w:rPr>
          <w:rFonts w:ascii="Arial" w:hAnsi="Arial" w:cs="Arial"/>
          <w:sz w:val="22"/>
          <w:szCs w:val="22"/>
          <w:vertAlign w:val="superscript"/>
        </w:rPr>
        <w:footnoteReference w:id="1"/>
      </w:r>
      <w:r w:rsidRPr="00793E83">
        <w:rPr>
          <w:rFonts w:ascii="Arial" w:hAnsi="Arial" w:cs="Arial"/>
          <w:sz w:val="22"/>
          <w:szCs w:val="22"/>
        </w:rPr>
        <w:t xml:space="preserve">. </w:t>
      </w:r>
    </w:p>
    <w:p w:rsidR="007C578B" w:rsidRDefault="007C578B" w:rsidP="00793E83">
      <w:pPr>
        <w:rPr>
          <w:rFonts w:ascii="Arial" w:hAnsi="Arial" w:cs="Arial"/>
          <w:sz w:val="22"/>
          <w:szCs w:val="22"/>
        </w:rPr>
      </w:pPr>
    </w:p>
    <w:p w:rsidR="0081575B" w:rsidRDefault="0081575B" w:rsidP="00793E83">
      <w:pPr>
        <w:rPr>
          <w:rFonts w:ascii="Arial" w:hAnsi="Arial" w:cs="Arial"/>
          <w:sz w:val="22"/>
          <w:szCs w:val="22"/>
        </w:rPr>
      </w:pPr>
      <w:r w:rsidRPr="00793E83">
        <w:rPr>
          <w:rFonts w:ascii="Arial" w:hAnsi="Arial" w:cs="Arial"/>
          <w:sz w:val="22"/>
          <w:szCs w:val="22"/>
        </w:rPr>
        <w:t xml:space="preserve">A further fiscal imperative is to ensure resources for the administration of the Scheme </w:t>
      </w:r>
      <w:r w:rsidR="00AF20ED">
        <w:rPr>
          <w:rFonts w:ascii="Arial" w:hAnsi="Arial" w:cs="Arial"/>
          <w:sz w:val="22"/>
          <w:szCs w:val="22"/>
        </w:rPr>
        <w:t xml:space="preserve">by the OFSC </w:t>
      </w:r>
      <w:r w:rsidRPr="00793E83">
        <w:rPr>
          <w:rFonts w:ascii="Arial" w:hAnsi="Arial" w:cs="Arial"/>
          <w:sz w:val="22"/>
          <w:szCs w:val="22"/>
        </w:rPr>
        <w:t xml:space="preserve">are applied to maximum effect. The current “one size fits all” </w:t>
      </w:r>
      <w:r w:rsidR="007C578B">
        <w:rPr>
          <w:rFonts w:ascii="Arial" w:hAnsi="Arial" w:cs="Arial"/>
          <w:sz w:val="22"/>
          <w:szCs w:val="22"/>
        </w:rPr>
        <w:t xml:space="preserve">standard </w:t>
      </w:r>
      <w:r w:rsidRPr="00793E83">
        <w:rPr>
          <w:rFonts w:ascii="Arial" w:hAnsi="Arial" w:cs="Arial"/>
          <w:sz w:val="22"/>
          <w:szCs w:val="22"/>
        </w:rPr>
        <w:t xml:space="preserve">approach to compliance monitoring is neither sustainable (as more companies become accredited) nor effective in targeting </w:t>
      </w:r>
      <w:r w:rsidR="007C578B">
        <w:rPr>
          <w:rFonts w:ascii="Arial" w:hAnsi="Arial" w:cs="Arial"/>
          <w:sz w:val="22"/>
          <w:szCs w:val="22"/>
        </w:rPr>
        <w:t xml:space="preserve">the </w:t>
      </w:r>
      <w:r w:rsidRPr="00793E83">
        <w:rPr>
          <w:rFonts w:ascii="Arial" w:hAnsi="Arial" w:cs="Arial"/>
          <w:sz w:val="22"/>
          <w:szCs w:val="22"/>
        </w:rPr>
        <w:t xml:space="preserve">resources </w:t>
      </w:r>
      <w:r w:rsidR="007C578B">
        <w:rPr>
          <w:rFonts w:ascii="Arial" w:hAnsi="Arial" w:cs="Arial"/>
          <w:sz w:val="22"/>
          <w:szCs w:val="22"/>
        </w:rPr>
        <w:t xml:space="preserve">of the OFSC </w:t>
      </w:r>
      <w:r w:rsidRPr="00793E83">
        <w:rPr>
          <w:rFonts w:ascii="Arial" w:hAnsi="Arial" w:cs="Arial"/>
          <w:sz w:val="22"/>
          <w:szCs w:val="22"/>
        </w:rPr>
        <w:t xml:space="preserve">to areas of greatest need </w:t>
      </w:r>
      <w:r w:rsidR="007C578B">
        <w:rPr>
          <w:rFonts w:ascii="Arial" w:hAnsi="Arial" w:cs="Arial"/>
          <w:sz w:val="22"/>
          <w:szCs w:val="22"/>
        </w:rPr>
        <w:t>and</w:t>
      </w:r>
      <w:r w:rsidRPr="00793E83">
        <w:rPr>
          <w:rFonts w:ascii="Arial" w:hAnsi="Arial" w:cs="Arial"/>
          <w:sz w:val="22"/>
          <w:szCs w:val="22"/>
        </w:rPr>
        <w:t xml:space="preserve"> potential benefit. </w:t>
      </w:r>
    </w:p>
    <w:p w:rsidR="0079370D" w:rsidRPr="00793E83" w:rsidRDefault="0079370D" w:rsidP="00793E83">
      <w:pPr>
        <w:rPr>
          <w:rFonts w:ascii="Arial" w:hAnsi="Arial" w:cs="Arial"/>
          <w:sz w:val="22"/>
          <w:szCs w:val="22"/>
        </w:rPr>
      </w:pPr>
    </w:p>
    <w:p w:rsidR="00AF20ED" w:rsidRDefault="0081575B" w:rsidP="00793E83">
      <w:pPr>
        <w:rPr>
          <w:rFonts w:ascii="Arial" w:hAnsi="Arial" w:cs="Arial"/>
          <w:sz w:val="22"/>
          <w:szCs w:val="22"/>
        </w:rPr>
      </w:pPr>
      <w:r w:rsidRPr="00793E83">
        <w:rPr>
          <w:rFonts w:ascii="Arial" w:hAnsi="Arial" w:cs="Arial"/>
          <w:sz w:val="22"/>
          <w:szCs w:val="22"/>
        </w:rPr>
        <w:t>Regulatory burdens and compliance costs c</w:t>
      </w:r>
      <w:r w:rsidR="00AF20ED">
        <w:rPr>
          <w:rFonts w:ascii="Arial" w:hAnsi="Arial" w:cs="Arial"/>
          <w:sz w:val="22"/>
          <w:szCs w:val="22"/>
        </w:rPr>
        <w:t>ould</w:t>
      </w:r>
      <w:r w:rsidRPr="00793E83">
        <w:rPr>
          <w:rFonts w:ascii="Arial" w:hAnsi="Arial" w:cs="Arial"/>
          <w:sz w:val="22"/>
          <w:szCs w:val="22"/>
        </w:rPr>
        <w:t xml:space="preserve"> be addressed in three main ways</w:t>
      </w:r>
      <w:r w:rsidR="00AF20ED">
        <w:rPr>
          <w:rFonts w:ascii="Arial" w:hAnsi="Arial" w:cs="Arial"/>
          <w:sz w:val="22"/>
          <w:szCs w:val="22"/>
        </w:rPr>
        <w:t>:</w:t>
      </w:r>
    </w:p>
    <w:p w:rsidR="00AF20ED" w:rsidRPr="00474035" w:rsidRDefault="00AF20ED" w:rsidP="008C1B31">
      <w:pPr>
        <w:pStyle w:val="ListParagraph"/>
        <w:numPr>
          <w:ilvl w:val="0"/>
          <w:numId w:val="12"/>
        </w:numPr>
        <w:spacing w:before="120"/>
        <w:rPr>
          <w:rFonts w:ascii="Arial" w:hAnsi="Arial" w:cs="Arial"/>
        </w:rPr>
      </w:pPr>
      <w:r w:rsidRPr="00474035">
        <w:rPr>
          <w:rFonts w:ascii="Arial" w:hAnsi="Arial" w:cs="Arial"/>
        </w:rPr>
        <w:t>T</w:t>
      </w:r>
      <w:r w:rsidR="0081575B" w:rsidRPr="00474035">
        <w:rPr>
          <w:rFonts w:ascii="Arial" w:hAnsi="Arial" w:cs="Arial"/>
        </w:rPr>
        <w:t xml:space="preserve">he coverage of the Scheme </w:t>
      </w:r>
      <w:r w:rsidR="005028C1" w:rsidRPr="00474035">
        <w:rPr>
          <w:rFonts w:ascii="Arial" w:hAnsi="Arial" w:cs="Arial"/>
        </w:rPr>
        <w:t xml:space="preserve">could </w:t>
      </w:r>
      <w:r w:rsidR="0081575B" w:rsidRPr="00474035">
        <w:rPr>
          <w:rFonts w:ascii="Arial" w:hAnsi="Arial" w:cs="Arial"/>
        </w:rPr>
        <w:t>be changed.</w:t>
      </w:r>
      <w:r w:rsidR="004D2E88">
        <w:rPr>
          <w:rFonts w:ascii="Arial" w:hAnsi="Arial" w:cs="Arial"/>
        </w:rPr>
        <w:t xml:space="preserve"> </w:t>
      </w:r>
    </w:p>
    <w:p w:rsidR="00AF20ED" w:rsidRPr="00474035" w:rsidRDefault="00AF20ED" w:rsidP="008C1B31">
      <w:pPr>
        <w:pStyle w:val="ListParagraph"/>
        <w:numPr>
          <w:ilvl w:val="0"/>
          <w:numId w:val="12"/>
        </w:numPr>
        <w:spacing w:before="120"/>
        <w:rPr>
          <w:rFonts w:ascii="Arial" w:hAnsi="Arial" w:cs="Arial"/>
        </w:rPr>
      </w:pPr>
      <w:r w:rsidRPr="00474035">
        <w:rPr>
          <w:rFonts w:ascii="Arial" w:hAnsi="Arial" w:cs="Arial"/>
        </w:rPr>
        <w:t>S</w:t>
      </w:r>
      <w:r w:rsidR="0081575B" w:rsidRPr="00474035">
        <w:rPr>
          <w:rFonts w:ascii="Arial" w:hAnsi="Arial" w:cs="Arial"/>
        </w:rPr>
        <w:t xml:space="preserve">ome current paperwork and compliance requirements could be removed or streamlined, which could be done in conjunction with a more targeted, risk-based approach. </w:t>
      </w:r>
    </w:p>
    <w:p w:rsidR="0081575B" w:rsidRPr="00474035" w:rsidRDefault="00AF20ED" w:rsidP="008C1B31">
      <w:pPr>
        <w:pStyle w:val="ListParagraph"/>
        <w:numPr>
          <w:ilvl w:val="0"/>
          <w:numId w:val="12"/>
        </w:numPr>
        <w:spacing w:before="120"/>
        <w:rPr>
          <w:rFonts w:ascii="Arial" w:hAnsi="Arial" w:cs="Arial"/>
        </w:rPr>
      </w:pPr>
      <w:r w:rsidRPr="00474035">
        <w:rPr>
          <w:rFonts w:ascii="Arial" w:hAnsi="Arial" w:cs="Arial"/>
        </w:rPr>
        <w:t>A</w:t>
      </w:r>
      <w:r w:rsidR="0081575B" w:rsidRPr="00474035">
        <w:rPr>
          <w:rFonts w:ascii="Arial" w:hAnsi="Arial" w:cs="Arial"/>
        </w:rPr>
        <w:t>ctual and perceived barriers to achieving accreditation could be reduced by ensuring the Scheme is more accessible and scalable for any building company (for example, regardless of size).</w:t>
      </w:r>
      <w:r w:rsidR="004D2E88">
        <w:rPr>
          <w:rFonts w:ascii="Arial" w:hAnsi="Arial" w:cs="Arial"/>
        </w:rPr>
        <w:t xml:space="preserve"> </w:t>
      </w:r>
    </w:p>
    <w:p w:rsidR="00AF20ED" w:rsidRDefault="00242476" w:rsidP="00242476">
      <w:pPr>
        <w:rPr>
          <w:rFonts w:ascii="Arial" w:hAnsi="Arial" w:cs="Arial"/>
          <w:sz w:val="22"/>
          <w:szCs w:val="22"/>
        </w:rPr>
      </w:pPr>
      <w:r w:rsidRPr="00793E83">
        <w:rPr>
          <w:rFonts w:ascii="Arial" w:hAnsi="Arial" w:cs="Arial"/>
          <w:sz w:val="22"/>
          <w:szCs w:val="22"/>
        </w:rPr>
        <w:t xml:space="preserve">The coverage of the Scheme, while considered </w:t>
      </w:r>
      <w:r w:rsidR="00296333">
        <w:rPr>
          <w:rFonts w:ascii="Arial" w:hAnsi="Arial" w:cs="Arial"/>
          <w:sz w:val="22"/>
          <w:szCs w:val="22"/>
        </w:rPr>
        <w:t>“</w:t>
      </w:r>
      <w:r w:rsidRPr="00793E83">
        <w:rPr>
          <w:rFonts w:ascii="Arial" w:hAnsi="Arial" w:cs="Arial"/>
          <w:sz w:val="22"/>
          <w:szCs w:val="22"/>
        </w:rPr>
        <w:t>about right</w:t>
      </w:r>
      <w:r w:rsidR="00296333">
        <w:rPr>
          <w:rFonts w:ascii="Arial" w:hAnsi="Arial" w:cs="Arial"/>
          <w:sz w:val="22"/>
          <w:szCs w:val="22"/>
        </w:rPr>
        <w:t>”</w:t>
      </w:r>
      <w:r w:rsidRPr="00793E83">
        <w:rPr>
          <w:rFonts w:ascii="Arial" w:hAnsi="Arial" w:cs="Arial"/>
          <w:sz w:val="22"/>
          <w:szCs w:val="22"/>
        </w:rPr>
        <w:t xml:space="preserve"> by m</w:t>
      </w:r>
      <w:r w:rsidR="00DF5B66">
        <w:rPr>
          <w:rFonts w:ascii="Arial" w:hAnsi="Arial" w:cs="Arial"/>
          <w:sz w:val="22"/>
          <w:szCs w:val="22"/>
        </w:rPr>
        <w:t>ost</w:t>
      </w:r>
      <w:r w:rsidRPr="00793E83">
        <w:rPr>
          <w:rFonts w:ascii="Arial" w:hAnsi="Arial" w:cs="Arial"/>
          <w:sz w:val="22"/>
          <w:szCs w:val="22"/>
        </w:rPr>
        <w:t xml:space="preserve"> stakeholders, </w:t>
      </w:r>
      <w:r w:rsidR="00FE0F86">
        <w:rPr>
          <w:rFonts w:ascii="Arial" w:hAnsi="Arial" w:cs="Arial"/>
          <w:sz w:val="22"/>
          <w:szCs w:val="22"/>
        </w:rPr>
        <w:t xml:space="preserve">could </w:t>
      </w:r>
      <w:r w:rsidRPr="00793E83">
        <w:rPr>
          <w:rFonts w:ascii="Arial" w:hAnsi="Arial" w:cs="Arial"/>
          <w:sz w:val="22"/>
          <w:szCs w:val="22"/>
        </w:rPr>
        <w:t>be amended in two main ways</w:t>
      </w:r>
      <w:r w:rsidR="00AF20ED">
        <w:rPr>
          <w:rFonts w:ascii="Arial" w:hAnsi="Arial" w:cs="Arial"/>
          <w:sz w:val="22"/>
          <w:szCs w:val="22"/>
        </w:rPr>
        <w:t>:</w:t>
      </w:r>
    </w:p>
    <w:p w:rsidR="00AF20ED" w:rsidRPr="00474035" w:rsidRDefault="00AF20ED" w:rsidP="008C1B31">
      <w:pPr>
        <w:pStyle w:val="ListParagraph"/>
        <w:numPr>
          <w:ilvl w:val="0"/>
          <w:numId w:val="13"/>
        </w:numPr>
        <w:spacing w:before="120"/>
        <w:rPr>
          <w:rFonts w:ascii="Arial" w:hAnsi="Arial" w:cs="Arial"/>
        </w:rPr>
      </w:pPr>
      <w:r w:rsidRPr="00474035">
        <w:rPr>
          <w:rFonts w:ascii="Arial" w:hAnsi="Arial" w:cs="Arial"/>
        </w:rPr>
        <w:t>C</w:t>
      </w:r>
      <w:r w:rsidR="00242476" w:rsidRPr="00474035">
        <w:rPr>
          <w:rFonts w:ascii="Arial" w:hAnsi="Arial" w:cs="Arial"/>
        </w:rPr>
        <w:t xml:space="preserve">hanging the financial thresholds to which it applies </w:t>
      </w:r>
    </w:p>
    <w:p w:rsidR="00AF20ED" w:rsidRPr="00474035" w:rsidRDefault="005028C1" w:rsidP="008C1B31">
      <w:pPr>
        <w:pStyle w:val="ListParagraph"/>
        <w:numPr>
          <w:ilvl w:val="0"/>
          <w:numId w:val="13"/>
        </w:numPr>
        <w:spacing w:before="120"/>
        <w:rPr>
          <w:rFonts w:ascii="Arial" w:hAnsi="Arial" w:cs="Arial"/>
        </w:rPr>
      </w:pPr>
      <w:r w:rsidRPr="00474035">
        <w:rPr>
          <w:rFonts w:ascii="Arial" w:hAnsi="Arial" w:cs="Arial"/>
        </w:rPr>
        <w:t>C</w:t>
      </w:r>
      <w:r w:rsidR="00242476" w:rsidRPr="00474035">
        <w:rPr>
          <w:rFonts w:ascii="Arial" w:hAnsi="Arial" w:cs="Arial"/>
        </w:rPr>
        <w:t xml:space="preserve">hanging the definition of building work that it covers. </w:t>
      </w:r>
    </w:p>
    <w:p w:rsidR="00AF20ED" w:rsidRDefault="00AF20ED" w:rsidP="009F6F45">
      <w:pPr>
        <w:pStyle w:val="ListParagraph"/>
        <w:spacing w:after="0" w:line="240" w:lineRule="auto"/>
        <w:ind w:left="777"/>
        <w:rPr>
          <w:rFonts w:ascii="Arial" w:hAnsi="Arial" w:cs="Arial"/>
        </w:rPr>
      </w:pPr>
    </w:p>
    <w:p w:rsidR="00242476" w:rsidRPr="00B01E1D" w:rsidRDefault="00242476" w:rsidP="00B01E1D">
      <w:pPr>
        <w:rPr>
          <w:rFonts w:ascii="Arial" w:hAnsi="Arial" w:cs="Arial"/>
          <w:sz w:val="22"/>
          <w:szCs w:val="22"/>
        </w:rPr>
      </w:pPr>
      <w:r w:rsidRPr="00B01E1D">
        <w:rPr>
          <w:rFonts w:ascii="Arial" w:hAnsi="Arial" w:cs="Arial"/>
          <w:sz w:val="22"/>
          <w:szCs w:val="22"/>
        </w:rPr>
        <w:t xml:space="preserve">On balance, </w:t>
      </w:r>
      <w:r w:rsidR="00FE0F86" w:rsidRPr="00B01E1D">
        <w:rPr>
          <w:rFonts w:ascii="Arial" w:hAnsi="Arial" w:cs="Arial"/>
          <w:sz w:val="22"/>
          <w:szCs w:val="22"/>
        </w:rPr>
        <w:t xml:space="preserve">given that most industry associations and other stakeholders think the thresholds are </w:t>
      </w:r>
      <w:r w:rsidR="0079370D" w:rsidRPr="00B01E1D">
        <w:rPr>
          <w:rFonts w:ascii="Arial" w:hAnsi="Arial" w:cs="Arial"/>
          <w:sz w:val="22"/>
          <w:szCs w:val="22"/>
        </w:rPr>
        <w:t>“</w:t>
      </w:r>
      <w:r w:rsidR="00FE0F86" w:rsidRPr="00B01E1D">
        <w:rPr>
          <w:rFonts w:ascii="Arial" w:hAnsi="Arial" w:cs="Arial"/>
          <w:sz w:val="22"/>
          <w:szCs w:val="22"/>
        </w:rPr>
        <w:t>about right</w:t>
      </w:r>
      <w:r w:rsidR="0079370D" w:rsidRPr="00B01E1D">
        <w:rPr>
          <w:rFonts w:ascii="Arial" w:hAnsi="Arial" w:cs="Arial"/>
          <w:sz w:val="22"/>
          <w:szCs w:val="22"/>
        </w:rPr>
        <w:t>”</w:t>
      </w:r>
      <w:r w:rsidR="00FE0F86" w:rsidRPr="00B01E1D">
        <w:rPr>
          <w:rFonts w:ascii="Arial" w:hAnsi="Arial" w:cs="Arial"/>
          <w:sz w:val="22"/>
          <w:szCs w:val="22"/>
        </w:rPr>
        <w:t xml:space="preserve">, </w:t>
      </w:r>
      <w:r w:rsidRPr="00B01E1D">
        <w:rPr>
          <w:rFonts w:ascii="Arial" w:hAnsi="Arial" w:cs="Arial"/>
          <w:sz w:val="22"/>
          <w:szCs w:val="22"/>
        </w:rPr>
        <w:t>it is recommended that the</w:t>
      </w:r>
      <w:r w:rsidR="00FE0F86" w:rsidRPr="00B01E1D">
        <w:rPr>
          <w:rFonts w:ascii="Arial" w:hAnsi="Arial" w:cs="Arial"/>
          <w:sz w:val="22"/>
          <w:szCs w:val="22"/>
        </w:rPr>
        <w:t>y</w:t>
      </w:r>
      <w:r w:rsidRPr="00B01E1D">
        <w:rPr>
          <w:rFonts w:ascii="Arial" w:hAnsi="Arial" w:cs="Arial"/>
          <w:sz w:val="22"/>
          <w:szCs w:val="22"/>
        </w:rPr>
        <w:t xml:space="preserve"> only be in</w:t>
      </w:r>
      <w:r w:rsidR="00A27E82" w:rsidRPr="00B01E1D">
        <w:rPr>
          <w:rFonts w:ascii="Arial" w:hAnsi="Arial" w:cs="Arial"/>
          <w:sz w:val="22"/>
          <w:szCs w:val="22"/>
        </w:rPr>
        <w:t>dexed</w:t>
      </w:r>
      <w:r w:rsidRPr="00B01E1D">
        <w:rPr>
          <w:rFonts w:ascii="Arial" w:hAnsi="Arial" w:cs="Arial"/>
          <w:sz w:val="22"/>
          <w:szCs w:val="22"/>
        </w:rPr>
        <w:t xml:space="preserve"> to take account of price movements since they were established</w:t>
      </w:r>
      <w:r w:rsidR="00AF20ED" w:rsidRPr="00B01E1D">
        <w:rPr>
          <w:rFonts w:ascii="Arial" w:hAnsi="Arial" w:cs="Arial"/>
          <w:sz w:val="22"/>
          <w:szCs w:val="22"/>
        </w:rPr>
        <w:t>. In this way</w:t>
      </w:r>
      <w:r w:rsidR="00FE0F86" w:rsidRPr="00B01E1D">
        <w:rPr>
          <w:rFonts w:ascii="Arial" w:hAnsi="Arial" w:cs="Arial"/>
          <w:sz w:val="22"/>
          <w:szCs w:val="22"/>
        </w:rPr>
        <w:t xml:space="preserve"> the coverage of the Scheme </w:t>
      </w:r>
      <w:r w:rsidR="00AF20ED" w:rsidRPr="00B01E1D">
        <w:rPr>
          <w:rFonts w:ascii="Arial" w:hAnsi="Arial" w:cs="Arial"/>
          <w:sz w:val="22"/>
          <w:szCs w:val="22"/>
        </w:rPr>
        <w:t>would</w:t>
      </w:r>
      <w:r w:rsidR="00FE0F86" w:rsidRPr="00B01E1D">
        <w:rPr>
          <w:rFonts w:ascii="Arial" w:hAnsi="Arial" w:cs="Arial"/>
          <w:sz w:val="22"/>
          <w:szCs w:val="22"/>
        </w:rPr>
        <w:t xml:space="preserve"> not </w:t>
      </w:r>
      <w:r w:rsidR="00AF20ED" w:rsidRPr="00B01E1D">
        <w:rPr>
          <w:rFonts w:ascii="Arial" w:hAnsi="Arial" w:cs="Arial"/>
          <w:sz w:val="22"/>
          <w:szCs w:val="22"/>
        </w:rPr>
        <w:t xml:space="preserve">be </w:t>
      </w:r>
      <w:r w:rsidR="00FE0F86" w:rsidRPr="00B01E1D">
        <w:rPr>
          <w:rFonts w:ascii="Arial" w:hAnsi="Arial" w:cs="Arial"/>
          <w:sz w:val="22"/>
          <w:szCs w:val="22"/>
        </w:rPr>
        <w:t>expanded in real terms</w:t>
      </w:r>
      <w:r w:rsidRPr="00B01E1D">
        <w:rPr>
          <w:rFonts w:ascii="Arial" w:hAnsi="Arial" w:cs="Arial"/>
          <w:sz w:val="22"/>
          <w:szCs w:val="22"/>
        </w:rPr>
        <w:t xml:space="preserve">. </w:t>
      </w:r>
    </w:p>
    <w:p w:rsidR="00242476" w:rsidRPr="00793E83" w:rsidRDefault="00242476" w:rsidP="00242476">
      <w:pPr>
        <w:rPr>
          <w:rFonts w:ascii="Arial" w:hAnsi="Arial" w:cs="Arial"/>
          <w:sz w:val="22"/>
          <w:szCs w:val="22"/>
        </w:rPr>
      </w:pPr>
    </w:p>
    <w:p w:rsidR="00840E05" w:rsidRDefault="00242476" w:rsidP="00242476">
      <w:pPr>
        <w:rPr>
          <w:rFonts w:ascii="Arial" w:hAnsi="Arial" w:cs="Arial"/>
          <w:sz w:val="22"/>
          <w:szCs w:val="22"/>
        </w:rPr>
      </w:pPr>
      <w:r w:rsidRPr="00793E83">
        <w:rPr>
          <w:rFonts w:ascii="Arial" w:hAnsi="Arial" w:cs="Arial"/>
          <w:sz w:val="22"/>
          <w:szCs w:val="22"/>
        </w:rPr>
        <w:t>Some changes to the definition of building work covered by the Scheme are also recommended</w:t>
      </w:r>
      <w:r w:rsidR="00AF20ED">
        <w:rPr>
          <w:rFonts w:ascii="Arial" w:hAnsi="Arial" w:cs="Arial"/>
          <w:sz w:val="22"/>
          <w:szCs w:val="22"/>
        </w:rPr>
        <w:t>;</w:t>
      </w:r>
      <w:r w:rsidRPr="00793E83">
        <w:rPr>
          <w:rFonts w:ascii="Arial" w:hAnsi="Arial" w:cs="Arial"/>
          <w:sz w:val="22"/>
          <w:szCs w:val="22"/>
        </w:rPr>
        <w:t xml:space="preserve"> </w:t>
      </w:r>
      <w:r w:rsidR="00840E05">
        <w:rPr>
          <w:rFonts w:ascii="Arial" w:hAnsi="Arial" w:cs="Arial"/>
          <w:sz w:val="22"/>
          <w:szCs w:val="22"/>
        </w:rPr>
        <w:t xml:space="preserve">specifically </w:t>
      </w:r>
      <w:r w:rsidRPr="00793E83">
        <w:rPr>
          <w:rFonts w:ascii="Arial" w:hAnsi="Arial" w:cs="Arial"/>
          <w:sz w:val="22"/>
          <w:szCs w:val="22"/>
        </w:rPr>
        <w:t>in relation to the construction of individual domestic houses (ie. not multi-unit or townhouse developments</w:t>
      </w:r>
      <w:r w:rsidR="00FE0F86">
        <w:rPr>
          <w:rFonts w:ascii="Arial" w:hAnsi="Arial" w:cs="Arial"/>
          <w:sz w:val="22"/>
          <w:szCs w:val="22"/>
        </w:rPr>
        <w:t xml:space="preserve"> etc</w:t>
      </w:r>
      <w:r w:rsidR="00474035">
        <w:rPr>
          <w:rFonts w:ascii="Arial" w:hAnsi="Arial" w:cs="Arial"/>
          <w:sz w:val="22"/>
          <w:szCs w:val="22"/>
        </w:rPr>
        <w:t>.</w:t>
      </w:r>
      <w:r w:rsidRPr="00793E83">
        <w:rPr>
          <w:rFonts w:ascii="Arial" w:hAnsi="Arial" w:cs="Arial"/>
          <w:sz w:val="22"/>
          <w:szCs w:val="22"/>
        </w:rPr>
        <w:t>).</w:t>
      </w:r>
      <w:r w:rsidR="00840E05">
        <w:rPr>
          <w:rFonts w:ascii="Arial" w:hAnsi="Arial" w:cs="Arial"/>
          <w:sz w:val="22"/>
          <w:szCs w:val="22"/>
        </w:rPr>
        <w:t xml:space="preserve"> This balances the competing social and other objectives of </w:t>
      </w:r>
      <w:r w:rsidR="0079370D">
        <w:rPr>
          <w:rFonts w:ascii="Arial" w:hAnsi="Arial" w:cs="Arial"/>
          <w:sz w:val="22"/>
          <w:szCs w:val="22"/>
        </w:rPr>
        <w:t>G</w:t>
      </w:r>
      <w:r w:rsidR="00840E05">
        <w:rPr>
          <w:rFonts w:ascii="Arial" w:hAnsi="Arial" w:cs="Arial"/>
          <w:sz w:val="22"/>
          <w:szCs w:val="22"/>
        </w:rPr>
        <w:t>overnment program</w:t>
      </w:r>
      <w:r w:rsidR="00474035">
        <w:rPr>
          <w:rFonts w:ascii="Arial" w:hAnsi="Arial" w:cs="Arial"/>
          <w:sz w:val="22"/>
          <w:szCs w:val="22"/>
        </w:rPr>
        <w:t>me</w:t>
      </w:r>
      <w:r w:rsidR="00840E05">
        <w:rPr>
          <w:rFonts w:ascii="Arial" w:hAnsi="Arial" w:cs="Arial"/>
          <w:sz w:val="22"/>
          <w:szCs w:val="22"/>
        </w:rPr>
        <w:t xml:space="preserve">s in the residential sector (such as in </w:t>
      </w:r>
      <w:r w:rsidR="00AF20ED">
        <w:rPr>
          <w:rFonts w:ascii="Arial" w:hAnsi="Arial" w:cs="Arial"/>
          <w:sz w:val="22"/>
          <w:szCs w:val="22"/>
        </w:rPr>
        <w:t>I</w:t>
      </w:r>
      <w:r w:rsidR="00840E05">
        <w:rPr>
          <w:rFonts w:ascii="Arial" w:hAnsi="Arial" w:cs="Arial"/>
          <w:sz w:val="22"/>
          <w:szCs w:val="22"/>
        </w:rPr>
        <w:t>ndigenous communities) with the need to maintain the integrity of the Scheme and equity for accredited builders.</w:t>
      </w:r>
      <w:r w:rsidR="004D2E88">
        <w:rPr>
          <w:rFonts w:ascii="Arial" w:hAnsi="Arial" w:cs="Arial"/>
          <w:sz w:val="22"/>
          <w:szCs w:val="22"/>
        </w:rPr>
        <w:t xml:space="preserve"> </w:t>
      </w:r>
    </w:p>
    <w:p w:rsidR="00840E05" w:rsidRDefault="00840E05" w:rsidP="00242476">
      <w:pPr>
        <w:rPr>
          <w:rFonts w:ascii="Arial" w:hAnsi="Arial" w:cs="Arial"/>
          <w:sz w:val="22"/>
          <w:szCs w:val="22"/>
        </w:rPr>
      </w:pPr>
    </w:p>
    <w:p w:rsidR="00FE0F86" w:rsidRDefault="0081575B" w:rsidP="00840E05">
      <w:pPr>
        <w:rPr>
          <w:rFonts w:ascii="Arial" w:hAnsi="Arial" w:cs="Arial"/>
          <w:sz w:val="22"/>
          <w:szCs w:val="22"/>
        </w:rPr>
      </w:pPr>
      <w:r w:rsidRPr="00793E83">
        <w:rPr>
          <w:rFonts w:ascii="Arial" w:hAnsi="Arial" w:cs="Arial"/>
          <w:sz w:val="22"/>
          <w:szCs w:val="22"/>
        </w:rPr>
        <w:t xml:space="preserve">This report identifies a number of opportunities to reduce </w:t>
      </w:r>
      <w:r w:rsidR="00840E05">
        <w:rPr>
          <w:rFonts w:ascii="Arial" w:hAnsi="Arial" w:cs="Arial"/>
          <w:sz w:val="22"/>
          <w:szCs w:val="22"/>
        </w:rPr>
        <w:t xml:space="preserve">barriers to entry and </w:t>
      </w:r>
      <w:r w:rsidR="00F14F19">
        <w:rPr>
          <w:rFonts w:ascii="Arial" w:hAnsi="Arial" w:cs="Arial"/>
          <w:sz w:val="22"/>
          <w:szCs w:val="22"/>
        </w:rPr>
        <w:t xml:space="preserve">unnecessary </w:t>
      </w:r>
      <w:r w:rsidRPr="00793E83">
        <w:rPr>
          <w:rFonts w:ascii="Arial" w:hAnsi="Arial" w:cs="Arial"/>
          <w:sz w:val="22"/>
          <w:szCs w:val="22"/>
        </w:rPr>
        <w:t>regulatory impact</w:t>
      </w:r>
      <w:r w:rsidR="00884479">
        <w:rPr>
          <w:rFonts w:ascii="Arial" w:hAnsi="Arial" w:cs="Arial"/>
          <w:sz w:val="22"/>
          <w:szCs w:val="22"/>
        </w:rPr>
        <w:t>s</w:t>
      </w:r>
      <w:r w:rsidRPr="00793E83">
        <w:rPr>
          <w:rFonts w:ascii="Arial" w:hAnsi="Arial" w:cs="Arial"/>
          <w:sz w:val="22"/>
          <w:szCs w:val="22"/>
        </w:rPr>
        <w:t xml:space="preserve"> on businesses</w:t>
      </w:r>
      <w:r w:rsidR="00840E05">
        <w:rPr>
          <w:rFonts w:ascii="Arial" w:hAnsi="Arial" w:cs="Arial"/>
          <w:sz w:val="22"/>
          <w:szCs w:val="22"/>
        </w:rPr>
        <w:t xml:space="preserve"> in achieving accreditation, while </w:t>
      </w:r>
      <w:r w:rsidR="00884479">
        <w:rPr>
          <w:rFonts w:ascii="Arial" w:hAnsi="Arial" w:cs="Arial"/>
          <w:sz w:val="22"/>
          <w:szCs w:val="22"/>
        </w:rPr>
        <w:t xml:space="preserve">maintaining or improving safety </w:t>
      </w:r>
      <w:r w:rsidR="00840E05">
        <w:rPr>
          <w:rFonts w:ascii="Arial" w:hAnsi="Arial" w:cs="Arial"/>
          <w:sz w:val="22"/>
          <w:szCs w:val="22"/>
        </w:rPr>
        <w:t>standards</w:t>
      </w:r>
      <w:r w:rsidR="00884479">
        <w:rPr>
          <w:rFonts w:ascii="Arial" w:hAnsi="Arial" w:cs="Arial"/>
          <w:sz w:val="22"/>
          <w:szCs w:val="22"/>
        </w:rPr>
        <w:t xml:space="preserve"> and outcomes</w:t>
      </w:r>
      <w:r w:rsidR="00AF20ED">
        <w:rPr>
          <w:rFonts w:ascii="Arial" w:hAnsi="Arial" w:cs="Arial"/>
          <w:sz w:val="22"/>
          <w:szCs w:val="22"/>
        </w:rPr>
        <w:t xml:space="preserve"> across the industry</w:t>
      </w:r>
      <w:r w:rsidR="00840E05">
        <w:rPr>
          <w:rFonts w:ascii="Arial" w:hAnsi="Arial" w:cs="Arial"/>
          <w:sz w:val="22"/>
          <w:szCs w:val="22"/>
        </w:rPr>
        <w:t xml:space="preserve">. </w:t>
      </w:r>
      <w:r w:rsidR="00840E05" w:rsidRPr="00793E83">
        <w:rPr>
          <w:rFonts w:ascii="Arial" w:hAnsi="Arial" w:cs="Arial"/>
          <w:sz w:val="22"/>
          <w:szCs w:val="22"/>
        </w:rPr>
        <w:t xml:space="preserve">These include removing </w:t>
      </w:r>
      <w:r w:rsidR="00884479">
        <w:rPr>
          <w:rFonts w:ascii="Arial" w:hAnsi="Arial" w:cs="Arial"/>
          <w:sz w:val="22"/>
          <w:szCs w:val="22"/>
        </w:rPr>
        <w:t>the duplicative, costly and time</w:t>
      </w:r>
      <w:r w:rsidR="00AF20ED">
        <w:rPr>
          <w:rFonts w:ascii="Arial" w:hAnsi="Arial" w:cs="Arial"/>
          <w:sz w:val="22"/>
          <w:szCs w:val="22"/>
        </w:rPr>
        <w:t>-</w:t>
      </w:r>
      <w:r w:rsidR="00884479">
        <w:rPr>
          <w:rFonts w:ascii="Arial" w:hAnsi="Arial" w:cs="Arial"/>
          <w:sz w:val="22"/>
          <w:szCs w:val="22"/>
        </w:rPr>
        <w:t xml:space="preserve">consuming </w:t>
      </w:r>
      <w:r w:rsidR="00884479" w:rsidRPr="00793E83">
        <w:rPr>
          <w:rFonts w:ascii="Arial" w:hAnsi="Arial" w:cs="Arial"/>
          <w:sz w:val="22"/>
          <w:szCs w:val="22"/>
        </w:rPr>
        <w:t>requirement</w:t>
      </w:r>
      <w:r w:rsidR="00884479">
        <w:rPr>
          <w:rFonts w:ascii="Arial" w:hAnsi="Arial" w:cs="Arial"/>
          <w:sz w:val="22"/>
          <w:szCs w:val="22"/>
        </w:rPr>
        <w:t xml:space="preserve"> for </w:t>
      </w:r>
      <w:r w:rsidR="00840E05" w:rsidRPr="00793E83">
        <w:rPr>
          <w:rFonts w:ascii="Arial" w:hAnsi="Arial" w:cs="Arial"/>
          <w:sz w:val="22"/>
          <w:szCs w:val="22"/>
        </w:rPr>
        <w:t>AS/NZS 4801:2001</w:t>
      </w:r>
      <w:r w:rsidR="00FE0F86">
        <w:rPr>
          <w:rFonts w:ascii="Arial" w:hAnsi="Arial" w:cs="Arial"/>
          <w:sz w:val="22"/>
          <w:szCs w:val="22"/>
        </w:rPr>
        <w:t xml:space="preserve">, </w:t>
      </w:r>
      <w:r w:rsidR="00884479">
        <w:rPr>
          <w:rFonts w:ascii="Arial" w:hAnsi="Arial" w:cs="Arial"/>
          <w:sz w:val="22"/>
          <w:szCs w:val="22"/>
        </w:rPr>
        <w:t xml:space="preserve">which </w:t>
      </w:r>
      <w:r w:rsidR="008A4AD1">
        <w:rPr>
          <w:rFonts w:ascii="Arial" w:hAnsi="Arial" w:cs="Arial"/>
          <w:sz w:val="22"/>
          <w:szCs w:val="22"/>
        </w:rPr>
        <w:t xml:space="preserve">is </w:t>
      </w:r>
      <w:r w:rsidR="00FE0F86">
        <w:rPr>
          <w:rFonts w:ascii="Arial" w:hAnsi="Arial" w:cs="Arial"/>
          <w:sz w:val="22"/>
          <w:szCs w:val="22"/>
        </w:rPr>
        <w:t>see</w:t>
      </w:r>
      <w:r w:rsidR="008A4AD1">
        <w:rPr>
          <w:rFonts w:ascii="Arial" w:hAnsi="Arial" w:cs="Arial"/>
          <w:sz w:val="22"/>
          <w:szCs w:val="22"/>
        </w:rPr>
        <w:t>n by many</w:t>
      </w:r>
      <w:r w:rsidR="00FE0F86">
        <w:rPr>
          <w:rFonts w:ascii="Arial" w:hAnsi="Arial" w:cs="Arial"/>
          <w:sz w:val="22"/>
          <w:szCs w:val="22"/>
        </w:rPr>
        <w:t xml:space="preserve"> as creating a</w:t>
      </w:r>
      <w:r w:rsidR="00884479">
        <w:rPr>
          <w:rFonts w:ascii="Arial" w:hAnsi="Arial" w:cs="Arial"/>
          <w:sz w:val="22"/>
          <w:szCs w:val="22"/>
        </w:rPr>
        <w:t xml:space="preserve"> significant barrier for small builders. </w:t>
      </w:r>
    </w:p>
    <w:p w:rsidR="00FE0F86" w:rsidRDefault="00FE0F86" w:rsidP="00840E05">
      <w:pPr>
        <w:rPr>
          <w:rFonts w:ascii="Arial" w:hAnsi="Arial" w:cs="Arial"/>
          <w:sz w:val="22"/>
          <w:szCs w:val="22"/>
        </w:rPr>
      </w:pPr>
    </w:p>
    <w:p w:rsidR="00AF20ED" w:rsidRDefault="00884479" w:rsidP="00840E05">
      <w:pPr>
        <w:rPr>
          <w:rFonts w:ascii="Arial" w:hAnsi="Arial" w:cs="Arial"/>
          <w:sz w:val="22"/>
          <w:szCs w:val="22"/>
        </w:rPr>
      </w:pPr>
      <w:r>
        <w:rPr>
          <w:rFonts w:ascii="Arial" w:hAnsi="Arial" w:cs="Arial"/>
          <w:sz w:val="22"/>
          <w:szCs w:val="22"/>
        </w:rPr>
        <w:t xml:space="preserve">It is proposed </w:t>
      </w:r>
      <w:r w:rsidR="00FE0F86">
        <w:rPr>
          <w:rFonts w:ascii="Arial" w:hAnsi="Arial" w:cs="Arial"/>
          <w:sz w:val="22"/>
          <w:szCs w:val="22"/>
        </w:rPr>
        <w:t xml:space="preserve">that </w:t>
      </w:r>
      <w:r w:rsidR="00840E05">
        <w:rPr>
          <w:rFonts w:ascii="Arial" w:hAnsi="Arial" w:cs="Arial"/>
          <w:sz w:val="22"/>
          <w:szCs w:val="22"/>
        </w:rPr>
        <w:t xml:space="preserve">unaccredited companies </w:t>
      </w:r>
      <w:r>
        <w:rPr>
          <w:rFonts w:ascii="Arial" w:hAnsi="Arial" w:cs="Arial"/>
          <w:sz w:val="22"/>
          <w:szCs w:val="22"/>
        </w:rPr>
        <w:t xml:space="preserve">be permitted </w:t>
      </w:r>
      <w:r w:rsidR="00840E05">
        <w:rPr>
          <w:rFonts w:ascii="Arial" w:hAnsi="Arial" w:cs="Arial"/>
          <w:sz w:val="22"/>
          <w:szCs w:val="22"/>
        </w:rPr>
        <w:t xml:space="preserve">to tender for </w:t>
      </w:r>
      <w:r w:rsidR="00D15D83">
        <w:rPr>
          <w:rFonts w:ascii="Arial" w:hAnsi="Arial" w:cs="Arial"/>
          <w:sz w:val="22"/>
          <w:szCs w:val="22"/>
        </w:rPr>
        <w:t xml:space="preserve">Commonwealth </w:t>
      </w:r>
      <w:r w:rsidR="00DF5B66">
        <w:rPr>
          <w:rFonts w:ascii="Arial" w:hAnsi="Arial" w:cs="Arial"/>
          <w:sz w:val="22"/>
          <w:szCs w:val="22"/>
        </w:rPr>
        <w:t>G</w:t>
      </w:r>
      <w:r w:rsidR="00840E05">
        <w:rPr>
          <w:rFonts w:ascii="Arial" w:hAnsi="Arial" w:cs="Arial"/>
          <w:sz w:val="22"/>
          <w:szCs w:val="22"/>
        </w:rPr>
        <w:t>overnment</w:t>
      </w:r>
      <w:r w:rsidR="00D15D83">
        <w:rPr>
          <w:rFonts w:ascii="Arial" w:hAnsi="Arial" w:cs="Arial"/>
          <w:sz w:val="22"/>
          <w:szCs w:val="22"/>
        </w:rPr>
        <w:t xml:space="preserve"> funded</w:t>
      </w:r>
      <w:r w:rsidR="00840E05">
        <w:rPr>
          <w:rFonts w:ascii="Arial" w:hAnsi="Arial" w:cs="Arial"/>
          <w:sz w:val="22"/>
          <w:szCs w:val="22"/>
        </w:rPr>
        <w:t xml:space="preserve"> work where they are in a joint venture with an accredited company</w:t>
      </w:r>
      <w:r w:rsidR="008A4AD1">
        <w:rPr>
          <w:rFonts w:ascii="Arial" w:hAnsi="Arial" w:cs="Arial"/>
          <w:sz w:val="22"/>
          <w:szCs w:val="22"/>
        </w:rPr>
        <w:t xml:space="preserve">, </w:t>
      </w:r>
      <w:r w:rsidR="00840E05">
        <w:rPr>
          <w:rFonts w:ascii="Arial" w:hAnsi="Arial" w:cs="Arial"/>
          <w:sz w:val="22"/>
          <w:szCs w:val="22"/>
        </w:rPr>
        <w:t xml:space="preserve">and work under the accredited </w:t>
      </w:r>
      <w:r w:rsidR="00AF20ED">
        <w:rPr>
          <w:rFonts w:ascii="Arial" w:hAnsi="Arial" w:cs="Arial"/>
          <w:sz w:val="22"/>
          <w:szCs w:val="22"/>
        </w:rPr>
        <w:t xml:space="preserve">company’s </w:t>
      </w:r>
      <w:r w:rsidR="00840E05">
        <w:rPr>
          <w:rFonts w:ascii="Arial" w:hAnsi="Arial" w:cs="Arial"/>
          <w:sz w:val="22"/>
          <w:szCs w:val="22"/>
        </w:rPr>
        <w:t xml:space="preserve">safety systems. </w:t>
      </w:r>
    </w:p>
    <w:p w:rsidR="00F14F19" w:rsidRDefault="00840E05" w:rsidP="00840E05">
      <w:pPr>
        <w:rPr>
          <w:rFonts w:ascii="Arial" w:hAnsi="Arial" w:cs="Arial"/>
          <w:sz w:val="22"/>
          <w:szCs w:val="22"/>
        </w:rPr>
      </w:pPr>
      <w:r>
        <w:rPr>
          <w:rFonts w:ascii="Arial" w:hAnsi="Arial" w:cs="Arial"/>
          <w:sz w:val="22"/>
          <w:szCs w:val="22"/>
        </w:rPr>
        <w:t xml:space="preserve">The </w:t>
      </w:r>
      <w:r w:rsidR="008A4AD1">
        <w:rPr>
          <w:rFonts w:ascii="Arial" w:hAnsi="Arial" w:cs="Arial"/>
          <w:sz w:val="22"/>
          <w:szCs w:val="22"/>
        </w:rPr>
        <w:t>Review</w:t>
      </w:r>
      <w:r>
        <w:rPr>
          <w:rFonts w:ascii="Arial" w:hAnsi="Arial" w:cs="Arial"/>
          <w:sz w:val="22"/>
          <w:szCs w:val="22"/>
        </w:rPr>
        <w:t xml:space="preserve"> </w:t>
      </w:r>
      <w:r w:rsidR="00FE0F86">
        <w:rPr>
          <w:rFonts w:ascii="Arial" w:hAnsi="Arial" w:cs="Arial"/>
          <w:sz w:val="22"/>
          <w:szCs w:val="22"/>
        </w:rPr>
        <w:t xml:space="preserve">also </w:t>
      </w:r>
      <w:r>
        <w:rPr>
          <w:rFonts w:ascii="Arial" w:hAnsi="Arial" w:cs="Arial"/>
          <w:sz w:val="22"/>
          <w:szCs w:val="22"/>
        </w:rPr>
        <w:t xml:space="preserve">responds to the strong feedback that </w:t>
      </w:r>
      <w:r w:rsidRPr="00793E83">
        <w:rPr>
          <w:rFonts w:ascii="Arial" w:hAnsi="Arial" w:cs="Arial"/>
          <w:sz w:val="22"/>
          <w:szCs w:val="22"/>
        </w:rPr>
        <w:t xml:space="preserve">a range of improvements in communication and guidance for companies </w:t>
      </w:r>
      <w:r w:rsidR="008A4AD1" w:rsidRPr="00793E83">
        <w:rPr>
          <w:rFonts w:ascii="Arial" w:hAnsi="Arial" w:cs="Arial"/>
          <w:sz w:val="22"/>
          <w:szCs w:val="22"/>
        </w:rPr>
        <w:t>(particularly smaller companies)</w:t>
      </w:r>
      <w:r w:rsidR="008A4AD1">
        <w:rPr>
          <w:rFonts w:ascii="Arial" w:hAnsi="Arial" w:cs="Arial"/>
          <w:sz w:val="22"/>
          <w:szCs w:val="22"/>
        </w:rPr>
        <w:t xml:space="preserve"> </w:t>
      </w:r>
      <w:r w:rsidRPr="00793E83">
        <w:rPr>
          <w:rFonts w:ascii="Arial" w:hAnsi="Arial" w:cs="Arial"/>
          <w:sz w:val="22"/>
          <w:szCs w:val="22"/>
        </w:rPr>
        <w:t xml:space="preserve">seeking first time accreditation </w:t>
      </w:r>
      <w:r w:rsidR="00884479">
        <w:rPr>
          <w:rFonts w:ascii="Arial" w:hAnsi="Arial" w:cs="Arial"/>
          <w:sz w:val="22"/>
          <w:szCs w:val="22"/>
        </w:rPr>
        <w:t>sh</w:t>
      </w:r>
      <w:r>
        <w:rPr>
          <w:rFonts w:ascii="Arial" w:hAnsi="Arial" w:cs="Arial"/>
          <w:sz w:val="22"/>
          <w:szCs w:val="22"/>
        </w:rPr>
        <w:t>ould be introduced</w:t>
      </w:r>
      <w:r w:rsidRPr="00793E83">
        <w:rPr>
          <w:rFonts w:ascii="Arial" w:hAnsi="Arial" w:cs="Arial"/>
          <w:sz w:val="22"/>
          <w:szCs w:val="22"/>
        </w:rPr>
        <w:t>.</w:t>
      </w:r>
      <w:r w:rsidR="004D2E88">
        <w:rPr>
          <w:rFonts w:ascii="Arial" w:hAnsi="Arial" w:cs="Arial"/>
          <w:sz w:val="22"/>
          <w:szCs w:val="22"/>
        </w:rPr>
        <w:t xml:space="preserve"> </w:t>
      </w:r>
    </w:p>
    <w:p w:rsidR="00E63D31" w:rsidRDefault="008A4AD1" w:rsidP="00840E05">
      <w:pPr>
        <w:rPr>
          <w:rFonts w:ascii="Arial" w:hAnsi="Arial" w:cs="Arial"/>
          <w:sz w:val="22"/>
          <w:szCs w:val="22"/>
        </w:rPr>
      </w:pPr>
      <w:r>
        <w:rPr>
          <w:rFonts w:ascii="Arial" w:hAnsi="Arial" w:cs="Arial"/>
          <w:sz w:val="22"/>
          <w:szCs w:val="22"/>
        </w:rPr>
        <w:t>The Review</w:t>
      </w:r>
      <w:r w:rsidR="007E70E9">
        <w:rPr>
          <w:rFonts w:ascii="Arial" w:hAnsi="Arial" w:cs="Arial"/>
          <w:sz w:val="22"/>
          <w:szCs w:val="22"/>
        </w:rPr>
        <w:t xml:space="preserve"> propose</w:t>
      </w:r>
      <w:r>
        <w:rPr>
          <w:rFonts w:ascii="Arial" w:hAnsi="Arial" w:cs="Arial"/>
          <w:sz w:val="22"/>
          <w:szCs w:val="22"/>
        </w:rPr>
        <w:t>s</w:t>
      </w:r>
      <w:r w:rsidR="007E70E9">
        <w:rPr>
          <w:rFonts w:ascii="Arial" w:hAnsi="Arial" w:cs="Arial"/>
          <w:sz w:val="22"/>
          <w:szCs w:val="22"/>
        </w:rPr>
        <w:t xml:space="preserve"> that</w:t>
      </w:r>
      <w:r w:rsidR="00884479">
        <w:rPr>
          <w:rFonts w:ascii="Arial" w:hAnsi="Arial" w:cs="Arial"/>
          <w:sz w:val="22"/>
          <w:szCs w:val="22"/>
        </w:rPr>
        <w:t xml:space="preserve"> </w:t>
      </w:r>
      <w:r w:rsidR="003C30E5">
        <w:rPr>
          <w:rFonts w:ascii="Arial" w:hAnsi="Arial" w:cs="Arial"/>
          <w:sz w:val="22"/>
          <w:szCs w:val="22"/>
        </w:rPr>
        <w:t xml:space="preserve">the </w:t>
      </w:r>
      <w:r w:rsidR="008F3909">
        <w:rPr>
          <w:rFonts w:ascii="Arial" w:hAnsi="Arial" w:cs="Arial"/>
          <w:sz w:val="22"/>
          <w:szCs w:val="22"/>
        </w:rPr>
        <w:t>reaccreditation</w:t>
      </w:r>
      <w:r w:rsidR="003C30E5">
        <w:rPr>
          <w:rFonts w:ascii="Arial" w:hAnsi="Arial" w:cs="Arial"/>
          <w:sz w:val="22"/>
          <w:szCs w:val="22"/>
        </w:rPr>
        <w:t xml:space="preserve"> process be removed entirely and </w:t>
      </w:r>
      <w:r w:rsidR="00884479">
        <w:rPr>
          <w:rFonts w:ascii="Arial" w:hAnsi="Arial" w:cs="Arial"/>
          <w:sz w:val="22"/>
          <w:szCs w:val="22"/>
        </w:rPr>
        <w:t xml:space="preserve">a </w:t>
      </w:r>
      <w:r w:rsidR="00D21F00">
        <w:rPr>
          <w:rFonts w:ascii="Arial" w:hAnsi="Arial" w:cs="Arial"/>
          <w:sz w:val="22"/>
          <w:szCs w:val="22"/>
        </w:rPr>
        <w:t xml:space="preserve">targeted risk-based </w:t>
      </w:r>
      <w:r w:rsidR="00AF20ED">
        <w:rPr>
          <w:rFonts w:ascii="Arial" w:hAnsi="Arial" w:cs="Arial"/>
          <w:sz w:val="22"/>
          <w:szCs w:val="22"/>
        </w:rPr>
        <w:t>approach</w:t>
      </w:r>
      <w:r w:rsidR="00840E05" w:rsidRPr="00793E83">
        <w:rPr>
          <w:rFonts w:ascii="Arial" w:hAnsi="Arial" w:cs="Arial"/>
          <w:sz w:val="22"/>
          <w:szCs w:val="22"/>
        </w:rPr>
        <w:t xml:space="preserve"> </w:t>
      </w:r>
      <w:r w:rsidR="00884479">
        <w:rPr>
          <w:rFonts w:ascii="Arial" w:hAnsi="Arial" w:cs="Arial"/>
          <w:sz w:val="22"/>
          <w:szCs w:val="22"/>
        </w:rPr>
        <w:t>be introduced</w:t>
      </w:r>
      <w:r w:rsidR="00AF20ED">
        <w:rPr>
          <w:rFonts w:ascii="Arial" w:hAnsi="Arial" w:cs="Arial"/>
          <w:sz w:val="22"/>
          <w:szCs w:val="22"/>
        </w:rPr>
        <w:t xml:space="preserve"> to manage </w:t>
      </w:r>
      <w:r w:rsidR="003C30E5">
        <w:rPr>
          <w:rFonts w:ascii="Arial" w:hAnsi="Arial" w:cs="Arial"/>
          <w:sz w:val="22"/>
          <w:szCs w:val="22"/>
        </w:rPr>
        <w:t xml:space="preserve">ongoing </w:t>
      </w:r>
      <w:r w:rsidR="00D21F00">
        <w:rPr>
          <w:rFonts w:ascii="Arial" w:hAnsi="Arial" w:cs="Arial"/>
          <w:sz w:val="22"/>
          <w:szCs w:val="22"/>
        </w:rPr>
        <w:t xml:space="preserve">accredited </w:t>
      </w:r>
      <w:r w:rsidR="00AF20ED">
        <w:rPr>
          <w:rFonts w:ascii="Arial" w:hAnsi="Arial" w:cs="Arial"/>
          <w:sz w:val="22"/>
          <w:szCs w:val="22"/>
        </w:rPr>
        <w:t>company</w:t>
      </w:r>
      <w:r w:rsidR="003C30E5">
        <w:rPr>
          <w:rFonts w:ascii="Arial" w:hAnsi="Arial" w:cs="Arial"/>
          <w:sz w:val="22"/>
          <w:szCs w:val="22"/>
        </w:rPr>
        <w:t xml:space="preserve"> </w:t>
      </w:r>
      <w:r w:rsidR="00AF20ED">
        <w:rPr>
          <w:rFonts w:ascii="Arial" w:hAnsi="Arial" w:cs="Arial"/>
          <w:sz w:val="22"/>
          <w:szCs w:val="22"/>
        </w:rPr>
        <w:t>audits and</w:t>
      </w:r>
      <w:r w:rsidR="003C30E5">
        <w:rPr>
          <w:rFonts w:ascii="Arial" w:hAnsi="Arial" w:cs="Arial"/>
          <w:sz w:val="22"/>
          <w:szCs w:val="22"/>
        </w:rPr>
        <w:t xml:space="preserve"> compliance</w:t>
      </w:r>
      <w:r w:rsidR="007C4047">
        <w:rPr>
          <w:rFonts w:ascii="Arial" w:hAnsi="Arial" w:cs="Arial"/>
          <w:sz w:val="22"/>
          <w:szCs w:val="22"/>
        </w:rPr>
        <w:t>, all the while maintaining an appropriate balance between reducing red tape and not reducing safety outcomes. Resource constraints in recent years have meant that some companies go through a three year accreditation period without any periodic maintenance audit check but are then subjected to multiple audits within a short timeframe at the reaccreditation stage</w:t>
      </w:r>
      <w:r w:rsidR="00545171">
        <w:rPr>
          <w:rFonts w:ascii="Arial" w:hAnsi="Arial" w:cs="Arial"/>
          <w:sz w:val="22"/>
          <w:szCs w:val="22"/>
        </w:rPr>
        <w:t xml:space="preserve">. </w:t>
      </w:r>
      <w:r w:rsidR="007C4047">
        <w:rPr>
          <w:rFonts w:ascii="Arial" w:hAnsi="Arial" w:cs="Arial"/>
          <w:sz w:val="22"/>
          <w:szCs w:val="22"/>
        </w:rPr>
        <w:t>A targeted risk</w:t>
      </w:r>
      <w:r w:rsidR="008F3909">
        <w:rPr>
          <w:rFonts w:ascii="Arial" w:hAnsi="Arial" w:cs="Arial"/>
          <w:sz w:val="22"/>
          <w:szCs w:val="22"/>
        </w:rPr>
        <w:t>-</w:t>
      </w:r>
      <w:r w:rsidR="007C4047">
        <w:rPr>
          <w:rFonts w:ascii="Arial" w:hAnsi="Arial" w:cs="Arial"/>
          <w:sz w:val="22"/>
          <w:szCs w:val="22"/>
        </w:rPr>
        <w:t xml:space="preserve">based approach will </w:t>
      </w:r>
      <w:r w:rsidR="00545171">
        <w:rPr>
          <w:rFonts w:ascii="Arial" w:hAnsi="Arial" w:cs="Arial"/>
          <w:sz w:val="22"/>
          <w:szCs w:val="22"/>
        </w:rPr>
        <w:t xml:space="preserve">provide the certainty of </w:t>
      </w:r>
      <w:r w:rsidR="008724C8">
        <w:rPr>
          <w:rFonts w:ascii="Arial" w:hAnsi="Arial" w:cs="Arial"/>
          <w:sz w:val="22"/>
          <w:szCs w:val="22"/>
        </w:rPr>
        <w:t xml:space="preserve">regular, periodic </w:t>
      </w:r>
      <w:r w:rsidR="00545171">
        <w:rPr>
          <w:rFonts w:ascii="Arial" w:hAnsi="Arial" w:cs="Arial"/>
          <w:sz w:val="22"/>
          <w:szCs w:val="22"/>
        </w:rPr>
        <w:t>maintenance audits for good performers and allow an increased focus (</w:t>
      </w:r>
      <w:r w:rsidR="008724C8">
        <w:rPr>
          <w:rFonts w:ascii="Arial" w:hAnsi="Arial" w:cs="Arial"/>
          <w:sz w:val="22"/>
          <w:szCs w:val="22"/>
        </w:rPr>
        <w:t xml:space="preserve">including </w:t>
      </w:r>
      <w:r w:rsidR="00545171">
        <w:rPr>
          <w:rFonts w:ascii="Arial" w:hAnsi="Arial" w:cs="Arial"/>
          <w:sz w:val="22"/>
          <w:szCs w:val="22"/>
        </w:rPr>
        <w:t xml:space="preserve">more regular auditing) for those companies not meeting Scheme requirements. </w:t>
      </w:r>
      <w:r w:rsidR="007C4047">
        <w:rPr>
          <w:rFonts w:ascii="Arial" w:hAnsi="Arial" w:cs="Arial"/>
          <w:sz w:val="22"/>
          <w:szCs w:val="22"/>
        </w:rPr>
        <w:t>This will lead to an increased focus on those companies not performing well, while benefitting those companies with a good track record</w:t>
      </w:r>
      <w:r w:rsidR="00545171">
        <w:rPr>
          <w:rFonts w:ascii="Arial" w:hAnsi="Arial" w:cs="Arial"/>
          <w:sz w:val="22"/>
          <w:szCs w:val="22"/>
        </w:rPr>
        <w:t xml:space="preserve">, by directing </w:t>
      </w:r>
      <w:r w:rsidR="00D21F00">
        <w:rPr>
          <w:rFonts w:ascii="Arial" w:hAnsi="Arial" w:cs="Arial"/>
          <w:sz w:val="22"/>
          <w:szCs w:val="22"/>
        </w:rPr>
        <w:t>greater audit resources to</w:t>
      </w:r>
      <w:r w:rsidR="00BC7121">
        <w:rPr>
          <w:rFonts w:ascii="Arial" w:hAnsi="Arial" w:cs="Arial"/>
          <w:sz w:val="22"/>
          <w:szCs w:val="22"/>
        </w:rPr>
        <w:t xml:space="preserve"> higher-risk companies.</w:t>
      </w:r>
      <w:r w:rsidR="00884479">
        <w:rPr>
          <w:rFonts w:ascii="Arial" w:hAnsi="Arial" w:cs="Arial"/>
          <w:sz w:val="22"/>
          <w:szCs w:val="22"/>
        </w:rPr>
        <w:t xml:space="preserve"> </w:t>
      </w:r>
    </w:p>
    <w:p w:rsidR="00E63D31" w:rsidRDefault="00E63D31" w:rsidP="00840E05">
      <w:pPr>
        <w:rPr>
          <w:rFonts w:ascii="Arial" w:hAnsi="Arial" w:cs="Arial"/>
          <w:sz w:val="22"/>
          <w:szCs w:val="22"/>
        </w:rPr>
      </w:pPr>
    </w:p>
    <w:p w:rsidR="007C4047" w:rsidRDefault="0081575B" w:rsidP="00793E83">
      <w:pPr>
        <w:rPr>
          <w:rFonts w:ascii="Arial" w:hAnsi="Arial" w:cs="Arial"/>
          <w:sz w:val="22"/>
          <w:szCs w:val="22"/>
        </w:rPr>
      </w:pPr>
      <w:r w:rsidRPr="00793E83">
        <w:rPr>
          <w:rFonts w:ascii="Arial" w:hAnsi="Arial" w:cs="Arial"/>
          <w:sz w:val="22"/>
          <w:szCs w:val="22"/>
        </w:rPr>
        <w:t xml:space="preserve">These proposals address all </w:t>
      </w:r>
      <w:r w:rsidRPr="007C4047">
        <w:rPr>
          <w:rFonts w:ascii="Arial" w:hAnsi="Arial" w:cs="Arial"/>
          <w:sz w:val="22"/>
          <w:szCs w:val="22"/>
        </w:rPr>
        <w:t>five</w:t>
      </w:r>
      <w:r w:rsidRPr="00793E83">
        <w:rPr>
          <w:rFonts w:ascii="Arial" w:hAnsi="Arial" w:cs="Arial"/>
          <w:sz w:val="22"/>
          <w:szCs w:val="22"/>
        </w:rPr>
        <w:t xml:space="preserve"> key areas </w:t>
      </w:r>
      <w:r w:rsidR="00615993">
        <w:rPr>
          <w:rFonts w:ascii="Arial" w:hAnsi="Arial" w:cs="Arial"/>
          <w:sz w:val="22"/>
          <w:szCs w:val="22"/>
        </w:rPr>
        <w:t xml:space="preserve">recommended </w:t>
      </w:r>
      <w:r w:rsidRPr="00793E83">
        <w:rPr>
          <w:rFonts w:ascii="Arial" w:hAnsi="Arial" w:cs="Arial"/>
          <w:sz w:val="22"/>
          <w:szCs w:val="22"/>
        </w:rPr>
        <w:t>by the Productivity Commission</w:t>
      </w:r>
      <w:r w:rsidR="00F923C5">
        <w:rPr>
          <w:rStyle w:val="FootnoteReference"/>
          <w:rFonts w:ascii="Arial" w:hAnsi="Arial" w:cs="Arial"/>
          <w:sz w:val="22"/>
          <w:szCs w:val="22"/>
        </w:rPr>
        <w:footnoteReference w:id="2"/>
      </w:r>
      <w:r w:rsidR="007C4047">
        <w:rPr>
          <w:rFonts w:ascii="Arial" w:hAnsi="Arial" w:cs="Arial"/>
          <w:sz w:val="22"/>
          <w:szCs w:val="22"/>
        </w:rPr>
        <w:t xml:space="preserve">, namely </w:t>
      </w:r>
    </w:p>
    <w:p w:rsidR="007C4047" w:rsidRDefault="007C4047" w:rsidP="008C1B31">
      <w:pPr>
        <w:pStyle w:val="ListParagraph"/>
        <w:numPr>
          <w:ilvl w:val="0"/>
          <w:numId w:val="14"/>
        </w:numPr>
        <w:rPr>
          <w:rFonts w:ascii="Arial" w:hAnsi="Arial" w:cs="Arial"/>
        </w:rPr>
      </w:pPr>
      <w:r w:rsidRPr="007C4047">
        <w:rPr>
          <w:rFonts w:ascii="Arial" w:hAnsi="Arial" w:cs="Arial"/>
        </w:rPr>
        <w:t>cl</w:t>
      </w:r>
      <w:r w:rsidR="00545171">
        <w:rPr>
          <w:rFonts w:ascii="Arial" w:hAnsi="Arial" w:cs="Arial"/>
        </w:rPr>
        <w:t>ear and effective communication</w:t>
      </w:r>
    </w:p>
    <w:p w:rsidR="007C4047" w:rsidRDefault="007C4047" w:rsidP="008C1B31">
      <w:pPr>
        <w:pStyle w:val="ListParagraph"/>
        <w:numPr>
          <w:ilvl w:val="0"/>
          <w:numId w:val="14"/>
        </w:numPr>
        <w:rPr>
          <w:rFonts w:ascii="Arial" w:hAnsi="Arial" w:cs="Arial"/>
        </w:rPr>
      </w:pPr>
      <w:r w:rsidRPr="007C4047">
        <w:rPr>
          <w:rFonts w:ascii="Arial" w:hAnsi="Arial" w:cs="Arial"/>
        </w:rPr>
        <w:t>risk-based require</w:t>
      </w:r>
      <w:r w:rsidR="00545171">
        <w:rPr>
          <w:rFonts w:ascii="Arial" w:hAnsi="Arial" w:cs="Arial"/>
        </w:rPr>
        <w:t>ments and proportionate actions</w:t>
      </w:r>
    </w:p>
    <w:p w:rsidR="007C4047" w:rsidRDefault="007C4047" w:rsidP="008C1B31">
      <w:pPr>
        <w:pStyle w:val="ListParagraph"/>
        <w:numPr>
          <w:ilvl w:val="0"/>
          <w:numId w:val="14"/>
        </w:numPr>
        <w:rPr>
          <w:rFonts w:ascii="Arial" w:hAnsi="Arial" w:cs="Arial"/>
        </w:rPr>
      </w:pPr>
      <w:r w:rsidRPr="007C4047">
        <w:rPr>
          <w:rFonts w:ascii="Arial" w:hAnsi="Arial" w:cs="Arial"/>
        </w:rPr>
        <w:t xml:space="preserve">consistency in decision making, the application of rules, and engagement with clients or stakeholder </w:t>
      </w:r>
    </w:p>
    <w:p w:rsidR="007C4047" w:rsidRDefault="007C4047" w:rsidP="008C1B31">
      <w:pPr>
        <w:pStyle w:val="ListParagraph"/>
        <w:numPr>
          <w:ilvl w:val="0"/>
          <w:numId w:val="14"/>
        </w:numPr>
        <w:rPr>
          <w:rFonts w:ascii="Arial" w:hAnsi="Arial" w:cs="Arial"/>
        </w:rPr>
      </w:pPr>
      <w:r w:rsidRPr="007C4047">
        <w:rPr>
          <w:rFonts w:ascii="Arial" w:hAnsi="Arial" w:cs="Arial"/>
        </w:rPr>
        <w:t xml:space="preserve">accountability and transparency in actions </w:t>
      </w:r>
    </w:p>
    <w:p w:rsidR="007C4047" w:rsidRPr="007C4047" w:rsidRDefault="007C4047" w:rsidP="008C1B31">
      <w:pPr>
        <w:pStyle w:val="ListParagraph"/>
        <w:numPr>
          <w:ilvl w:val="0"/>
          <w:numId w:val="14"/>
        </w:numPr>
        <w:rPr>
          <w:rFonts w:ascii="Arial" w:hAnsi="Arial" w:cs="Arial"/>
        </w:rPr>
      </w:pPr>
      <w:r w:rsidRPr="007C4047">
        <w:rPr>
          <w:rFonts w:ascii="Arial" w:hAnsi="Arial" w:cs="Arial"/>
        </w:rPr>
        <w:t>a commitment to continuous improvement, including acting on findings in regard to the need for and effectiveness of the regulation.</w:t>
      </w:r>
      <w:r w:rsidR="004D2E88">
        <w:rPr>
          <w:rFonts w:ascii="Arial" w:hAnsi="Arial" w:cs="Arial"/>
          <w:color w:val="FF0000"/>
        </w:rPr>
        <w:t xml:space="preserve"> </w:t>
      </w:r>
    </w:p>
    <w:p w:rsidR="00A43F26" w:rsidRPr="00CF1650" w:rsidRDefault="00E63D31" w:rsidP="007C4047">
      <w:pPr>
        <w:rPr>
          <w:rFonts w:ascii="Arial" w:hAnsi="Arial" w:cs="Arial"/>
          <w:sz w:val="22"/>
          <w:szCs w:val="22"/>
        </w:rPr>
      </w:pPr>
      <w:r w:rsidRPr="007C4047">
        <w:rPr>
          <w:rFonts w:ascii="Arial" w:hAnsi="Arial" w:cs="Arial"/>
          <w:sz w:val="22"/>
          <w:szCs w:val="22"/>
        </w:rPr>
        <w:t>Furthermore</w:t>
      </w:r>
      <w:r w:rsidR="0081575B" w:rsidRPr="007C4047">
        <w:rPr>
          <w:rFonts w:ascii="Arial" w:hAnsi="Arial" w:cs="Arial"/>
          <w:sz w:val="22"/>
          <w:szCs w:val="22"/>
        </w:rPr>
        <w:t xml:space="preserve">, </w:t>
      </w:r>
      <w:r w:rsidRPr="007C4047">
        <w:rPr>
          <w:rFonts w:ascii="Arial" w:hAnsi="Arial" w:cs="Arial"/>
          <w:sz w:val="22"/>
          <w:szCs w:val="22"/>
        </w:rPr>
        <w:t xml:space="preserve">they </w:t>
      </w:r>
      <w:r w:rsidR="0081575B" w:rsidRPr="007C4047">
        <w:rPr>
          <w:rFonts w:ascii="Arial" w:hAnsi="Arial" w:cs="Arial"/>
          <w:sz w:val="22"/>
          <w:szCs w:val="22"/>
        </w:rPr>
        <w:t xml:space="preserve">will </w:t>
      </w:r>
      <w:r w:rsidR="00615993" w:rsidRPr="007C4047">
        <w:rPr>
          <w:rFonts w:ascii="Arial" w:hAnsi="Arial" w:cs="Arial"/>
          <w:sz w:val="22"/>
          <w:szCs w:val="22"/>
        </w:rPr>
        <w:t xml:space="preserve">improve safety outcomes by </w:t>
      </w:r>
      <w:r w:rsidR="0081575B" w:rsidRPr="007C4047">
        <w:rPr>
          <w:rFonts w:ascii="Arial" w:hAnsi="Arial" w:cs="Arial"/>
          <w:sz w:val="22"/>
          <w:szCs w:val="22"/>
        </w:rPr>
        <w:t>increas</w:t>
      </w:r>
      <w:r w:rsidR="00615993" w:rsidRPr="007C4047">
        <w:rPr>
          <w:rFonts w:ascii="Arial" w:hAnsi="Arial" w:cs="Arial"/>
          <w:sz w:val="22"/>
          <w:szCs w:val="22"/>
        </w:rPr>
        <w:t>ing</w:t>
      </w:r>
      <w:r w:rsidR="0081575B" w:rsidRPr="007C4047">
        <w:rPr>
          <w:rFonts w:ascii="Arial" w:hAnsi="Arial" w:cs="Arial"/>
          <w:sz w:val="22"/>
          <w:szCs w:val="22"/>
        </w:rPr>
        <w:t xml:space="preserve"> the </w:t>
      </w:r>
      <w:r w:rsidR="007E70E9" w:rsidRPr="007C4047">
        <w:rPr>
          <w:rFonts w:ascii="Arial" w:hAnsi="Arial" w:cs="Arial"/>
          <w:sz w:val="22"/>
          <w:szCs w:val="22"/>
        </w:rPr>
        <w:t xml:space="preserve">auditing </w:t>
      </w:r>
      <w:r w:rsidR="0081575B" w:rsidRPr="007C4047">
        <w:rPr>
          <w:rFonts w:ascii="Arial" w:hAnsi="Arial" w:cs="Arial"/>
          <w:sz w:val="22"/>
          <w:szCs w:val="22"/>
        </w:rPr>
        <w:t xml:space="preserve">resources that can be applied to </w:t>
      </w:r>
      <w:r w:rsidR="00C347EF" w:rsidRPr="007C4047">
        <w:rPr>
          <w:rFonts w:ascii="Arial" w:hAnsi="Arial" w:cs="Arial"/>
          <w:sz w:val="22"/>
          <w:szCs w:val="22"/>
        </w:rPr>
        <w:t xml:space="preserve">those </w:t>
      </w:r>
      <w:r w:rsidR="0081575B" w:rsidRPr="007C4047">
        <w:rPr>
          <w:rFonts w:ascii="Arial" w:hAnsi="Arial" w:cs="Arial"/>
          <w:sz w:val="22"/>
          <w:szCs w:val="22"/>
        </w:rPr>
        <w:t xml:space="preserve">companies </w:t>
      </w:r>
      <w:r w:rsidR="00A43F26" w:rsidRPr="007C4047">
        <w:rPr>
          <w:rFonts w:ascii="Arial" w:hAnsi="Arial" w:cs="Arial"/>
          <w:sz w:val="22"/>
          <w:szCs w:val="22"/>
        </w:rPr>
        <w:t>most needing support</w:t>
      </w:r>
      <w:r w:rsidR="0081575B" w:rsidRPr="007C4047">
        <w:rPr>
          <w:rFonts w:ascii="Arial" w:hAnsi="Arial" w:cs="Arial"/>
          <w:sz w:val="22"/>
          <w:szCs w:val="22"/>
        </w:rPr>
        <w:t>, whil</w:t>
      </w:r>
      <w:r w:rsidR="00B46210" w:rsidRPr="007C4047">
        <w:rPr>
          <w:rFonts w:ascii="Arial" w:hAnsi="Arial" w:cs="Arial"/>
          <w:sz w:val="22"/>
          <w:szCs w:val="22"/>
        </w:rPr>
        <w:t>e</w:t>
      </w:r>
      <w:r w:rsidR="0081575B" w:rsidRPr="007C4047">
        <w:rPr>
          <w:rFonts w:ascii="Arial" w:hAnsi="Arial" w:cs="Arial"/>
          <w:sz w:val="22"/>
          <w:szCs w:val="22"/>
        </w:rPr>
        <w:t xml:space="preserve"> reducing the burden on companies</w:t>
      </w:r>
      <w:r w:rsidR="00242476" w:rsidRPr="007C4047">
        <w:rPr>
          <w:rFonts w:ascii="Arial" w:hAnsi="Arial" w:cs="Arial"/>
          <w:sz w:val="22"/>
          <w:szCs w:val="22"/>
        </w:rPr>
        <w:t xml:space="preserve"> with a strong record of safety and adherence to Scheme requirements</w:t>
      </w:r>
      <w:r w:rsidR="00242476" w:rsidRPr="00CF1650">
        <w:rPr>
          <w:rFonts w:ascii="Arial" w:hAnsi="Arial" w:cs="Arial"/>
          <w:sz w:val="22"/>
          <w:szCs w:val="22"/>
        </w:rPr>
        <w:t>.</w:t>
      </w:r>
      <w:r w:rsidR="005E6C02" w:rsidRPr="00CF1650">
        <w:rPr>
          <w:rFonts w:ascii="Arial" w:hAnsi="Arial" w:cs="Arial"/>
          <w:sz w:val="22"/>
          <w:szCs w:val="22"/>
        </w:rPr>
        <w:t xml:space="preserve"> Importantly, the recommendations will not reduce the </w:t>
      </w:r>
      <w:r w:rsidR="00CF1650" w:rsidRPr="00CF1650">
        <w:rPr>
          <w:rFonts w:ascii="Arial" w:hAnsi="Arial" w:cs="Arial"/>
          <w:sz w:val="22"/>
          <w:szCs w:val="22"/>
        </w:rPr>
        <w:t xml:space="preserve">high </w:t>
      </w:r>
      <w:r w:rsidR="005E6C02" w:rsidRPr="00CF1650">
        <w:rPr>
          <w:rFonts w:ascii="Arial" w:hAnsi="Arial" w:cs="Arial"/>
          <w:sz w:val="22"/>
          <w:szCs w:val="22"/>
        </w:rPr>
        <w:t xml:space="preserve">level of safety standards </w:t>
      </w:r>
      <w:r w:rsidR="00F338E7" w:rsidRPr="00CF1650">
        <w:rPr>
          <w:rFonts w:ascii="Arial" w:hAnsi="Arial" w:cs="Arial"/>
          <w:sz w:val="22"/>
          <w:szCs w:val="22"/>
        </w:rPr>
        <w:t xml:space="preserve">required by the </w:t>
      </w:r>
      <w:r w:rsidR="005E6C02" w:rsidRPr="00CF1650">
        <w:rPr>
          <w:rFonts w:ascii="Arial" w:hAnsi="Arial" w:cs="Arial"/>
          <w:sz w:val="22"/>
          <w:szCs w:val="22"/>
        </w:rPr>
        <w:t>Scheme.</w:t>
      </w:r>
    </w:p>
    <w:p w:rsidR="000C4CA7" w:rsidRPr="00793E83" w:rsidRDefault="000C4CA7" w:rsidP="00793E83">
      <w:pPr>
        <w:rPr>
          <w:rFonts w:ascii="Arial" w:hAnsi="Arial" w:cs="Arial"/>
          <w:sz w:val="22"/>
          <w:szCs w:val="22"/>
        </w:rPr>
      </w:pPr>
    </w:p>
    <w:p w:rsidR="005A4915" w:rsidRPr="00FE0F86" w:rsidRDefault="005A4915" w:rsidP="00B01E1D">
      <w:pPr>
        <w:pStyle w:val="Heading1"/>
        <w:rPr>
          <w:color w:val="FF0000"/>
          <w:sz w:val="20"/>
          <w:szCs w:val="20"/>
        </w:rPr>
      </w:pPr>
      <w:bookmarkStart w:id="2" w:name="_Toc390429500"/>
      <w:r w:rsidRPr="005A4915">
        <w:t>Recommendations</w:t>
      </w:r>
      <w:bookmarkEnd w:id="2"/>
      <w:r w:rsidR="00401A36">
        <w:t xml:space="preserve"> </w:t>
      </w:r>
    </w:p>
    <w:p w:rsidR="00913457" w:rsidRPr="001F6E29" w:rsidRDefault="00913457" w:rsidP="001A1425">
      <w:pPr>
        <w:rPr>
          <w:rFonts w:ascii="Arial" w:hAnsi="Arial" w:cs="Arial"/>
          <w:b/>
          <w:u w:val="single"/>
        </w:rPr>
      </w:pPr>
    </w:p>
    <w:p w:rsidR="00913457" w:rsidRPr="001F6E29" w:rsidRDefault="00296333" w:rsidP="001A1425">
      <w:pPr>
        <w:rPr>
          <w:rFonts w:ascii="Arial" w:hAnsi="Arial" w:cs="Arial"/>
          <w:sz w:val="22"/>
          <w:szCs w:val="22"/>
        </w:rPr>
      </w:pPr>
      <w:r>
        <w:rPr>
          <w:rFonts w:ascii="Arial" w:hAnsi="Arial" w:cs="Arial"/>
          <w:sz w:val="22"/>
          <w:szCs w:val="22"/>
        </w:rPr>
        <w:t xml:space="preserve">The Review </w:t>
      </w:r>
      <w:r w:rsidR="00834989">
        <w:rPr>
          <w:rFonts w:ascii="Arial" w:hAnsi="Arial" w:cs="Arial"/>
          <w:sz w:val="22"/>
          <w:szCs w:val="22"/>
        </w:rPr>
        <w:t xml:space="preserve">makes the following </w:t>
      </w:r>
      <w:r>
        <w:rPr>
          <w:rFonts w:ascii="Arial" w:hAnsi="Arial" w:cs="Arial"/>
          <w:sz w:val="22"/>
          <w:szCs w:val="22"/>
        </w:rPr>
        <w:t>recommend</w:t>
      </w:r>
      <w:r w:rsidR="00834989">
        <w:rPr>
          <w:rFonts w:ascii="Arial" w:hAnsi="Arial" w:cs="Arial"/>
          <w:sz w:val="22"/>
          <w:szCs w:val="22"/>
        </w:rPr>
        <w:t>ation</w:t>
      </w:r>
      <w:r>
        <w:rPr>
          <w:rFonts w:ascii="Arial" w:hAnsi="Arial" w:cs="Arial"/>
          <w:sz w:val="22"/>
          <w:szCs w:val="22"/>
        </w:rPr>
        <w:t>s</w:t>
      </w:r>
      <w:r w:rsidR="00913457" w:rsidRPr="001F6E29">
        <w:rPr>
          <w:rFonts w:ascii="Arial" w:hAnsi="Arial" w:cs="Arial"/>
          <w:sz w:val="22"/>
          <w:szCs w:val="22"/>
        </w:rPr>
        <w:t xml:space="preserve">: </w:t>
      </w:r>
    </w:p>
    <w:p w:rsidR="00405B87" w:rsidRDefault="00405B87" w:rsidP="00405B87">
      <w:pPr>
        <w:rPr>
          <w:rFonts w:ascii="Arial" w:hAnsi="Arial" w:cs="Arial"/>
          <w:sz w:val="22"/>
          <w:szCs w:val="22"/>
        </w:rPr>
      </w:pPr>
    </w:p>
    <w:p w:rsidR="00161890" w:rsidRPr="005F4928" w:rsidRDefault="00161890" w:rsidP="00226B47">
      <w:pPr>
        <w:pStyle w:val="Heading2"/>
      </w:pPr>
      <w:r w:rsidRPr="005F4928">
        <w:t>Coverage</w:t>
      </w:r>
      <w:r w:rsidR="008752E4" w:rsidRPr="005F4928">
        <w:t xml:space="preserve"> of Scheme</w:t>
      </w:r>
    </w:p>
    <w:p w:rsidR="00161890" w:rsidRPr="009406F8" w:rsidRDefault="00161890" w:rsidP="00405B87">
      <w:pPr>
        <w:rPr>
          <w:rFonts w:ascii="Arial" w:hAnsi="Arial" w:cs="Arial"/>
          <w:sz w:val="22"/>
          <w:szCs w:val="22"/>
        </w:rPr>
      </w:pPr>
    </w:p>
    <w:p w:rsidR="00405B87" w:rsidRPr="009406F8" w:rsidRDefault="00405B87" w:rsidP="005E46C2">
      <w:pPr>
        <w:numPr>
          <w:ilvl w:val="0"/>
          <w:numId w:val="6"/>
        </w:numPr>
        <w:rPr>
          <w:rFonts w:ascii="Arial" w:hAnsi="Arial" w:cs="Arial"/>
          <w:sz w:val="22"/>
          <w:szCs w:val="22"/>
        </w:rPr>
      </w:pPr>
      <w:r w:rsidRPr="009406F8">
        <w:rPr>
          <w:rFonts w:ascii="Arial" w:hAnsi="Arial" w:cs="Arial"/>
          <w:sz w:val="22"/>
          <w:szCs w:val="22"/>
        </w:rPr>
        <w:t xml:space="preserve">The thresholds </w:t>
      </w:r>
      <w:r w:rsidR="00161A56">
        <w:rPr>
          <w:rFonts w:ascii="Arial" w:hAnsi="Arial" w:cs="Arial"/>
          <w:sz w:val="22"/>
          <w:szCs w:val="22"/>
        </w:rPr>
        <w:t xml:space="preserve">applying to the Scheme </w:t>
      </w:r>
      <w:r w:rsidRPr="009406F8">
        <w:rPr>
          <w:rFonts w:ascii="Arial" w:hAnsi="Arial" w:cs="Arial"/>
          <w:sz w:val="22"/>
          <w:szCs w:val="22"/>
        </w:rPr>
        <w:t>for directly and indirectly funded building work be increased from $3</w:t>
      </w:r>
      <w:r w:rsidR="00753800">
        <w:rPr>
          <w:rFonts w:ascii="Arial" w:hAnsi="Arial" w:cs="Arial"/>
          <w:sz w:val="22"/>
          <w:szCs w:val="22"/>
        </w:rPr>
        <w:t xml:space="preserve"> </w:t>
      </w:r>
      <w:r w:rsidRPr="009406F8">
        <w:rPr>
          <w:rFonts w:ascii="Arial" w:hAnsi="Arial" w:cs="Arial"/>
          <w:sz w:val="22"/>
          <w:szCs w:val="22"/>
        </w:rPr>
        <w:t>m</w:t>
      </w:r>
      <w:r w:rsidR="00753800">
        <w:rPr>
          <w:rFonts w:ascii="Arial" w:hAnsi="Arial" w:cs="Arial"/>
          <w:sz w:val="22"/>
          <w:szCs w:val="22"/>
        </w:rPr>
        <w:t xml:space="preserve">illion </w:t>
      </w:r>
      <w:r w:rsidRPr="009406F8">
        <w:rPr>
          <w:rFonts w:ascii="Arial" w:hAnsi="Arial" w:cs="Arial"/>
          <w:sz w:val="22"/>
          <w:szCs w:val="22"/>
        </w:rPr>
        <w:t>and $5</w:t>
      </w:r>
      <w:r w:rsidR="00753800">
        <w:rPr>
          <w:rFonts w:ascii="Arial" w:hAnsi="Arial" w:cs="Arial"/>
          <w:sz w:val="22"/>
          <w:szCs w:val="22"/>
        </w:rPr>
        <w:t xml:space="preserve"> </w:t>
      </w:r>
      <w:r w:rsidRPr="009406F8">
        <w:rPr>
          <w:rFonts w:ascii="Arial" w:hAnsi="Arial" w:cs="Arial"/>
          <w:sz w:val="22"/>
          <w:szCs w:val="22"/>
        </w:rPr>
        <w:t>m</w:t>
      </w:r>
      <w:r w:rsidR="00753800">
        <w:rPr>
          <w:rFonts w:ascii="Arial" w:hAnsi="Arial" w:cs="Arial"/>
          <w:sz w:val="22"/>
          <w:szCs w:val="22"/>
        </w:rPr>
        <w:t>illion</w:t>
      </w:r>
      <w:r w:rsidRPr="009406F8">
        <w:rPr>
          <w:rFonts w:ascii="Arial" w:hAnsi="Arial" w:cs="Arial"/>
          <w:sz w:val="22"/>
          <w:szCs w:val="22"/>
        </w:rPr>
        <w:t xml:space="preserve"> to $4 million and $6 million respectively</w:t>
      </w:r>
      <w:r w:rsidR="00834989">
        <w:rPr>
          <w:rFonts w:ascii="Arial" w:hAnsi="Arial" w:cs="Arial"/>
          <w:sz w:val="22"/>
          <w:szCs w:val="22"/>
        </w:rPr>
        <w:t>.</w:t>
      </w:r>
    </w:p>
    <w:p w:rsidR="00405B87" w:rsidRPr="009406F8" w:rsidRDefault="00405B87" w:rsidP="00D968B3">
      <w:pPr>
        <w:rPr>
          <w:rFonts w:ascii="Arial" w:hAnsi="Arial" w:cs="Arial"/>
          <w:sz w:val="22"/>
          <w:szCs w:val="22"/>
        </w:rPr>
      </w:pPr>
    </w:p>
    <w:p w:rsidR="00405B87" w:rsidRDefault="00405B87" w:rsidP="005E46C2">
      <w:pPr>
        <w:numPr>
          <w:ilvl w:val="0"/>
          <w:numId w:val="6"/>
        </w:numPr>
        <w:rPr>
          <w:rFonts w:ascii="Arial" w:hAnsi="Arial" w:cs="Arial"/>
          <w:sz w:val="22"/>
          <w:szCs w:val="22"/>
        </w:rPr>
      </w:pPr>
      <w:r w:rsidRPr="009406F8">
        <w:rPr>
          <w:rFonts w:ascii="Arial" w:hAnsi="Arial" w:cs="Arial"/>
          <w:sz w:val="22"/>
          <w:szCs w:val="22"/>
        </w:rPr>
        <w:t xml:space="preserve">The thresholds </w:t>
      </w:r>
      <w:r w:rsidR="00753800">
        <w:rPr>
          <w:rFonts w:ascii="Arial" w:hAnsi="Arial" w:cs="Arial"/>
          <w:sz w:val="22"/>
          <w:szCs w:val="22"/>
        </w:rPr>
        <w:t xml:space="preserve">applying to the Scheme </w:t>
      </w:r>
      <w:r w:rsidRPr="009406F8">
        <w:rPr>
          <w:rFonts w:ascii="Arial" w:hAnsi="Arial" w:cs="Arial"/>
          <w:sz w:val="22"/>
          <w:szCs w:val="22"/>
        </w:rPr>
        <w:t xml:space="preserve">be </w:t>
      </w:r>
      <w:r w:rsidR="009C7F4C">
        <w:rPr>
          <w:rFonts w:ascii="Arial" w:hAnsi="Arial" w:cs="Arial"/>
          <w:sz w:val="22"/>
          <w:szCs w:val="22"/>
        </w:rPr>
        <w:t xml:space="preserve">adjusted for price movements in the building industry </w:t>
      </w:r>
      <w:r w:rsidRPr="009406F8">
        <w:rPr>
          <w:rFonts w:ascii="Arial" w:hAnsi="Arial" w:cs="Arial"/>
          <w:sz w:val="22"/>
          <w:szCs w:val="22"/>
        </w:rPr>
        <w:t>every three years</w:t>
      </w:r>
      <w:r w:rsidR="005E2374">
        <w:rPr>
          <w:rFonts w:ascii="Arial" w:hAnsi="Arial" w:cs="Arial"/>
          <w:sz w:val="22"/>
          <w:szCs w:val="22"/>
        </w:rPr>
        <w:t>.</w:t>
      </w:r>
    </w:p>
    <w:p w:rsidR="00753800" w:rsidRDefault="00753800" w:rsidP="00D968B3">
      <w:pPr>
        <w:ind w:left="720"/>
        <w:rPr>
          <w:rFonts w:ascii="Arial" w:hAnsi="Arial" w:cs="Arial"/>
          <w:sz w:val="22"/>
          <w:szCs w:val="22"/>
        </w:rPr>
      </w:pPr>
    </w:p>
    <w:p w:rsidR="00753800" w:rsidRPr="009406F8" w:rsidRDefault="009F6F45" w:rsidP="005E46C2">
      <w:pPr>
        <w:numPr>
          <w:ilvl w:val="0"/>
          <w:numId w:val="6"/>
        </w:numPr>
        <w:rPr>
          <w:rFonts w:ascii="Arial" w:hAnsi="Arial" w:cs="Arial"/>
          <w:sz w:val="22"/>
          <w:szCs w:val="22"/>
        </w:rPr>
      </w:pPr>
      <w:r w:rsidRPr="009406F8">
        <w:rPr>
          <w:rFonts w:ascii="Arial" w:hAnsi="Arial" w:cs="Arial"/>
          <w:sz w:val="22"/>
          <w:szCs w:val="22"/>
        </w:rPr>
        <w:t xml:space="preserve">The Scheme not </w:t>
      </w:r>
      <w:r>
        <w:rPr>
          <w:rFonts w:ascii="Arial" w:hAnsi="Arial" w:cs="Arial"/>
          <w:sz w:val="22"/>
          <w:szCs w:val="22"/>
        </w:rPr>
        <w:t>be applied</w:t>
      </w:r>
      <w:r w:rsidRPr="009406F8">
        <w:rPr>
          <w:rFonts w:ascii="Arial" w:hAnsi="Arial" w:cs="Arial"/>
          <w:sz w:val="22"/>
          <w:szCs w:val="22"/>
        </w:rPr>
        <w:t xml:space="preserve"> to the pre-fabrication of made</w:t>
      </w:r>
      <w:r>
        <w:rPr>
          <w:rFonts w:ascii="Arial" w:hAnsi="Arial" w:cs="Arial"/>
          <w:sz w:val="22"/>
          <w:szCs w:val="22"/>
        </w:rPr>
        <w:t>-</w:t>
      </w:r>
      <w:r w:rsidRPr="009406F8">
        <w:rPr>
          <w:rFonts w:ascii="Arial" w:hAnsi="Arial" w:cs="Arial"/>
          <w:sz w:val="22"/>
          <w:szCs w:val="22"/>
        </w:rPr>
        <w:t>to</w:t>
      </w:r>
      <w:r>
        <w:rPr>
          <w:rFonts w:ascii="Arial" w:hAnsi="Arial" w:cs="Arial"/>
          <w:sz w:val="22"/>
          <w:szCs w:val="22"/>
        </w:rPr>
        <w:t>-</w:t>
      </w:r>
      <w:r w:rsidRPr="009406F8">
        <w:rPr>
          <w:rFonts w:ascii="Arial" w:hAnsi="Arial" w:cs="Arial"/>
          <w:sz w:val="22"/>
          <w:szCs w:val="22"/>
        </w:rPr>
        <w:t>order components carried out off</w:t>
      </w:r>
      <w:r w:rsidR="008F3909">
        <w:rPr>
          <w:rFonts w:ascii="Arial" w:hAnsi="Arial" w:cs="Arial"/>
          <w:sz w:val="22"/>
          <w:szCs w:val="22"/>
        </w:rPr>
        <w:t xml:space="preserve"> </w:t>
      </w:r>
      <w:r w:rsidRPr="009406F8">
        <w:rPr>
          <w:rFonts w:ascii="Arial" w:hAnsi="Arial" w:cs="Arial"/>
          <w:sz w:val="22"/>
          <w:szCs w:val="22"/>
        </w:rPr>
        <w:t xml:space="preserve">site, nor </w:t>
      </w:r>
      <w:r>
        <w:rPr>
          <w:rFonts w:ascii="Arial" w:hAnsi="Arial" w:cs="Arial"/>
          <w:sz w:val="22"/>
          <w:szCs w:val="22"/>
        </w:rPr>
        <w:t xml:space="preserve">to </w:t>
      </w:r>
      <w:r w:rsidRPr="009406F8">
        <w:rPr>
          <w:rFonts w:ascii="Arial" w:hAnsi="Arial" w:cs="Arial"/>
          <w:sz w:val="22"/>
          <w:szCs w:val="22"/>
        </w:rPr>
        <w:t>the transport and supply of goods directly to building sites for the purposes of building work</w:t>
      </w:r>
      <w:r>
        <w:rPr>
          <w:rFonts w:ascii="Arial" w:hAnsi="Arial" w:cs="Arial"/>
          <w:sz w:val="22"/>
          <w:szCs w:val="22"/>
        </w:rPr>
        <w:t>.</w:t>
      </w:r>
      <w:r w:rsidR="00753800" w:rsidRPr="009406F8">
        <w:rPr>
          <w:rFonts w:ascii="Arial" w:hAnsi="Arial" w:cs="Arial"/>
          <w:sz w:val="22"/>
          <w:szCs w:val="22"/>
        </w:rPr>
        <w:t xml:space="preserve"> </w:t>
      </w:r>
    </w:p>
    <w:p w:rsidR="00405B87" w:rsidRPr="009406F8" w:rsidRDefault="00405B87" w:rsidP="00D968B3">
      <w:pPr>
        <w:rPr>
          <w:rFonts w:ascii="Arial" w:hAnsi="Arial" w:cs="Arial"/>
          <w:sz w:val="22"/>
          <w:szCs w:val="22"/>
        </w:rPr>
      </w:pPr>
    </w:p>
    <w:p w:rsidR="00405B87" w:rsidRDefault="00405B87" w:rsidP="005E46C2">
      <w:pPr>
        <w:numPr>
          <w:ilvl w:val="0"/>
          <w:numId w:val="6"/>
        </w:numPr>
        <w:rPr>
          <w:rFonts w:ascii="Arial" w:hAnsi="Arial" w:cs="Arial"/>
          <w:sz w:val="22"/>
          <w:szCs w:val="22"/>
        </w:rPr>
      </w:pPr>
      <w:r w:rsidRPr="009406F8">
        <w:rPr>
          <w:rFonts w:ascii="Arial" w:hAnsi="Arial" w:cs="Arial"/>
          <w:sz w:val="22"/>
          <w:szCs w:val="22"/>
        </w:rPr>
        <w:t xml:space="preserve">For residential projects, the Scheme </w:t>
      </w:r>
      <w:r w:rsidR="005E2374">
        <w:rPr>
          <w:rFonts w:ascii="Arial" w:hAnsi="Arial" w:cs="Arial"/>
          <w:sz w:val="22"/>
          <w:szCs w:val="22"/>
        </w:rPr>
        <w:t xml:space="preserve">only </w:t>
      </w:r>
      <w:r w:rsidR="00913457">
        <w:rPr>
          <w:rFonts w:ascii="Arial" w:hAnsi="Arial" w:cs="Arial"/>
          <w:sz w:val="22"/>
          <w:szCs w:val="22"/>
        </w:rPr>
        <w:t>be applied</w:t>
      </w:r>
      <w:r w:rsidR="005E2374">
        <w:rPr>
          <w:rFonts w:ascii="Arial" w:hAnsi="Arial" w:cs="Arial"/>
          <w:sz w:val="22"/>
          <w:szCs w:val="22"/>
        </w:rPr>
        <w:t xml:space="preserve"> </w:t>
      </w:r>
      <w:r w:rsidRPr="009406F8">
        <w:rPr>
          <w:rFonts w:ascii="Arial" w:hAnsi="Arial" w:cs="Arial"/>
          <w:sz w:val="22"/>
          <w:szCs w:val="22"/>
        </w:rPr>
        <w:t xml:space="preserve">to </w:t>
      </w:r>
      <w:r w:rsidR="000C4CA7">
        <w:rPr>
          <w:rFonts w:ascii="Arial" w:hAnsi="Arial" w:cs="Arial"/>
          <w:sz w:val="22"/>
          <w:szCs w:val="22"/>
        </w:rPr>
        <w:t xml:space="preserve">those </w:t>
      </w:r>
      <w:r w:rsidRPr="009406F8">
        <w:rPr>
          <w:rFonts w:ascii="Arial" w:hAnsi="Arial" w:cs="Arial"/>
          <w:sz w:val="22"/>
          <w:szCs w:val="22"/>
        </w:rPr>
        <w:t>projects comprising the construction</w:t>
      </w:r>
      <w:r w:rsidR="00753800">
        <w:rPr>
          <w:rFonts w:ascii="Arial" w:hAnsi="Arial" w:cs="Arial"/>
          <w:sz w:val="22"/>
          <w:szCs w:val="22"/>
        </w:rPr>
        <w:t xml:space="preserve"> of 10 or more single dwellings</w:t>
      </w:r>
      <w:r w:rsidRPr="009406F8">
        <w:rPr>
          <w:rFonts w:ascii="Arial" w:hAnsi="Arial" w:cs="Arial"/>
          <w:sz w:val="22"/>
          <w:szCs w:val="22"/>
        </w:rPr>
        <w:t>, regardless of contract value.</w:t>
      </w:r>
    </w:p>
    <w:p w:rsidR="005D6CDB" w:rsidRPr="009406F8" w:rsidRDefault="005D6CDB" w:rsidP="005D6CDB">
      <w:pPr>
        <w:rPr>
          <w:rFonts w:ascii="Arial" w:hAnsi="Arial" w:cs="Arial"/>
          <w:sz w:val="22"/>
          <w:szCs w:val="22"/>
        </w:rPr>
      </w:pPr>
    </w:p>
    <w:p w:rsidR="00753800" w:rsidRDefault="00913457" w:rsidP="005E46C2">
      <w:pPr>
        <w:numPr>
          <w:ilvl w:val="0"/>
          <w:numId w:val="6"/>
        </w:numPr>
        <w:rPr>
          <w:rFonts w:ascii="Arial" w:hAnsi="Arial" w:cs="Arial"/>
          <w:sz w:val="22"/>
          <w:szCs w:val="22"/>
        </w:rPr>
      </w:pPr>
      <w:r>
        <w:rPr>
          <w:rFonts w:ascii="Arial" w:hAnsi="Arial" w:cs="Arial"/>
          <w:sz w:val="22"/>
          <w:szCs w:val="22"/>
        </w:rPr>
        <w:t xml:space="preserve">The Scheme </w:t>
      </w:r>
      <w:r w:rsidR="00405B87" w:rsidRPr="00753800">
        <w:rPr>
          <w:rFonts w:ascii="Arial" w:hAnsi="Arial" w:cs="Arial"/>
          <w:sz w:val="22"/>
          <w:szCs w:val="22"/>
        </w:rPr>
        <w:t xml:space="preserve">not </w:t>
      </w:r>
      <w:r>
        <w:rPr>
          <w:rFonts w:ascii="Arial" w:hAnsi="Arial" w:cs="Arial"/>
          <w:sz w:val="22"/>
          <w:szCs w:val="22"/>
        </w:rPr>
        <w:t xml:space="preserve">be applied </w:t>
      </w:r>
      <w:r w:rsidR="00405B87" w:rsidRPr="00753800">
        <w:rPr>
          <w:rFonts w:ascii="Arial" w:hAnsi="Arial" w:cs="Arial"/>
          <w:sz w:val="22"/>
          <w:szCs w:val="22"/>
        </w:rPr>
        <w:t>to the refurbishment of, nor extensions or alterations to</w:t>
      </w:r>
      <w:r w:rsidR="005E2374">
        <w:rPr>
          <w:rFonts w:ascii="Arial" w:hAnsi="Arial" w:cs="Arial"/>
          <w:sz w:val="22"/>
          <w:szCs w:val="22"/>
        </w:rPr>
        <w:t>,</w:t>
      </w:r>
      <w:r w:rsidR="00405B87" w:rsidRPr="00753800">
        <w:rPr>
          <w:rFonts w:ascii="Arial" w:hAnsi="Arial" w:cs="Arial"/>
          <w:sz w:val="22"/>
          <w:szCs w:val="22"/>
        </w:rPr>
        <w:t xml:space="preserve"> single dwellings regardless of the number of dwellings or the contract value (so long as they remain single dwellings). </w:t>
      </w:r>
    </w:p>
    <w:p w:rsidR="00753800" w:rsidRDefault="00753800" w:rsidP="00D968B3">
      <w:pPr>
        <w:pStyle w:val="ListParagraph"/>
        <w:spacing w:after="0" w:line="240" w:lineRule="auto"/>
        <w:rPr>
          <w:rFonts w:ascii="Arial" w:hAnsi="Arial" w:cs="Arial"/>
        </w:rPr>
      </w:pPr>
    </w:p>
    <w:p w:rsidR="00753800" w:rsidRPr="009406F8" w:rsidRDefault="00753800" w:rsidP="005E46C2">
      <w:pPr>
        <w:numPr>
          <w:ilvl w:val="0"/>
          <w:numId w:val="6"/>
        </w:numPr>
        <w:rPr>
          <w:rFonts w:ascii="Arial" w:hAnsi="Arial" w:cs="Arial"/>
          <w:sz w:val="22"/>
          <w:szCs w:val="22"/>
        </w:rPr>
      </w:pPr>
      <w:r w:rsidRPr="009406F8">
        <w:rPr>
          <w:rFonts w:ascii="Arial" w:hAnsi="Arial" w:cs="Arial"/>
          <w:sz w:val="22"/>
          <w:szCs w:val="22"/>
        </w:rPr>
        <w:t>The Scheme continue</w:t>
      </w:r>
      <w:r w:rsidR="0081575B">
        <w:rPr>
          <w:rFonts w:ascii="Arial" w:hAnsi="Arial" w:cs="Arial"/>
          <w:sz w:val="22"/>
          <w:szCs w:val="22"/>
        </w:rPr>
        <w:t>s</w:t>
      </w:r>
      <w:r w:rsidRPr="009406F8">
        <w:rPr>
          <w:rFonts w:ascii="Arial" w:hAnsi="Arial" w:cs="Arial"/>
          <w:sz w:val="22"/>
          <w:szCs w:val="22"/>
        </w:rPr>
        <w:t xml:space="preserve"> to apply consistently with no individual exemptions </w:t>
      </w:r>
      <w:r w:rsidR="005E2374">
        <w:rPr>
          <w:rFonts w:ascii="Arial" w:hAnsi="Arial" w:cs="Arial"/>
          <w:sz w:val="22"/>
          <w:szCs w:val="22"/>
        </w:rPr>
        <w:t>for</w:t>
      </w:r>
      <w:r w:rsidR="005E2374" w:rsidRPr="009406F8">
        <w:rPr>
          <w:rFonts w:ascii="Arial" w:hAnsi="Arial" w:cs="Arial"/>
          <w:sz w:val="22"/>
          <w:szCs w:val="22"/>
        </w:rPr>
        <w:t xml:space="preserve"> </w:t>
      </w:r>
      <w:r w:rsidRPr="009406F8">
        <w:rPr>
          <w:rFonts w:ascii="Arial" w:hAnsi="Arial" w:cs="Arial"/>
          <w:sz w:val="22"/>
          <w:szCs w:val="22"/>
        </w:rPr>
        <w:t xml:space="preserve">particular agencies, industry sectors, projects or regions. </w:t>
      </w:r>
    </w:p>
    <w:p w:rsidR="00753800" w:rsidRDefault="00753800" w:rsidP="00D968B3">
      <w:pPr>
        <w:rPr>
          <w:rFonts w:ascii="Arial" w:hAnsi="Arial" w:cs="Arial"/>
          <w:sz w:val="22"/>
          <w:szCs w:val="22"/>
        </w:rPr>
      </w:pPr>
    </w:p>
    <w:p w:rsidR="00161890" w:rsidRPr="00AF6B9F" w:rsidRDefault="00161890" w:rsidP="00226B47">
      <w:pPr>
        <w:pStyle w:val="Heading2"/>
      </w:pPr>
      <w:r w:rsidRPr="00AF6B9F">
        <w:t>Costs</w:t>
      </w:r>
    </w:p>
    <w:p w:rsidR="00161890" w:rsidRDefault="00161890" w:rsidP="00D968B3">
      <w:pPr>
        <w:rPr>
          <w:rFonts w:ascii="Arial" w:hAnsi="Arial" w:cs="Arial"/>
          <w:sz w:val="22"/>
          <w:szCs w:val="22"/>
        </w:rPr>
      </w:pPr>
    </w:p>
    <w:p w:rsidR="00753800" w:rsidRPr="0081575B" w:rsidRDefault="00753800" w:rsidP="005E46C2">
      <w:pPr>
        <w:numPr>
          <w:ilvl w:val="0"/>
          <w:numId w:val="6"/>
        </w:numPr>
        <w:rPr>
          <w:rFonts w:ascii="Arial" w:hAnsi="Arial" w:cs="Arial"/>
          <w:sz w:val="22"/>
          <w:szCs w:val="22"/>
        </w:rPr>
      </w:pPr>
      <w:r w:rsidRPr="0081575B">
        <w:rPr>
          <w:rFonts w:ascii="Arial" w:hAnsi="Arial" w:cs="Arial"/>
          <w:sz w:val="22"/>
          <w:szCs w:val="22"/>
        </w:rPr>
        <w:t xml:space="preserve">The </w:t>
      </w:r>
      <w:r w:rsidR="00FD0419">
        <w:rPr>
          <w:rFonts w:ascii="Arial" w:hAnsi="Arial" w:cs="Arial"/>
          <w:sz w:val="22"/>
          <w:szCs w:val="22"/>
        </w:rPr>
        <w:t xml:space="preserve">Government </w:t>
      </w:r>
      <w:r w:rsidR="00FD0419" w:rsidRPr="0081575B">
        <w:rPr>
          <w:rFonts w:ascii="Arial" w:hAnsi="Arial" w:cs="Arial"/>
          <w:sz w:val="22"/>
          <w:szCs w:val="22"/>
        </w:rPr>
        <w:t xml:space="preserve">continues to meet </w:t>
      </w:r>
      <w:r w:rsidR="00FD0419">
        <w:rPr>
          <w:rFonts w:ascii="Arial" w:hAnsi="Arial" w:cs="Arial"/>
          <w:sz w:val="22"/>
          <w:szCs w:val="22"/>
        </w:rPr>
        <w:t xml:space="preserve">OFSC </w:t>
      </w:r>
      <w:r w:rsidR="00FD0419" w:rsidRPr="0081575B">
        <w:rPr>
          <w:rFonts w:ascii="Arial" w:hAnsi="Arial" w:cs="Arial"/>
          <w:sz w:val="22"/>
          <w:szCs w:val="22"/>
        </w:rPr>
        <w:t>costs</w:t>
      </w:r>
      <w:r w:rsidR="00FD0419">
        <w:rPr>
          <w:rFonts w:ascii="Arial" w:hAnsi="Arial" w:cs="Arial"/>
          <w:sz w:val="22"/>
          <w:szCs w:val="22"/>
        </w:rPr>
        <w:t>, including for a</w:t>
      </w:r>
      <w:r w:rsidR="00FD0419" w:rsidRPr="0081575B">
        <w:rPr>
          <w:rFonts w:ascii="Arial" w:hAnsi="Arial" w:cs="Arial"/>
          <w:sz w:val="22"/>
          <w:szCs w:val="22"/>
        </w:rPr>
        <w:t xml:space="preserve">ccreditation and </w:t>
      </w:r>
      <w:r w:rsidR="00FD0419">
        <w:rPr>
          <w:rFonts w:ascii="Arial" w:hAnsi="Arial" w:cs="Arial"/>
          <w:sz w:val="22"/>
          <w:szCs w:val="22"/>
        </w:rPr>
        <w:t xml:space="preserve">compliance </w:t>
      </w:r>
      <w:r w:rsidR="00FD0419" w:rsidRPr="0081575B">
        <w:rPr>
          <w:rFonts w:ascii="Arial" w:hAnsi="Arial" w:cs="Arial"/>
          <w:sz w:val="22"/>
          <w:szCs w:val="22"/>
        </w:rPr>
        <w:t>audits</w:t>
      </w:r>
      <w:r w:rsidR="00FD0419">
        <w:rPr>
          <w:rFonts w:ascii="Arial" w:hAnsi="Arial" w:cs="Arial"/>
          <w:sz w:val="22"/>
          <w:szCs w:val="22"/>
        </w:rPr>
        <w:t>, with no charge to companies</w:t>
      </w:r>
      <w:r w:rsidR="00FD0419" w:rsidRPr="0081575B">
        <w:rPr>
          <w:rFonts w:ascii="Arial" w:hAnsi="Arial" w:cs="Arial"/>
          <w:sz w:val="22"/>
          <w:szCs w:val="22"/>
        </w:rPr>
        <w:t>.</w:t>
      </w:r>
    </w:p>
    <w:p w:rsidR="00405B87" w:rsidRDefault="00405B87" w:rsidP="00D968B3">
      <w:pPr>
        <w:rPr>
          <w:rFonts w:ascii="Arial" w:hAnsi="Arial" w:cs="Arial"/>
          <w:sz w:val="22"/>
          <w:szCs w:val="22"/>
        </w:rPr>
      </w:pPr>
    </w:p>
    <w:p w:rsidR="00161890" w:rsidRDefault="005E2374" w:rsidP="00226B47">
      <w:pPr>
        <w:pStyle w:val="Heading2"/>
      </w:pPr>
      <w:r>
        <w:t>Becoming Accredited</w:t>
      </w:r>
    </w:p>
    <w:p w:rsidR="009F6F45" w:rsidRPr="00AF6B9F" w:rsidRDefault="009F6F45" w:rsidP="00D968B3">
      <w:pPr>
        <w:rPr>
          <w:rFonts w:ascii="Arial" w:hAnsi="Arial" w:cs="Arial"/>
          <w:b/>
          <w:sz w:val="22"/>
          <w:szCs w:val="22"/>
        </w:rPr>
      </w:pPr>
    </w:p>
    <w:p w:rsidR="00405B87" w:rsidRPr="009406F8" w:rsidRDefault="00405B87" w:rsidP="005E46C2">
      <w:pPr>
        <w:numPr>
          <w:ilvl w:val="0"/>
          <w:numId w:val="6"/>
        </w:numPr>
        <w:rPr>
          <w:rFonts w:ascii="Arial" w:hAnsi="Arial" w:cs="Arial"/>
          <w:sz w:val="22"/>
          <w:szCs w:val="22"/>
        </w:rPr>
      </w:pPr>
      <w:r w:rsidRPr="009406F8">
        <w:rPr>
          <w:rFonts w:ascii="Arial" w:hAnsi="Arial" w:cs="Arial"/>
          <w:sz w:val="22"/>
          <w:szCs w:val="22"/>
        </w:rPr>
        <w:t>Certification to AS/NZS 4801:2001</w:t>
      </w:r>
      <w:r w:rsidR="00F923C5">
        <w:rPr>
          <w:rFonts w:ascii="Arial" w:hAnsi="Arial" w:cs="Arial"/>
          <w:sz w:val="22"/>
          <w:szCs w:val="22"/>
        </w:rPr>
        <w:t xml:space="preserve"> or OHSAS 18001:2007 </w:t>
      </w:r>
      <w:r w:rsidRPr="009406F8">
        <w:rPr>
          <w:rFonts w:ascii="Arial" w:hAnsi="Arial" w:cs="Arial"/>
          <w:sz w:val="22"/>
          <w:szCs w:val="22"/>
        </w:rPr>
        <w:t>cease</w:t>
      </w:r>
      <w:r w:rsidR="00474035">
        <w:rPr>
          <w:rFonts w:ascii="Arial" w:hAnsi="Arial" w:cs="Arial"/>
          <w:sz w:val="22"/>
          <w:szCs w:val="22"/>
        </w:rPr>
        <w:t>s</w:t>
      </w:r>
      <w:r w:rsidRPr="009406F8">
        <w:rPr>
          <w:rFonts w:ascii="Arial" w:hAnsi="Arial" w:cs="Arial"/>
          <w:sz w:val="22"/>
          <w:szCs w:val="22"/>
        </w:rPr>
        <w:t xml:space="preserve"> to be a prerequisite </w:t>
      </w:r>
      <w:r w:rsidR="00DE505D">
        <w:rPr>
          <w:rFonts w:ascii="Arial" w:hAnsi="Arial" w:cs="Arial"/>
          <w:sz w:val="22"/>
          <w:szCs w:val="22"/>
        </w:rPr>
        <w:t>for companies</w:t>
      </w:r>
      <w:r w:rsidRPr="009406F8">
        <w:rPr>
          <w:rFonts w:ascii="Arial" w:hAnsi="Arial" w:cs="Arial"/>
          <w:sz w:val="22"/>
          <w:szCs w:val="22"/>
        </w:rPr>
        <w:t xml:space="preserve"> applying for accreditation. </w:t>
      </w:r>
    </w:p>
    <w:p w:rsidR="00405B87" w:rsidRPr="009406F8" w:rsidRDefault="00405B87" w:rsidP="00D968B3">
      <w:pPr>
        <w:rPr>
          <w:rFonts w:ascii="Arial" w:hAnsi="Arial" w:cs="Arial"/>
          <w:sz w:val="22"/>
          <w:szCs w:val="22"/>
        </w:rPr>
      </w:pPr>
    </w:p>
    <w:p w:rsidR="004124EF" w:rsidRDefault="009F6F45" w:rsidP="005E46C2">
      <w:pPr>
        <w:numPr>
          <w:ilvl w:val="0"/>
          <w:numId w:val="6"/>
        </w:numPr>
        <w:rPr>
          <w:rFonts w:ascii="Arial" w:hAnsi="Arial" w:cs="Arial"/>
          <w:sz w:val="22"/>
          <w:szCs w:val="22"/>
        </w:rPr>
      </w:pPr>
      <w:r w:rsidRPr="009406F8">
        <w:rPr>
          <w:rFonts w:ascii="Arial" w:hAnsi="Arial" w:cs="Arial"/>
          <w:sz w:val="22"/>
          <w:szCs w:val="22"/>
        </w:rPr>
        <w:t xml:space="preserve">The </w:t>
      </w:r>
      <w:r w:rsidR="00FD0419" w:rsidRPr="009406F8">
        <w:rPr>
          <w:rFonts w:ascii="Arial" w:hAnsi="Arial" w:cs="Arial"/>
          <w:sz w:val="22"/>
          <w:szCs w:val="22"/>
        </w:rPr>
        <w:t>OFSC streamline</w:t>
      </w:r>
      <w:r w:rsidR="00FD0419">
        <w:rPr>
          <w:rFonts w:ascii="Arial" w:hAnsi="Arial" w:cs="Arial"/>
          <w:sz w:val="22"/>
          <w:szCs w:val="22"/>
        </w:rPr>
        <w:t>s</w:t>
      </w:r>
      <w:r w:rsidR="00FD0419" w:rsidRPr="009406F8">
        <w:rPr>
          <w:rFonts w:ascii="Arial" w:hAnsi="Arial" w:cs="Arial"/>
          <w:sz w:val="22"/>
          <w:szCs w:val="22"/>
        </w:rPr>
        <w:t xml:space="preserve"> the application process </w:t>
      </w:r>
      <w:r w:rsidR="00FD0419">
        <w:rPr>
          <w:rFonts w:ascii="Arial" w:hAnsi="Arial" w:cs="Arial"/>
          <w:sz w:val="22"/>
          <w:szCs w:val="22"/>
        </w:rPr>
        <w:t xml:space="preserve">and improves ease of access </w:t>
      </w:r>
      <w:r w:rsidR="00FD0419" w:rsidRPr="009406F8">
        <w:rPr>
          <w:rFonts w:ascii="Arial" w:hAnsi="Arial" w:cs="Arial"/>
          <w:sz w:val="22"/>
          <w:szCs w:val="22"/>
        </w:rPr>
        <w:t xml:space="preserve">for </w:t>
      </w:r>
      <w:r w:rsidR="00FD0419">
        <w:rPr>
          <w:rFonts w:ascii="Arial" w:hAnsi="Arial" w:cs="Arial"/>
          <w:sz w:val="22"/>
          <w:szCs w:val="22"/>
        </w:rPr>
        <w:t>companies seeking</w:t>
      </w:r>
      <w:r w:rsidR="00FD0419" w:rsidRPr="009406F8">
        <w:rPr>
          <w:rFonts w:ascii="Arial" w:hAnsi="Arial" w:cs="Arial"/>
          <w:sz w:val="22"/>
          <w:szCs w:val="22"/>
        </w:rPr>
        <w:t xml:space="preserve"> accreditation, including the development of </w:t>
      </w:r>
      <w:r w:rsidR="00FD0419">
        <w:rPr>
          <w:rFonts w:ascii="Arial" w:hAnsi="Arial" w:cs="Arial"/>
          <w:sz w:val="22"/>
          <w:szCs w:val="22"/>
        </w:rPr>
        <w:t xml:space="preserve">an </w:t>
      </w:r>
      <w:r w:rsidR="00FD0419" w:rsidRPr="009406F8">
        <w:rPr>
          <w:rFonts w:ascii="Arial" w:hAnsi="Arial" w:cs="Arial"/>
          <w:sz w:val="22"/>
          <w:szCs w:val="22"/>
        </w:rPr>
        <w:t xml:space="preserve">online application and </w:t>
      </w:r>
      <w:r w:rsidR="00FD0419">
        <w:rPr>
          <w:rFonts w:ascii="Arial" w:hAnsi="Arial" w:cs="Arial"/>
          <w:sz w:val="22"/>
          <w:szCs w:val="22"/>
        </w:rPr>
        <w:t>self-</w:t>
      </w:r>
      <w:r w:rsidR="00FD0419" w:rsidRPr="009406F8">
        <w:rPr>
          <w:rFonts w:ascii="Arial" w:hAnsi="Arial" w:cs="Arial"/>
          <w:sz w:val="22"/>
          <w:szCs w:val="22"/>
        </w:rPr>
        <w:t>assessment tools</w:t>
      </w:r>
      <w:r>
        <w:rPr>
          <w:rFonts w:ascii="Arial" w:hAnsi="Arial" w:cs="Arial"/>
          <w:sz w:val="22"/>
          <w:szCs w:val="22"/>
        </w:rPr>
        <w:t>.</w:t>
      </w:r>
    </w:p>
    <w:p w:rsidR="004124EF" w:rsidRDefault="004124EF" w:rsidP="00D968B3">
      <w:pPr>
        <w:ind w:left="720"/>
        <w:rPr>
          <w:rFonts w:ascii="Arial" w:hAnsi="Arial" w:cs="Arial"/>
          <w:sz w:val="22"/>
          <w:szCs w:val="22"/>
        </w:rPr>
      </w:pPr>
    </w:p>
    <w:p w:rsidR="004124EF" w:rsidRDefault="00474035" w:rsidP="005E46C2">
      <w:pPr>
        <w:numPr>
          <w:ilvl w:val="0"/>
          <w:numId w:val="6"/>
        </w:numPr>
        <w:rPr>
          <w:rFonts w:ascii="Arial" w:hAnsi="Arial" w:cs="Arial"/>
          <w:sz w:val="22"/>
          <w:szCs w:val="22"/>
        </w:rPr>
      </w:pPr>
      <w:r>
        <w:rPr>
          <w:rFonts w:ascii="Arial" w:hAnsi="Arial" w:cs="Arial"/>
          <w:sz w:val="22"/>
          <w:szCs w:val="22"/>
        </w:rPr>
        <w:t xml:space="preserve">The </w:t>
      </w:r>
      <w:r w:rsidR="00FD0419">
        <w:rPr>
          <w:rFonts w:ascii="Arial" w:hAnsi="Arial" w:cs="Arial"/>
          <w:sz w:val="22"/>
          <w:szCs w:val="22"/>
        </w:rPr>
        <w:t xml:space="preserve">OFSC, in consultation with stakeholders, investigates and </w:t>
      </w:r>
      <w:r w:rsidR="00FD0419" w:rsidRPr="009406F8">
        <w:rPr>
          <w:rFonts w:ascii="Arial" w:hAnsi="Arial" w:cs="Arial"/>
          <w:sz w:val="22"/>
          <w:szCs w:val="22"/>
        </w:rPr>
        <w:t>develop</w:t>
      </w:r>
      <w:r w:rsidR="00FD0419">
        <w:rPr>
          <w:rFonts w:ascii="Arial" w:hAnsi="Arial" w:cs="Arial"/>
          <w:sz w:val="22"/>
          <w:szCs w:val="22"/>
        </w:rPr>
        <w:t>s</w:t>
      </w:r>
      <w:r w:rsidR="00FD0419" w:rsidRPr="009406F8">
        <w:rPr>
          <w:rFonts w:ascii="Arial" w:hAnsi="Arial" w:cs="Arial"/>
          <w:sz w:val="22"/>
          <w:szCs w:val="22"/>
        </w:rPr>
        <w:t xml:space="preserve"> </w:t>
      </w:r>
      <w:r w:rsidR="00FD0419">
        <w:rPr>
          <w:rFonts w:ascii="Arial" w:hAnsi="Arial" w:cs="Arial"/>
          <w:sz w:val="22"/>
          <w:szCs w:val="22"/>
        </w:rPr>
        <w:t xml:space="preserve">an approach </w:t>
      </w:r>
      <w:r w:rsidR="00FD0419" w:rsidRPr="009406F8">
        <w:rPr>
          <w:rFonts w:ascii="Arial" w:hAnsi="Arial" w:cs="Arial"/>
          <w:sz w:val="22"/>
          <w:szCs w:val="22"/>
        </w:rPr>
        <w:t>that would allow unaccredited companies to tender for Scheme projects where they are in a joint venture with an accredited company and operate under the partner’s accredited safety system</w:t>
      </w:r>
      <w:r w:rsidR="009656F9">
        <w:rPr>
          <w:rFonts w:ascii="Arial" w:hAnsi="Arial" w:cs="Arial"/>
          <w:i/>
          <w:sz w:val="22"/>
          <w:szCs w:val="22"/>
        </w:rPr>
        <w:t>.</w:t>
      </w:r>
    </w:p>
    <w:p w:rsidR="009656F9" w:rsidRDefault="009656F9" w:rsidP="00D968B3">
      <w:pPr>
        <w:pStyle w:val="ListParagraph"/>
        <w:spacing w:after="0" w:line="240" w:lineRule="auto"/>
        <w:rPr>
          <w:rFonts w:ascii="Arial" w:hAnsi="Arial" w:cs="Arial"/>
        </w:rPr>
      </w:pPr>
    </w:p>
    <w:p w:rsidR="009656F9" w:rsidRPr="009656F9" w:rsidRDefault="009656F9" w:rsidP="00BC7121">
      <w:pPr>
        <w:pStyle w:val="ListParagraph"/>
        <w:numPr>
          <w:ilvl w:val="0"/>
          <w:numId w:val="6"/>
        </w:numPr>
        <w:spacing w:after="0"/>
        <w:ind w:left="499" w:hanging="357"/>
        <w:rPr>
          <w:rFonts w:ascii="Arial" w:hAnsi="Arial" w:cs="Arial"/>
          <w:b/>
        </w:rPr>
      </w:pPr>
      <w:r w:rsidRPr="009656F9">
        <w:rPr>
          <w:rFonts w:ascii="Arial" w:hAnsi="Arial" w:cs="Arial"/>
        </w:rPr>
        <w:t>The OFSC, in consultation with stakeholders, undertakes a review of the audit criteria and associated guidance, including the clarification of S</w:t>
      </w:r>
      <w:r w:rsidR="009E4137">
        <w:rPr>
          <w:rFonts w:ascii="Arial" w:hAnsi="Arial" w:cs="Arial"/>
        </w:rPr>
        <w:t xml:space="preserve">afe </w:t>
      </w:r>
      <w:r w:rsidRPr="009656F9">
        <w:rPr>
          <w:rFonts w:ascii="Arial" w:hAnsi="Arial" w:cs="Arial"/>
        </w:rPr>
        <w:t>W</w:t>
      </w:r>
      <w:r w:rsidR="009E4137">
        <w:rPr>
          <w:rFonts w:ascii="Arial" w:hAnsi="Arial" w:cs="Arial"/>
        </w:rPr>
        <w:t xml:space="preserve">ork </w:t>
      </w:r>
      <w:r w:rsidRPr="009656F9">
        <w:rPr>
          <w:rFonts w:ascii="Arial" w:hAnsi="Arial" w:cs="Arial"/>
        </w:rPr>
        <w:t>M</w:t>
      </w:r>
      <w:r w:rsidR="009E4137">
        <w:rPr>
          <w:rFonts w:ascii="Arial" w:hAnsi="Arial" w:cs="Arial"/>
        </w:rPr>
        <w:t xml:space="preserve">ethod </w:t>
      </w:r>
      <w:r w:rsidRPr="009656F9">
        <w:rPr>
          <w:rFonts w:ascii="Arial" w:hAnsi="Arial" w:cs="Arial"/>
        </w:rPr>
        <w:t>S</w:t>
      </w:r>
      <w:r w:rsidR="000F1ABC">
        <w:rPr>
          <w:rFonts w:ascii="Arial" w:hAnsi="Arial" w:cs="Arial"/>
        </w:rPr>
        <w:t>tatements</w:t>
      </w:r>
      <w:r w:rsidR="009E4137">
        <w:rPr>
          <w:rFonts w:ascii="Arial" w:hAnsi="Arial" w:cs="Arial"/>
        </w:rPr>
        <w:t xml:space="preserve"> (SWMS)</w:t>
      </w:r>
      <w:r w:rsidRPr="009656F9">
        <w:rPr>
          <w:rFonts w:ascii="Arial" w:hAnsi="Arial" w:cs="Arial"/>
        </w:rPr>
        <w:t xml:space="preserve"> requirements.</w:t>
      </w:r>
      <w:r w:rsidRPr="009656F9">
        <w:rPr>
          <w:rFonts w:ascii="Arial" w:hAnsi="Arial" w:cs="Arial"/>
          <w:b/>
        </w:rPr>
        <w:t xml:space="preserve"> </w:t>
      </w:r>
    </w:p>
    <w:p w:rsidR="009656F9" w:rsidRDefault="009656F9" w:rsidP="009656F9">
      <w:pPr>
        <w:rPr>
          <w:rFonts w:ascii="Arial" w:hAnsi="Arial" w:cs="Arial"/>
          <w:b/>
          <w:sz w:val="22"/>
          <w:szCs w:val="22"/>
        </w:rPr>
      </w:pPr>
    </w:p>
    <w:p w:rsidR="009656F9" w:rsidRDefault="00FD0419" w:rsidP="00226B47">
      <w:pPr>
        <w:pStyle w:val="Heading2"/>
      </w:pPr>
      <w:r>
        <w:t>Maintaining</w:t>
      </w:r>
      <w:r w:rsidR="009656F9">
        <w:t xml:space="preserve"> </w:t>
      </w:r>
      <w:r w:rsidR="009656F9" w:rsidRPr="00E20026">
        <w:t>Accreditation</w:t>
      </w:r>
      <w:r w:rsidR="009656F9">
        <w:t xml:space="preserve"> </w:t>
      </w:r>
    </w:p>
    <w:p w:rsidR="009656F9" w:rsidRPr="00E20026" w:rsidRDefault="009656F9" w:rsidP="009656F9">
      <w:pPr>
        <w:rPr>
          <w:rFonts w:ascii="Arial" w:hAnsi="Arial" w:cs="Arial"/>
          <w:b/>
          <w:sz w:val="22"/>
          <w:szCs w:val="22"/>
        </w:rPr>
      </w:pPr>
    </w:p>
    <w:p w:rsidR="004124EF" w:rsidRPr="009406F8" w:rsidRDefault="009656F9" w:rsidP="005E46C2">
      <w:pPr>
        <w:numPr>
          <w:ilvl w:val="0"/>
          <w:numId w:val="6"/>
        </w:numPr>
        <w:rPr>
          <w:rFonts w:ascii="Arial" w:hAnsi="Arial" w:cs="Arial"/>
          <w:sz w:val="22"/>
          <w:szCs w:val="22"/>
        </w:rPr>
      </w:pPr>
      <w:r w:rsidRPr="009406F8">
        <w:rPr>
          <w:rFonts w:ascii="Arial" w:hAnsi="Arial" w:cs="Arial"/>
          <w:sz w:val="22"/>
          <w:szCs w:val="22"/>
        </w:rPr>
        <w:t xml:space="preserve">The </w:t>
      </w:r>
      <w:r>
        <w:rPr>
          <w:rFonts w:ascii="Arial" w:hAnsi="Arial" w:cs="Arial"/>
          <w:sz w:val="22"/>
          <w:szCs w:val="22"/>
        </w:rPr>
        <w:t xml:space="preserve">current </w:t>
      </w:r>
      <w:r w:rsidR="008F3909">
        <w:rPr>
          <w:rFonts w:ascii="Arial" w:hAnsi="Arial" w:cs="Arial"/>
          <w:sz w:val="22"/>
          <w:szCs w:val="22"/>
        </w:rPr>
        <w:t>reaccreditation</w:t>
      </w:r>
      <w:r w:rsidRPr="009406F8">
        <w:rPr>
          <w:rFonts w:ascii="Arial" w:hAnsi="Arial" w:cs="Arial"/>
          <w:sz w:val="22"/>
          <w:szCs w:val="22"/>
        </w:rPr>
        <w:t xml:space="preserve"> process </w:t>
      </w:r>
      <w:r>
        <w:rPr>
          <w:rFonts w:ascii="Arial" w:hAnsi="Arial" w:cs="Arial"/>
          <w:sz w:val="22"/>
          <w:szCs w:val="22"/>
        </w:rPr>
        <w:t xml:space="preserve">be </w:t>
      </w:r>
      <w:r w:rsidRPr="009406F8">
        <w:rPr>
          <w:rFonts w:ascii="Arial" w:hAnsi="Arial" w:cs="Arial"/>
          <w:sz w:val="22"/>
          <w:szCs w:val="22"/>
        </w:rPr>
        <w:t xml:space="preserve">abolished, including all </w:t>
      </w:r>
      <w:r>
        <w:rPr>
          <w:rFonts w:ascii="Arial" w:hAnsi="Arial" w:cs="Arial"/>
          <w:sz w:val="22"/>
          <w:szCs w:val="22"/>
        </w:rPr>
        <w:t xml:space="preserve">associated </w:t>
      </w:r>
      <w:r w:rsidRPr="009406F8">
        <w:rPr>
          <w:rFonts w:ascii="Arial" w:hAnsi="Arial" w:cs="Arial"/>
          <w:sz w:val="22"/>
          <w:szCs w:val="22"/>
        </w:rPr>
        <w:t>paperwork and other red tape requirements. Companies’ accreditation</w:t>
      </w:r>
      <w:r>
        <w:rPr>
          <w:rFonts w:ascii="Arial" w:hAnsi="Arial" w:cs="Arial"/>
          <w:sz w:val="22"/>
          <w:szCs w:val="22"/>
        </w:rPr>
        <w:t>s</w:t>
      </w:r>
      <w:r w:rsidRPr="009406F8">
        <w:rPr>
          <w:rFonts w:ascii="Arial" w:hAnsi="Arial" w:cs="Arial"/>
          <w:sz w:val="22"/>
          <w:szCs w:val="22"/>
        </w:rPr>
        <w:t xml:space="preserve"> </w:t>
      </w:r>
      <w:r>
        <w:rPr>
          <w:rFonts w:ascii="Arial" w:hAnsi="Arial" w:cs="Arial"/>
          <w:sz w:val="22"/>
          <w:szCs w:val="22"/>
        </w:rPr>
        <w:t>to</w:t>
      </w:r>
      <w:r w:rsidRPr="009406F8">
        <w:rPr>
          <w:rFonts w:ascii="Arial" w:hAnsi="Arial" w:cs="Arial"/>
          <w:sz w:val="22"/>
          <w:szCs w:val="22"/>
        </w:rPr>
        <w:t xml:space="preserve"> continue indefinitely, subject to satisfactory compliance with Scheme requirements</w:t>
      </w:r>
      <w:r>
        <w:rPr>
          <w:rFonts w:ascii="Arial" w:hAnsi="Arial" w:cs="Arial"/>
          <w:sz w:val="22"/>
          <w:szCs w:val="22"/>
        </w:rPr>
        <w:t>.</w:t>
      </w:r>
    </w:p>
    <w:p w:rsidR="004124EF" w:rsidRPr="009406F8" w:rsidRDefault="004124EF" w:rsidP="00D968B3">
      <w:pPr>
        <w:ind w:left="720"/>
        <w:rPr>
          <w:rFonts w:ascii="Arial" w:hAnsi="Arial" w:cs="Arial"/>
          <w:sz w:val="22"/>
          <w:szCs w:val="22"/>
        </w:rPr>
      </w:pPr>
    </w:p>
    <w:p w:rsidR="00405B87" w:rsidRPr="004124EF" w:rsidRDefault="009656F9" w:rsidP="005E46C2">
      <w:pPr>
        <w:numPr>
          <w:ilvl w:val="0"/>
          <w:numId w:val="6"/>
        </w:numPr>
        <w:rPr>
          <w:rFonts w:ascii="Arial" w:hAnsi="Arial" w:cs="Arial"/>
          <w:sz w:val="22"/>
          <w:szCs w:val="22"/>
        </w:rPr>
      </w:pPr>
      <w:r w:rsidRPr="00AB0007">
        <w:rPr>
          <w:rFonts w:ascii="Arial" w:hAnsi="Arial" w:cs="Arial"/>
          <w:sz w:val="22"/>
          <w:szCs w:val="22"/>
        </w:rPr>
        <w:t xml:space="preserve">The </w:t>
      </w:r>
      <w:r w:rsidR="00FD0419">
        <w:rPr>
          <w:rFonts w:ascii="Arial" w:hAnsi="Arial" w:cs="Arial"/>
          <w:sz w:val="22"/>
          <w:szCs w:val="22"/>
        </w:rPr>
        <w:t xml:space="preserve">OFSC, in consultation with relevant stakeholders, develops </w:t>
      </w:r>
      <w:r w:rsidR="00FD0419" w:rsidRPr="00AB0007">
        <w:rPr>
          <w:rFonts w:ascii="Arial" w:hAnsi="Arial" w:cs="Arial"/>
          <w:sz w:val="22"/>
          <w:szCs w:val="22"/>
        </w:rPr>
        <w:t>a risk-based approach</w:t>
      </w:r>
      <w:r w:rsidR="00FD0419">
        <w:rPr>
          <w:rFonts w:ascii="Arial" w:hAnsi="Arial" w:cs="Arial"/>
          <w:sz w:val="22"/>
          <w:szCs w:val="22"/>
        </w:rPr>
        <w:t xml:space="preserve"> to maintaining accreditation</w:t>
      </w:r>
      <w:r w:rsidR="00FD0419" w:rsidRPr="00AB0007">
        <w:rPr>
          <w:rFonts w:ascii="Arial" w:hAnsi="Arial" w:cs="Arial"/>
          <w:sz w:val="22"/>
          <w:szCs w:val="22"/>
        </w:rPr>
        <w:t xml:space="preserve"> that tailors </w:t>
      </w:r>
      <w:r w:rsidR="00FD0419">
        <w:rPr>
          <w:rFonts w:ascii="Arial" w:hAnsi="Arial" w:cs="Arial"/>
          <w:sz w:val="22"/>
          <w:szCs w:val="22"/>
        </w:rPr>
        <w:t>ongoing frequency and scope of audits</w:t>
      </w:r>
      <w:r w:rsidR="00FD0419" w:rsidRPr="00AB0007">
        <w:rPr>
          <w:rFonts w:ascii="Arial" w:hAnsi="Arial" w:cs="Arial"/>
          <w:sz w:val="22"/>
          <w:szCs w:val="22"/>
        </w:rPr>
        <w:t xml:space="preserve"> </w:t>
      </w:r>
      <w:r w:rsidR="00FD0419">
        <w:rPr>
          <w:rFonts w:ascii="Arial" w:hAnsi="Arial" w:cs="Arial"/>
          <w:sz w:val="22"/>
          <w:szCs w:val="22"/>
        </w:rPr>
        <w:t xml:space="preserve">for accredited companies to ensure ongoing </w:t>
      </w:r>
      <w:r w:rsidR="00FD0419" w:rsidRPr="00AB0007">
        <w:rPr>
          <w:rFonts w:ascii="Arial" w:hAnsi="Arial" w:cs="Arial"/>
          <w:sz w:val="22"/>
          <w:szCs w:val="22"/>
        </w:rPr>
        <w:t>compliance with Scheme requirements</w:t>
      </w:r>
      <w:r w:rsidR="004124EF">
        <w:rPr>
          <w:rFonts w:ascii="Arial" w:hAnsi="Arial" w:cs="Arial"/>
          <w:i/>
          <w:sz w:val="22"/>
          <w:szCs w:val="22"/>
        </w:rPr>
        <w:t>.</w:t>
      </w:r>
    </w:p>
    <w:p w:rsidR="00161890" w:rsidRPr="004124EF" w:rsidRDefault="00161890" w:rsidP="00E20026">
      <w:pPr>
        <w:rPr>
          <w:rFonts w:ascii="Arial" w:hAnsi="Arial" w:cs="Arial"/>
          <w:sz w:val="22"/>
          <w:szCs w:val="22"/>
        </w:rPr>
      </w:pPr>
    </w:p>
    <w:p w:rsidR="004124EF" w:rsidRPr="009406F8" w:rsidRDefault="003D03B4" w:rsidP="005E46C2">
      <w:pPr>
        <w:numPr>
          <w:ilvl w:val="0"/>
          <w:numId w:val="6"/>
        </w:numPr>
        <w:rPr>
          <w:rFonts w:ascii="Arial" w:hAnsi="Arial" w:cs="Arial"/>
          <w:sz w:val="22"/>
          <w:szCs w:val="22"/>
        </w:rPr>
      </w:pPr>
      <w:r w:rsidRPr="002611FD">
        <w:rPr>
          <w:rFonts w:ascii="Arial" w:hAnsi="Arial" w:cs="Arial"/>
          <w:sz w:val="22"/>
          <w:szCs w:val="22"/>
        </w:rPr>
        <w:t xml:space="preserve">The OFSC </w:t>
      </w:r>
      <w:r>
        <w:rPr>
          <w:rFonts w:ascii="Arial" w:hAnsi="Arial" w:cs="Arial"/>
          <w:sz w:val="22"/>
          <w:szCs w:val="22"/>
        </w:rPr>
        <w:t xml:space="preserve">review its reporting requirements to </w:t>
      </w:r>
      <w:r w:rsidRPr="002611FD">
        <w:rPr>
          <w:rFonts w:ascii="Arial" w:hAnsi="Arial" w:cs="Arial"/>
          <w:sz w:val="22"/>
          <w:szCs w:val="22"/>
        </w:rPr>
        <w:t>identif</w:t>
      </w:r>
      <w:r>
        <w:rPr>
          <w:rFonts w:ascii="Arial" w:hAnsi="Arial" w:cs="Arial"/>
          <w:sz w:val="22"/>
          <w:szCs w:val="22"/>
        </w:rPr>
        <w:t xml:space="preserve">y </w:t>
      </w:r>
      <w:r w:rsidRPr="002611FD">
        <w:rPr>
          <w:rFonts w:ascii="Arial" w:hAnsi="Arial" w:cs="Arial"/>
          <w:sz w:val="22"/>
          <w:szCs w:val="22"/>
        </w:rPr>
        <w:t>ways in which data c</w:t>
      </w:r>
      <w:r>
        <w:rPr>
          <w:rFonts w:ascii="Arial" w:hAnsi="Arial" w:cs="Arial"/>
          <w:sz w:val="22"/>
          <w:szCs w:val="22"/>
        </w:rPr>
        <w:t>ollected</w:t>
      </w:r>
      <w:r w:rsidRPr="002611FD">
        <w:rPr>
          <w:rFonts w:ascii="Arial" w:hAnsi="Arial" w:cs="Arial"/>
          <w:sz w:val="22"/>
          <w:szCs w:val="22"/>
        </w:rPr>
        <w:t xml:space="preserve"> can be compared with wider industry data. That the data collected be published in a way that assists companies to benchmark their own performance with other accredited companies and the industry more broadly. The OFSC supplies data analysis directly to accredited companies.</w:t>
      </w:r>
    </w:p>
    <w:p w:rsidR="00405B87" w:rsidRPr="009406F8" w:rsidRDefault="00405B87" w:rsidP="00D968B3">
      <w:pPr>
        <w:rPr>
          <w:rFonts w:ascii="Arial" w:hAnsi="Arial" w:cs="Arial"/>
          <w:sz w:val="22"/>
          <w:szCs w:val="22"/>
        </w:rPr>
      </w:pPr>
    </w:p>
    <w:p w:rsidR="00E80C28" w:rsidRDefault="000D2A1A" w:rsidP="000D2A1A">
      <w:pPr>
        <w:numPr>
          <w:ilvl w:val="0"/>
          <w:numId w:val="6"/>
        </w:numPr>
        <w:rPr>
          <w:rFonts w:ascii="Arial" w:hAnsi="Arial" w:cs="Arial"/>
          <w:sz w:val="22"/>
          <w:szCs w:val="22"/>
        </w:rPr>
      </w:pPr>
      <w:r>
        <w:rPr>
          <w:rFonts w:ascii="Arial" w:hAnsi="Arial" w:cs="Arial"/>
          <w:sz w:val="22"/>
          <w:szCs w:val="22"/>
        </w:rPr>
        <w:t xml:space="preserve">The OFSC, in consultation with stakeholders, </w:t>
      </w:r>
      <w:r w:rsidRPr="009406F8">
        <w:rPr>
          <w:rFonts w:ascii="Arial" w:hAnsi="Arial" w:cs="Arial"/>
          <w:sz w:val="22"/>
          <w:szCs w:val="22"/>
        </w:rPr>
        <w:t>develop</w:t>
      </w:r>
      <w:r>
        <w:rPr>
          <w:rFonts w:ascii="Arial" w:hAnsi="Arial" w:cs="Arial"/>
          <w:sz w:val="22"/>
          <w:szCs w:val="22"/>
        </w:rPr>
        <w:t>s</w:t>
      </w:r>
      <w:r w:rsidRPr="009406F8">
        <w:rPr>
          <w:rFonts w:ascii="Arial" w:hAnsi="Arial" w:cs="Arial"/>
          <w:sz w:val="22"/>
          <w:szCs w:val="22"/>
        </w:rPr>
        <w:t xml:space="preserve"> and publish</w:t>
      </w:r>
      <w:r>
        <w:rPr>
          <w:rFonts w:ascii="Arial" w:hAnsi="Arial" w:cs="Arial"/>
          <w:sz w:val="22"/>
          <w:szCs w:val="22"/>
        </w:rPr>
        <w:t>es</w:t>
      </w:r>
      <w:r w:rsidRPr="009406F8">
        <w:rPr>
          <w:rFonts w:ascii="Arial" w:hAnsi="Arial" w:cs="Arial"/>
          <w:sz w:val="22"/>
          <w:szCs w:val="22"/>
        </w:rPr>
        <w:t xml:space="preserve"> case studies that provide practical examples of </w:t>
      </w:r>
      <w:r>
        <w:rPr>
          <w:rFonts w:ascii="Arial" w:hAnsi="Arial" w:cs="Arial"/>
          <w:sz w:val="22"/>
          <w:szCs w:val="22"/>
        </w:rPr>
        <w:t xml:space="preserve">best practice </w:t>
      </w:r>
      <w:r w:rsidRPr="009406F8">
        <w:rPr>
          <w:rFonts w:ascii="Arial" w:hAnsi="Arial" w:cs="Arial"/>
          <w:sz w:val="22"/>
          <w:szCs w:val="22"/>
        </w:rPr>
        <w:t>initiatives to assist companies to self-educate for WHS improvements.</w:t>
      </w:r>
    </w:p>
    <w:p w:rsidR="000D2A1A" w:rsidRDefault="000D2A1A" w:rsidP="00E80C28">
      <w:pPr>
        <w:ind w:left="567" w:hanging="425"/>
        <w:rPr>
          <w:rFonts w:ascii="Arial" w:hAnsi="Arial" w:cs="Arial"/>
          <w:b/>
          <w:sz w:val="22"/>
          <w:szCs w:val="22"/>
        </w:rPr>
      </w:pPr>
    </w:p>
    <w:p w:rsidR="00F32CB5" w:rsidRDefault="00F32CB5">
      <w:pPr>
        <w:rPr>
          <w:rFonts w:ascii="Arial" w:hAnsi="Arial" w:cs="Arial"/>
          <w:b/>
          <w:sz w:val="22"/>
          <w:szCs w:val="22"/>
        </w:rPr>
      </w:pPr>
      <w:r>
        <w:br w:type="page"/>
      </w:r>
    </w:p>
    <w:p w:rsidR="00E80C28" w:rsidRPr="00AF74D3" w:rsidRDefault="00E80C28" w:rsidP="00226B47">
      <w:pPr>
        <w:pStyle w:val="Heading2"/>
      </w:pPr>
      <w:r>
        <w:t xml:space="preserve">OFSC </w:t>
      </w:r>
      <w:r w:rsidRPr="00AF74D3">
        <w:t>Performance</w:t>
      </w:r>
    </w:p>
    <w:p w:rsidR="00E80C28" w:rsidRDefault="00E80C28" w:rsidP="00292588">
      <w:pPr>
        <w:pStyle w:val="ListParagraph"/>
        <w:ind w:left="567" w:hanging="425"/>
        <w:rPr>
          <w:rFonts w:ascii="Arial" w:hAnsi="Arial" w:cs="Arial"/>
        </w:rPr>
      </w:pPr>
    </w:p>
    <w:p w:rsidR="00AF74D3" w:rsidRDefault="00E80C28" w:rsidP="00E80C28">
      <w:pPr>
        <w:pStyle w:val="ListParagraph"/>
        <w:numPr>
          <w:ilvl w:val="0"/>
          <w:numId w:val="6"/>
        </w:numPr>
        <w:spacing w:line="240" w:lineRule="auto"/>
        <w:ind w:left="567" w:hanging="425"/>
        <w:rPr>
          <w:rFonts w:ascii="Arial" w:hAnsi="Arial" w:cs="Arial"/>
        </w:rPr>
      </w:pPr>
      <w:r w:rsidRPr="00270FB0">
        <w:rPr>
          <w:rFonts w:ascii="Arial" w:hAnsi="Arial" w:cs="Arial"/>
        </w:rPr>
        <w:t>The OFSC set</w:t>
      </w:r>
      <w:r>
        <w:rPr>
          <w:rFonts w:ascii="Arial" w:hAnsi="Arial" w:cs="Arial"/>
        </w:rPr>
        <w:t>s</w:t>
      </w:r>
      <w:r w:rsidRPr="00270FB0">
        <w:rPr>
          <w:rFonts w:ascii="Arial" w:hAnsi="Arial" w:cs="Arial"/>
        </w:rPr>
        <w:t xml:space="preserve"> and publish</w:t>
      </w:r>
      <w:r>
        <w:rPr>
          <w:rFonts w:ascii="Arial" w:hAnsi="Arial" w:cs="Arial"/>
        </w:rPr>
        <w:t>es</w:t>
      </w:r>
      <w:r w:rsidRPr="00270FB0">
        <w:rPr>
          <w:rFonts w:ascii="Arial" w:hAnsi="Arial" w:cs="Arial"/>
        </w:rPr>
        <w:t xml:space="preserve"> its performance against KPIs for its processes.</w:t>
      </w:r>
    </w:p>
    <w:p w:rsidR="00E80C28" w:rsidRDefault="00E80C28" w:rsidP="00E80C28">
      <w:pPr>
        <w:pStyle w:val="ListParagraph"/>
        <w:spacing w:line="240" w:lineRule="auto"/>
        <w:ind w:left="567"/>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sidRPr="00CC59A3">
        <w:rPr>
          <w:rFonts w:ascii="Arial" w:hAnsi="Arial" w:cs="Arial"/>
        </w:rPr>
        <w:t>The OFSC, in consultation with stakeholders, identifies means by which compan</w:t>
      </w:r>
      <w:r>
        <w:rPr>
          <w:rFonts w:ascii="Arial" w:hAnsi="Arial" w:cs="Arial"/>
        </w:rPr>
        <w:t>ies’</w:t>
      </w:r>
      <w:r w:rsidRPr="00CC59A3">
        <w:rPr>
          <w:rFonts w:ascii="Arial" w:hAnsi="Arial" w:cs="Arial"/>
        </w:rPr>
        <w:t xml:space="preserve"> concerns can be raised through a third party </w:t>
      </w:r>
      <w:r>
        <w:rPr>
          <w:rFonts w:ascii="Arial" w:hAnsi="Arial" w:cs="Arial"/>
        </w:rPr>
        <w:t>mechanism</w:t>
      </w:r>
      <w:r w:rsidRPr="00CC59A3">
        <w:rPr>
          <w:rFonts w:ascii="Arial" w:hAnsi="Arial" w:cs="Arial"/>
        </w:rPr>
        <w:t xml:space="preserve">, such as an industry association, </w:t>
      </w:r>
      <w:r w:rsidR="00C938A8">
        <w:rPr>
          <w:rFonts w:ascii="Arial" w:hAnsi="Arial" w:cs="Arial"/>
        </w:rPr>
        <w:t>so that the concerns can be addressed by the OFSC.</w:t>
      </w:r>
      <w:r w:rsidR="004D2E88">
        <w:rPr>
          <w:rFonts w:ascii="Arial" w:hAnsi="Arial" w:cs="Arial"/>
        </w:rPr>
        <w:t xml:space="preserve"> </w:t>
      </w:r>
    </w:p>
    <w:p w:rsidR="00E80C28" w:rsidRPr="00E80C28" w:rsidRDefault="00E80C28" w:rsidP="00E80C28">
      <w:pPr>
        <w:pStyle w:val="ListParagraph"/>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sidRPr="002611FD">
        <w:rPr>
          <w:rFonts w:ascii="Arial" w:hAnsi="Arial" w:cs="Arial"/>
        </w:rPr>
        <w:t>The OFSC implement</w:t>
      </w:r>
      <w:r>
        <w:rPr>
          <w:rFonts w:ascii="Arial" w:hAnsi="Arial" w:cs="Arial"/>
        </w:rPr>
        <w:t>s</w:t>
      </w:r>
      <w:r w:rsidRPr="002611FD">
        <w:rPr>
          <w:rFonts w:ascii="Arial" w:hAnsi="Arial" w:cs="Arial"/>
        </w:rPr>
        <w:t xml:space="preserve"> and publish</w:t>
      </w:r>
      <w:r>
        <w:rPr>
          <w:rFonts w:ascii="Arial" w:hAnsi="Arial" w:cs="Arial"/>
        </w:rPr>
        <w:t>es</w:t>
      </w:r>
      <w:r w:rsidRPr="002611FD">
        <w:rPr>
          <w:rFonts w:ascii="Arial" w:hAnsi="Arial" w:cs="Arial"/>
        </w:rPr>
        <w:t xml:space="preserve"> an a</w:t>
      </w:r>
      <w:r>
        <w:rPr>
          <w:rFonts w:ascii="Arial" w:hAnsi="Arial" w:cs="Arial"/>
        </w:rPr>
        <w:t>nnual</w:t>
      </w:r>
      <w:r w:rsidRPr="002611FD">
        <w:rPr>
          <w:rFonts w:ascii="Arial" w:hAnsi="Arial" w:cs="Arial"/>
        </w:rPr>
        <w:t xml:space="preserve"> survey of accredited companies that gathers Scheme-related safety and cost-benefit data, and feedback on FSO/OFSC performance.</w:t>
      </w:r>
    </w:p>
    <w:p w:rsidR="00E80C28" w:rsidRPr="00E80C28" w:rsidRDefault="00E80C28" w:rsidP="00E80C28">
      <w:pPr>
        <w:pStyle w:val="ListParagraph"/>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sidRPr="00640841">
        <w:rPr>
          <w:rFonts w:ascii="Arial" w:hAnsi="Arial" w:cs="Arial"/>
        </w:rPr>
        <w:t>The OFSC, in conjunction with stakeholders, implement</w:t>
      </w:r>
      <w:r>
        <w:rPr>
          <w:rFonts w:ascii="Arial" w:hAnsi="Arial" w:cs="Arial"/>
        </w:rPr>
        <w:t>s</w:t>
      </w:r>
      <w:r w:rsidRPr="00640841">
        <w:rPr>
          <w:rFonts w:ascii="Arial" w:hAnsi="Arial" w:cs="Arial"/>
        </w:rPr>
        <w:t xml:space="preserve"> enhanced arrangements to further monitor and improve the quality and consistency of FSO auditing performance</w:t>
      </w:r>
      <w:r>
        <w:rPr>
          <w:rFonts w:ascii="Arial" w:hAnsi="Arial" w:cs="Arial"/>
        </w:rPr>
        <w:t>, including the way in which FSOs are engaged by the Department</w:t>
      </w:r>
      <w:r w:rsidRPr="00640841">
        <w:rPr>
          <w:rFonts w:ascii="Arial" w:hAnsi="Arial" w:cs="Arial"/>
        </w:rPr>
        <w:t>.</w:t>
      </w:r>
    </w:p>
    <w:p w:rsidR="00E80C28" w:rsidRPr="00E80C28" w:rsidRDefault="00E80C28" w:rsidP="00E80C28">
      <w:pPr>
        <w:pStyle w:val="ListParagraph"/>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sidRPr="005C4851">
        <w:rPr>
          <w:rFonts w:ascii="Arial" w:hAnsi="Arial" w:cs="Arial"/>
        </w:rPr>
        <w:t>The Scheme be reviewed at least every five years.</w:t>
      </w:r>
    </w:p>
    <w:p w:rsidR="005E6C02" w:rsidRPr="005E6C02" w:rsidRDefault="005E6C02" w:rsidP="00226B47">
      <w:pPr>
        <w:pStyle w:val="Heading2"/>
      </w:pPr>
      <w:r w:rsidRPr="005E6C02">
        <w:t>Australian Government Agencies</w:t>
      </w:r>
    </w:p>
    <w:p w:rsidR="005E6C02" w:rsidRPr="005E6C02" w:rsidRDefault="005E6C02" w:rsidP="005E6C02">
      <w:pPr>
        <w:ind w:left="567" w:hanging="425"/>
        <w:rPr>
          <w:rFonts w:ascii="Arial" w:hAnsi="Arial" w:cs="Arial"/>
          <w:b/>
        </w:rPr>
      </w:pPr>
    </w:p>
    <w:p w:rsidR="00E80C28" w:rsidRDefault="00E80C28" w:rsidP="00E80C28">
      <w:pPr>
        <w:pStyle w:val="ListParagraph"/>
        <w:numPr>
          <w:ilvl w:val="0"/>
          <w:numId w:val="6"/>
        </w:numPr>
        <w:spacing w:line="240" w:lineRule="auto"/>
        <w:ind w:left="567" w:hanging="425"/>
        <w:rPr>
          <w:rFonts w:ascii="Arial" w:hAnsi="Arial" w:cs="Arial"/>
        </w:rPr>
      </w:pPr>
      <w:r>
        <w:rPr>
          <w:rFonts w:ascii="Arial" w:hAnsi="Arial" w:cs="Arial"/>
        </w:rPr>
        <w:t>The OFSC works with Government a</w:t>
      </w:r>
      <w:r w:rsidRPr="009406F8">
        <w:rPr>
          <w:rFonts w:ascii="Arial" w:hAnsi="Arial" w:cs="Arial"/>
        </w:rPr>
        <w:t xml:space="preserve">gencies </w:t>
      </w:r>
      <w:r>
        <w:rPr>
          <w:rFonts w:ascii="Arial" w:hAnsi="Arial" w:cs="Arial"/>
        </w:rPr>
        <w:t xml:space="preserve">to identify ways in which they are able to </w:t>
      </w:r>
      <w:r w:rsidRPr="009406F8">
        <w:rPr>
          <w:rFonts w:ascii="Arial" w:hAnsi="Arial" w:cs="Arial"/>
        </w:rPr>
        <w:t>provide advice to the OFSC of (a) the nature and location of upcoming Scheme tender processes</w:t>
      </w:r>
      <w:r>
        <w:rPr>
          <w:rFonts w:ascii="Arial" w:hAnsi="Arial" w:cs="Arial"/>
        </w:rPr>
        <w:t xml:space="preserve"> - at least 3 months in advance,</w:t>
      </w:r>
      <w:r w:rsidRPr="009406F8">
        <w:rPr>
          <w:rFonts w:ascii="Arial" w:hAnsi="Arial" w:cs="Arial"/>
        </w:rPr>
        <w:t xml:space="preserve"> (b) commencement of tender process</w:t>
      </w:r>
      <w:r w:rsidR="00F923C5">
        <w:rPr>
          <w:rFonts w:ascii="Arial" w:hAnsi="Arial" w:cs="Arial"/>
        </w:rPr>
        <w:t>es</w:t>
      </w:r>
      <w:r w:rsidRPr="009406F8">
        <w:rPr>
          <w:rFonts w:ascii="Arial" w:hAnsi="Arial" w:cs="Arial"/>
        </w:rPr>
        <w:t xml:space="preserve"> and (c) signing of contract</w:t>
      </w:r>
      <w:r w:rsidR="00F923C5">
        <w:rPr>
          <w:rFonts w:ascii="Arial" w:hAnsi="Arial" w:cs="Arial"/>
        </w:rPr>
        <w:t>s</w:t>
      </w:r>
      <w:r>
        <w:rPr>
          <w:rFonts w:ascii="Arial" w:hAnsi="Arial" w:cs="Arial"/>
        </w:rPr>
        <w:t>.</w:t>
      </w:r>
    </w:p>
    <w:p w:rsidR="00E80C28" w:rsidRPr="00E80C28" w:rsidRDefault="00E80C28" w:rsidP="00E80C28">
      <w:pPr>
        <w:pStyle w:val="ListParagraph"/>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sidRPr="009406F8">
        <w:rPr>
          <w:rFonts w:ascii="Arial" w:hAnsi="Arial" w:cs="Arial"/>
        </w:rPr>
        <w:t xml:space="preserve">The </w:t>
      </w:r>
      <w:r>
        <w:rPr>
          <w:rFonts w:ascii="Arial" w:hAnsi="Arial" w:cs="Arial"/>
        </w:rPr>
        <w:t xml:space="preserve">Government </w:t>
      </w:r>
      <w:r w:rsidRPr="009406F8">
        <w:rPr>
          <w:rFonts w:ascii="Arial" w:hAnsi="Arial" w:cs="Arial"/>
        </w:rPr>
        <w:t>identif</w:t>
      </w:r>
      <w:r>
        <w:rPr>
          <w:rFonts w:ascii="Arial" w:hAnsi="Arial" w:cs="Arial"/>
        </w:rPr>
        <w:t>ies</w:t>
      </w:r>
      <w:r w:rsidRPr="009406F8">
        <w:rPr>
          <w:rFonts w:ascii="Arial" w:hAnsi="Arial" w:cs="Arial"/>
        </w:rPr>
        <w:t xml:space="preserve"> </w:t>
      </w:r>
      <w:r>
        <w:rPr>
          <w:rFonts w:ascii="Arial" w:hAnsi="Arial" w:cs="Arial"/>
        </w:rPr>
        <w:t xml:space="preserve">and progresses </w:t>
      </w:r>
      <w:r w:rsidRPr="009406F8">
        <w:rPr>
          <w:rFonts w:ascii="Arial" w:hAnsi="Arial" w:cs="Arial"/>
        </w:rPr>
        <w:t xml:space="preserve">further opportunities that exist at </w:t>
      </w:r>
      <w:r w:rsidR="00474035">
        <w:rPr>
          <w:rFonts w:ascii="Arial" w:hAnsi="Arial" w:cs="Arial"/>
        </w:rPr>
        <w:t>Commonwealth</w:t>
      </w:r>
      <w:r>
        <w:rPr>
          <w:rFonts w:ascii="Arial" w:hAnsi="Arial" w:cs="Arial"/>
        </w:rPr>
        <w:t xml:space="preserve">, </w:t>
      </w:r>
      <w:r w:rsidRPr="009406F8">
        <w:rPr>
          <w:rFonts w:ascii="Arial" w:hAnsi="Arial" w:cs="Arial"/>
        </w:rPr>
        <w:t xml:space="preserve">state and territory levels to recognise the Scheme in lieu of other </w:t>
      </w:r>
      <w:r w:rsidR="00D85434">
        <w:rPr>
          <w:rFonts w:ascii="Arial" w:hAnsi="Arial" w:cs="Arial"/>
        </w:rPr>
        <w:t>prequalification</w:t>
      </w:r>
      <w:r w:rsidRPr="009406F8">
        <w:rPr>
          <w:rFonts w:ascii="Arial" w:hAnsi="Arial" w:cs="Arial"/>
        </w:rPr>
        <w:t xml:space="preserve"> requirements.</w:t>
      </w:r>
    </w:p>
    <w:p w:rsidR="00E80C28" w:rsidRPr="00E80C28" w:rsidRDefault="00E80C28" w:rsidP="00E80C28">
      <w:pPr>
        <w:pStyle w:val="ListParagraph"/>
        <w:rPr>
          <w:rFonts w:ascii="Arial" w:hAnsi="Arial" w:cs="Arial"/>
        </w:rPr>
      </w:pPr>
    </w:p>
    <w:p w:rsidR="00E80C28" w:rsidRDefault="00E80C28" w:rsidP="00E80C28">
      <w:pPr>
        <w:pStyle w:val="ListParagraph"/>
        <w:numPr>
          <w:ilvl w:val="0"/>
          <w:numId w:val="6"/>
        </w:numPr>
        <w:spacing w:line="240" w:lineRule="auto"/>
        <w:ind w:left="567" w:hanging="425"/>
        <w:rPr>
          <w:rFonts w:ascii="Arial" w:hAnsi="Arial" w:cs="Arial"/>
        </w:rPr>
      </w:pPr>
      <w:r>
        <w:rPr>
          <w:rFonts w:ascii="Arial" w:hAnsi="Arial" w:cs="Arial"/>
        </w:rPr>
        <w:t xml:space="preserve">The </w:t>
      </w:r>
      <w:r w:rsidRPr="009406F8">
        <w:rPr>
          <w:rFonts w:ascii="Arial" w:hAnsi="Arial" w:cs="Arial"/>
        </w:rPr>
        <w:t xml:space="preserve">Government </w:t>
      </w:r>
      <w:r>
        <w:rPr>
          <w:rFonts w:ascii="Arial" w:hAnsi="Arial" w:cs="Arial"/>
        </w:rPr>
        <w:t>considers ways in which there can be greater clarity across funding agencies around c</w:t>
      </w:r>
      <w:r w:rsidRPr="009406F8">
        <w:rPr>
          <w:rFonts w:ascii="Arial" w:hAnsi="Arial" w:cs="Arial"/>
        </w:rPr>
        <w:t>onstruction industry</w:t>
      </w:r>
      <w:r>
        <w:rPr>
          <w:rFonts w:ascii="Arial" w:hAnsi="Arial" w:cs="Arial"/>
        </w:rPr>
        <w:t xml:space="preserve"> procurement requirements.</w:t>
      </w:r>
    </w:p>
    <w:p w:rsidR="00E80C28" w:rsidRPr="005E6C02" w:rsidRDefault="005E6C02" w:rsidP="00226B47">
      <w:pPr>
        <w:pStyle w:val="Heading2"/>
      </w:pPr>
      <w:r w:rsidRPr="005E6C02">
        <w:t>Subcontractors</w:t>
      </w:r>
    </w:p>
    <w:p w:rsidR="005E6C02" w:rsidRPr="00E80C28" w:rsidRDefault="005E6C02" w:rsidP="00E80C28">
      <w:pPr>
        <w:pStyle w:val="ListParagraph"/>
        <w:rPr>
          <w:rFonts w:ascii="Arial" w:hAnsi="Arial" w:cs="Arial"/>
        </w:rPr>
      </w:pPr>
    </w:p>
    <w:p w:rsidR="00E80C28" w:rsidRDefault="00D764A8" w:rsidP="00E80C28">
      <w:pPr>
        <w:pStyle w:val="ListParagraph"/>
        <w:numPr>
          <w:ilvl w:val="0"/>
          <w:numId w:val="6"/>
        </w:numPr>
        <w:spacing w:line="240" w:lineRule="auto"/>
        <w:ind w:left="567" w:hanging="425"/>
        <w:rPr>
          <w:rFonts w:ascii="Arial" w:hAnsi="Arial" w:cs="Arial"/>
        </w:rPr>
      </w:pPr>
      <w:r w:rsidRPr="005C4851">
        <w:rPr>
          <w:rFonts w:ascii="Arial" w:hAnsi="Arial" w:cs="Arial"/>
        </w:rPr>
        <w:t>The OFSC facilitates the development of information to assist Scheme</w:t>
      </w:r>
      <w:r>
        <w:rPr>
          <w:rFonts w:ascii="Arial" w:hAnsi="Arial" w:cs="Arial"/>
        </w:rPr>
        <w:t>-</w:t>
      </w:r>
      <w:r w:rsidRPr="005C4851">
        <w:rPr>
          <w:rFonts w:ascii="Arial" w:hAnsi="Arial" w:cs="Arial"/>
        </w:rPr>
        <w:t xml:space="preserve">accredited principal contractors </w:t>
      </w:r>
      <w:r>
        <w:rPr>
          <w:rFonts w:ascii="Arial" w:hAnsi="Arial" w:cs="Arial"/>
        </w:rPr>
        <w:t xml:space="preserve">to </w:t>
      </w:r>
      <w:r w:rsidRPr="005C4851">
        <w:rPr>
          <w:rFonts w:ascii="Arial" w:hAnsi="Arial" w:cs="Arial"/>
        </w:rPr>
        <w:t>provide consistent communication with subcontractors in relation to the subcontractor management elements of the Scheme.</w:t>
      </w:r>
    </w:p>
    <w:p w:rsidR="005E6C02" w:rsidRPr="005E6C02" w:rsidRDefault="005E6C02" w:rsidP="00226B47">
      <w:pPr>
        <w:pStyle w:val="Heading2"/>
      </w:pPr>
      <w:r w:rsidRPr="005E6C02">
        <w:t>International Companies</w:t>
      </w:r>
    </w:p>
    <w:p w:rsidR="005E6C02" w:rsidRPr="005E6C02" w:rsidRDefault="005E6C02" w:rsidP="005E6C02">
      <w:pPr>
        <w:rPr>
          <w:rFonts w:ascii="Arial" w:hAnsi="Arial" w:cs="Arial"/>
          <w:b/>
          <w:sz w:val="22"/>
          <w:szCs w:val="22"/>
        </w:rPr>
      </w:pPr>
    </w:p>
    <w:p w:rsidR="00D764A8" w:rsidRPr="00E80C28" w:rsidRDefault="00D764A8" w:rsidP="00E80C28">
      <w:pPr>
        <w:pStyle w:val="ListParagraph"/>
        <w:numPr>
          <w:ilvl w:val="0"/>
          <w:numId w:val="6"/>
        </w:numPr>
        <w:spacing w:line="240" w:lineRule="auto"/>
        <w:ind w:left="567" w:hanging="425"/>
        <w:rPr>
          <w:rFonts w:ascii="Arial" w:hAnsi="Arial" w:cs="Arial"/>
        </w:rPr>
      </w:pPr>
      <w:r w:rsidRPr="009406F8">
        <w:rPr>
          <w:rFonts w:ascii="Arial" w:hAnsi="Arial" w:cs="Arial"/>
        </w:rPr>
        <w:t>The OFSC discuss</w:t>
      </w:r>
      <w:r>
        <w:rPr>
          <w:rFonts w:ascii="Arial" w:hAnsi="Arial" w:cs="Arial"/>
        </w:rPr>
        <w:t>es</w:t>
      </w:r>
      <w:r w:rsidRPr="009406F8">
        <w:rPr>
          <w:rFonts w:ascii="Arial" w:hAnsi="Arial" w:cs="Arial"/>
        </w:rPr>
        <w:t xml:space="preserve"> with Austrade and the Department of Infrastructure (and other relevant agencies) whether further changes should be made to the Scheme’s arrangements for international companies</w:t>
      </w:r>
      <w:r>
        <w:rPr>
          <w:rFonts w:ascii="Arial" w:hAnsi="Arial" w:cs="Arial"/>
        </w:rPr>
        <w:t>, while ensuring competitive neutrality for local companies.</w:t>
      </w:r>
    </w:p>
    <w:p w:rsidR="00405B87" w:rsidRPr="009406F8" w:rsidRDefault="00405B87" w:rsidP="00405B87">
      <w:pPr>
        <w:rPr>
          <w:rFonts w:ascii="Arial" w:hAnsi="Arial" w:cs="Arial"/>
          <w:sz w:val="22"/>
          <w:szCs w:val="22"/>
        </w:rPr>
      </w:pPr>
    </w:p>
    <w:p w:rsidR="00B46210" w:rsidRDefault="00B46210">
      <w:pPr>
        <w:rPr>
          <w:rFonts w:ascii="Arial" w:hAnsi="Arial" w:cs="Arial"/>
          <w:b/>
        </w:rPr>
      </w:pPr>
      <w:bookmarkStart w:id="3" w:name="_Toc382816461"/>
      <w:r>
        <w:br w:type="page"/>
      </w:r>
    </w:p>
    <w:p w:rsidR="007B5A3A" w:rsidRDefault="007B5A3A" w:rsidP="00B01E1D">
      <w:pPr>
        <w:pStyle w:val="Heading1"/>
      </w:pPr>
      <w:bookmarkStart w:id="4" w:name="_Toc390429501"/>
      <w:r w:rsidRPr="007B5A3A">
        <w:t xml:space="preserve">How the Review was </w:t>
      </w:r>
      <w:r w:rsidR="008F48B3">
        <w:t>u</w:t>
      </w:r>
      <w:r w:rsidRPr="007B5A3A">
        <w:t>ndertaken</w:t>
      </w:r>
      <w:bookmarkEnd w:id="3"/>
      <w:bookmarkEnd w:id="4"/>
      <w:r w:rsidR="00DD2447">
        <w:t xml:space="preserve"> </w:t>
      </w:r>
    </w:p>
    <w:p w:rsidR="008B7C82" w:rsidRDefault="008B7C82" w:rsidP="008B7C82"/>
    <w:p w:rsidR="00612865" w:rsidRDefault="00216C36" w:rsidP="00216C36">
      <w:pPr>
        <w:rPr>
          <w:rFonts w:ascii="Arial" w:hAnsi="Arial" w:cs="Arial"/>
          <w:sz w:val="22"/>
          <w:szCs w:val="22"/>
        </w:rPr>
      </w:pPr>
      <w:r w:rsidRPr="00BD6C49">
        <w:rPr>
          <w:rFonts w:ascii="Arial" w:hAnsi="Arial" w:cs="Arial"/>
          <w:sz w:val="22"/>
          <w:szCs w:val="22"/>
        </w:rPr>
        <w:t xml:space="preserve">The </w:t>
      </w:r>
      <w:r w:rsidR="00453D80">
        <w:rPr>
          <w:rFonts w:ascii="Arial" w:hAnsi="Arial" w:cs="Arial"/>
          <w:sz w:val="22"/>
          <w:szCs w:val="22"/>
        </w:rPr>
        <w:t>R</w:t>
      </w:r>
      <w:r w:rsidRPr="00BD6C49">
        <w:rPr>
          <w:rFonts w:ascii="Arial" w:hAnsi="Arial" w:cs="Arial"/>
          <w:sz w:val="22"/>
          <w:szCs w:val="22"/>
        </w:rPr>
        <w:t>eview was undertaken by the Department</w:t>
      </w:r>
      <w:r w:rsidR="00734AF8">
        <w:rPr>
          <w:rFonts w:ascii="Arial" w:hAnsi="Arial" w:cs="Arial"/>
          <w:sz w:val="22"/>
          <w:szCs w:val="22"/>
        </w:rPr>
        <w:t xml:space="preserve"> </w:t>
      </w:r>
      <w:r w:rsidR="005C616E">
        <w:rPr>
          <w:rFonts w:ascii="Arial" w:hAnsi="Arial" w:cs="Arial"/>
          <w:sz w:val="22"/>
          <w:szCs w:val="22"/>
        </w:rPr>
        <w:t xml:space="preserve">and </w:t>
      </w:r>
      <w:r w:rsidRPr="00BD6C49">
        <w:rPr>
          <w:rFonts w:ascii="Arial" w:hAnsi="Arial" w:cs="Arial"/>
          <w:sz w:val="22"/>
          <w:szCs w:val="22"/>
        </w:rPr>
        <w:t>informed by an Advisory Panel chaired by a senior executive of the Department and consisting of representatives from industry associations, the Australian Council of Trade Uni</w:t>
      </w:r>
      <w:r w:rsidR="00B333C4">
        <w:rPr>
          <w:rFonts w:ascii="Arial" w:hAnsi="Arial" w:cs="Arial"/>
          <w:sz w:val="22"/>
          <w:szCs w:val="22"/>
        </w:rPr>
        <w:t>ons</w:t>
      </w:r>
      <w:r w:rsidR="0087546B">
        <w:rPr>
          <w:rFonts w:ascii="Arial" w:hAnsi="Arial" w:cs="Arial"/>
          <w:sz w:val="22"/>
          <w:szCs w:val="22"/>
        </w:rPr>
        <w:t xml:space="preserve"> (ACTU)</w:t>
      </w:r>
      <w:r w:rsidR="00B333C4">
        <w:rPr>
          <w:rFonts w:ascii="Arial" w:hAnsi="Arial" w:cs="Arial"/>
          <w:sz w:val="22"/>
          <w:szCs w:val="22"/>
        </w:rPr>
        <w:t>, government fund</w:t>
      </w:r>
      <w:r w:rsidR="008F3909">
        <w:rPr>
          <w:rFonts w:ascii="Arial" w:hAnsi="Arial" w:cs="Arial"/>
          <w:sz w:val="22"/>
          <w:szCs w:val="22"/>
        </w:rPr>
        <w:t>ing</w:t>
      </w:r>
      <w:r w:rsidR="00B333C4">
        <w:rPr>
          <w:rFonts w:ascii="Arial" w:hAnsi="Arial" w:cs="Arial"/>
          <w:sz w:val="22"/>
          <w:szCs w:val="22"/>
        </w:rPr>
        <w:t xml:space="preserve"> entities</w:t>
      </w:r>
      <w:r w:rsidRPr="00BD6C49">
        <w:rPr>
          <w:rFonts w:ascii="Arial" w:hAnsi="Arial" w:cs="Arial"/>
          <w:sz w:val="22"/>
          <w:szCs w:val="22"/>
        </w:rPr>
        <w:t xml:space="preserve"> and the </w:t>
      </w:r>
      <w:r w:rsidR="0087546B">
        <w:rPr>
          <w:rFonts w:ascii="Arial" w:hAnsi="Arial" w:cs="Arial"/>
          <w:sz w:val="22"/>
          <w:szCs w:val="22"/>
        </w:rPr>
        <w:t>FSC</w:t>
      </w:r>
      <w:r w:rsidRPr="00BD6C49">
        <w:rPr>
          <w:rFonts w:ascii="Arial" w:hAnsi="Arial" w:cs="Arial"/>
          <w:sz w:val="22"/>
          <w:szCs w:val="22"/>
        </w:rPr>
        <w:t xml:space="preserve">. </w:t>
      </w:r>
      <w:r w:rsidR="00453D80">
        <w:rPr>
          <w:rFonts w:ascii="Arial" w:hAnsi="Arial" w:cs="Arial"/>
          <w:sz w:val="22"/>
          <w:szCs w:val="22"/>
        </w:rPr>
        <w:t>See Terms of Reference at Attachment A.</w:t>
      </w:r>
    </w:p>
    <w:p w:rsidR="00612865" w:rsidRDefault="00612865" w:rsidP="00216C36">
      <w:pPr>
        <w:rPr>
          <w:rFonts w:ascii="Arial" w:hAnsi="Arial" w:cs="Arial"/>
          <w:sz w:val="22"/>
          <w:szCs w:val="22"/>
        </w:rPr>
      </w:pPr>
    </w:p>
    <w:p w:rsidR="00612865" w:rsidRDefault="00216C36" w:rsidP="00216C36">
      <w:pPr>
        <w:rPr>
          <w:rFonts w:ascii="Arial" w:hAnsi="Arial" w:cs="Arial"/>
          <w:sz w:val="22"/>
          <w:szCs w:val="22"/>
        </w:rPr>
      </w:pPr>
      <w:r w:rsidRPr="00BD6C49">
        <w:rPr>
          <w:rFonts w:ascii="Arial" w:hAnsi="Arial" w:cs="Arial"/>
          <w:sz w:val="22"/>
          <w:szCs w:val="22"/>
        </w:rPr>
        <w:t>Industry representatives included Master Builders Australia</w:t>
      </w:r>
      <w:r w:rsidR="0087546B">
        <w:rPr>
          <w:rFonts w:ascii="Arial" w:hAnsi="Arial" w:cs="Arial"/>
          <w:sz w:val="22"/>
          <w:szCs w:val="22"/>
        </w:rPr>
        <w:t xml:space="preserve"> (MBA)</w:t>
      </w:r>
      <w:r w:rsidRPr="00BD6C49">
        <w:rPr>
          <w:rFonts w:ascii="Arial" w:hAnsi="Arial" w:cs="Arial"/>
          <w:sz w:val="22"/>
          <w:szCs w:val="22"/>
        </w:rPr>
        <w:t>, Australian Constructors Association</w:t>
      </w:r>
      <w:r w:rsidR="0087546B">
        <w:rPr>
          <w:rFonts w:ascii="Arial" w:hAnsi="Arial" w:cs="Arial"/>
          <w:sz w:val="22"/>
          <w:szCs w:val="22"/>
        </w:rPr>
        <w:t xml:space="preserve"> (ACA)</w:t>
      </w:r>
      <w:r w:rsidRPr="00BD6C49">
        <w:rPr>
          <w:rFonts w:ascii="Arial" w:hAnsi="Arial" w:cs="Arial"/>
          <w:sz w:val="22"/>
          <w:szCs w:val="22"/>
        </w:rPr>
        <w:t>, Australian Industry Group</w:t>
      </w:r>
      <w:r w:rsidR="0087546B">
        <w:rPr>
          <w:rFonts w:ascii="Arial" w:hAnsi="Arial" w:cs="Arial"/>
          <w:sz w:val="22"/>
          <w:szCs w:val="22"/>
        </w:rPr>
        <w:t xml:space="preserve"> (Ai Group)</w:t>
      </w:r>
      <w:r w:rsidRPr="00BD6C49">
        <w:rPr>
          <w:rFonts w:ascii="Arial" w:hAnsi="Arial" w:cs="Arial"/>
          <w:sz w:val="22"/>
          <w:szCs w:val="22"/>
        </w:rPr>
        <w:t>, and the Civil Contractors Federation</w:t>
      </w:r>
      <w:r w:rsidR="0087546B">
        <w:rPr>
          <w:rFonts w:ascii="Arial" w:hAnsi="Arial" w:cs="Arial"/>
          <w:sz w:val="22"/>
          <w:szCs w:val="22"/>
        </w:rPr>
        <w:t xml:space="preserve"> (CCF)</w:t>
      </w:r>
      <w:r w:rsidRPr="00BD6C49">
        <w:rPr>
          <w:rFonts w:ascii="Arial" w:hAnsi="Arial" w:cs="Arial"/>
          <w:sz w:val="22"/>
          <w:szCs w:val="22"/>
        </w:rPr>
        <w:t xml:space="preserve">. </w:t>
      </w:r>
    </w:p>
    <w:p w:rsidR="00612865" w:rsidRDefault="00612865" w:rsidP="00216C36">
      <w:pPr>
        <w:rPr>
          <w:rFonts w:ascii="Arial" w:hAnsi="Arial" w:cs="Arial"/>
          <w:sz w:val="22"/>
          <w:szCs w:val="22"/>
        </w:rPr>
      </w:pPr>
    </w:p>
    <w:p w:rsidR="00216C36" w:rsidRPr="00BD6C49" w:rsidRDefault="00216C36" w:rsidP="00216C36">
      <w:pPr>
        <w:rPr>
          <w:rFonts w:ascii="Arial" w:hAnsi="Arial" w:cs="Arial"/>
          <w:sz w:val="22"/>
          <w:szCs w:val="22"/>
        </w:rPr>
      </w:pPr>
      <w:r w:rsidRPr="00BD6C49">
        <w:rPr>
          <w:rFonts w:ascii="Arial" w:hAnsi="Arial" w:cs="Arial"/>
          <w:sz w:val="22"/>
          <w:szCs w:val="22"/>
        </w:rPr>
        <w:t>Funding agencies we</w:t>
      </w:r>
      <w:r w:rsidR="00B333C4">
        <w:rPr>
          <w:rFonts w:ascii="Arial" w:hAnsi="Arial" w:cs="Arial"/>
          <w:sz w:val="22"/>
          <w:szCs w:val="22"/>
        </w:rPr>
        <w:t>re represented on the Advisory P</w:t>
      </w:r>
      <w:r w:rsidRPr="00BD6C49">
        <w:rPr>
          <w:rFonts w:ascii="Arial" w:hAnsi="Arial" w:cs="Arial"/>
          <w:sz w:val="22"/>
          <w:szCs w:val="22"/>
        </w:rPr>
        <w:t>anel by the Department of Defence. The views of</w:t>
      </w:r>
      <w:r w:rsidR="0089757C" w:rsidRPr="00BD6C49">
        <w:rPr>
          <w:rFonts w:ascii="Arial" w:hAnsi="Arial" w:cs="Arial"/>
          <w:sz w:val="22"/>
          <w:szCs w:val="22"/>
        </w:rPr>
        <w:t xml:space="preserve"> funding agencies were also capt</w:t>
      </w:r>
      <w:r w:rsidRPr="00BD6C49">
        <w:rPr>
          <w:rFonts w:ascii="Arial" w:hAnsi="Arial" w:cs="Arial"/>
          <w:sz w:val="22"/>
          <w:szCs w:val="22"/>
        </w:rPr>
        <w:t>ured through a series of meetings with the OFSC’s Australian Government Agency Reference Group</w:t>
      </w:r>
      <w:r w:rsidR="009E4137">
        <w:rPr>
          <w:rFonts w:ascii="Arial" w:hAnsi="Arial" w:cs="Arial"/>
          <w:sz w:val="22"/>
          <w:szCs w:val="22"/>
        </w:rPr>
        <w:t xml:space="preserve"> (AGARG)</w:t>
      </w:r>
      <w:r w:rsidR="0089757C" w:rsidRPr="00BD6C49">
        <w:rPr>
          <w:rFonts w:ascii="Arial" w:hAnsi="Arial" w:cs="Arial"/>
          <w:sz w:val="22"/>
          <w:szCs w:val="22"/>
        </w:rPr>
        <w:t>.</w:t>
      </w:r>
      <w:r w:rsidR="00EA3946">
        <w:rPr>
          <w:rFonts w:ascii="Arial" w:hAnsi="Arial" w:cs="Arial"/>
          <w:sz w:val="22"/>
          <w:szCs w:val="22"/>
        </w:rPr>
        <w:t xml:space="preserve"> </w:t>
      </w:r>
    </w:p>
    <w:p w:rsidR="0089757C" w:rsidRPr="00BD6C49" w:rsidRDefault="0089757C" w:rsidP="00216C36">
      <w:pPr>
        <w:rPr>
          <w:rFonts w:ascii="Arial" w:hAnsi="Arial" w:cs="Arial"/>
          <w:sz w:val="22"/>
          <w:szCs w:val="22"/>
        </w:rPr>
      </w:pPr>
    </w:p>
    <w:p w:rsidR="00197EE6" w:rsidRPr="001B0349" w:rsidRDefault="00197EE6" w:rsidP="00226B47">
      <w:pPr>
        <w:pStyle w:val="Heading2"/>
      </w:pPr>
      <w:r w:rsidRPr="001B0349">
        <w:t>Submissions to the Review</w:t>
      </w:r>
    </w:p>
    <w:p w:rsidR="00197EE6" w:rsidRPr="00144BE2" w:rsidRDefault="00197EE6" w:rsidP="00197EE6">
      <w:pPr>
        <w:rPr>
          <w:rFonts w:ascii="Arial" w:hAnsi="Arial" w:cs="Arial"/>
          <w:sz w:val="22"/>
          <w:szCs w:val="22"/>
          <w:u w:val="single"/>
        </w:rPr>
      </w:pPr>
    </w:p>
    <w:p w:rsidR="00197EE6" w:rsidRDefault="00197EE6" w:rsidP="00197EE6">
      <w:pPr>
        <w:rPr>
          <w:rFonts w:ascii="Arial" w:hAnsi="Arial" w:cs="Arial"/>
          <w:sz w:val="22"/>
          <w:szCs w:val="22"/>
        </w:rPr>
      </w:pPr>
      <w:r>
        <w:rPr>
          <w:rFonts w:ascii="Arial" w:hAnsi="Arial" w:cs="Arial"/>
          <w:sz w:val="22"/>
          <w:szCs w:val="22"/>
        </w:rPr>
        <w:t xml:space="preserve">In early 2014 the Department produced a </w:t>
      </w:r>
      <w:r w:rsidR="00453D80">
        <w:rPr>
          <w:rFonts w:ascii="Arial" w:hAnsi="Arial" w:cs="Arial"/>
          <w:sz w:val="22"/>
          <w:szCs w:val="22"/>
        </w:rPr>
        <w:t>D</w:t>
      </w:r>
      <w:r w:rsidRPr="00BD6C49">
        <w:rPr>
          <w:rFonts w:ascii="Arial" w:hAnsi="Arial" w:cs="Arial"/>
          <w:sz w:val="22"/>
          <w:szCs w:val="22"/>
        </w:rPr>
        <w:t xml:space="preserve">iscussion </w:t>
      </w:r>
      <w:r w:rsidR="00453D80">
        <w:rPr>
          <w:rFonts w:ascii="Arial" w:hAnsi="Arial" w:cs="Arial"/>
          <w:sz w:val="22"/>
          <w:szCs w:val="22"/>
        </w:rPr>
        <w:t>P</w:t>
      </w:r>
      <w:r w:rsidRPr="00BD6C49">
        <w:rPr>
          <w:rFonts w:ascii="Arial" w:hAnsi="Arial" w:cs="Arial"/>
          <w:sz w:val="22"/>
          <w:szCs w:val="22"/>
        </w:rPr>
        <w:t xml:space="preserve">aper in consultation with the Advisory Panel. </w:t>
      </w:r>
      <w:r>
        <w:rPr>
          <w:rFonts w:ascii="Arial" w:hAnsi="Arial" w:cs="Arial"/>
          <w:sz w:val="22"/>
          <w:szCs w:val="22"/>
        </w:rPr>
        <w:t xml:space="preserve">The discussion paper introduced the Review of the Scheme and invited submissions, including </w:t>
      </w:r>
      <w:r w:rsidR="007E70E9">
        <w:rPr>
          <w:rFonts w:ascii="Arial" w:hAnsi="Arial" w:cs="Arial"/>
          <w:sz w:val="22"/>
          <w:szCs w:val="22"/>
        </w:rPr>
        <w:t>the provision of</w:t>
      </w:r>
      <w:r>
        <w:rPr>
          <w:rFonts w:ascii="Arial" w:hAnsi="Arial" w:cs="Arial"/>
          <w:sz w:val="22"/>
          <w:szCs w:val="22"/>
        </w:rPr>
        <w:t xml:space="preserve"> a suggested template that responders could use </w:t>
      </w:r>
      <w:r w:rsidR="00612865">
        <w:rPr>
          <w:rFonts w:ascii="Arial" w:hAnsi="Arial" w:cs="Arial"/>
          <w:sz w:val="22"/>
          <w:szCs w:val="22"/>
        </w:rPr>
        <w:t xml:space="preserve">(if they wished) </w:t>
      </w:r>
      <w:r>
        <w:rPr>
          <w:rFonts w:ascii="Arial" w:hAnsi="Arial" w:cs="Arial"/>
          <w:sz w:val="22"/>
          <w:szCs w:val="22"/>
        </w:rPr>
        <w:t>to structure their submission.</w:t>
      </w:r>
    </w:p>
    <w:p w:rsidR="00197EE6" w:rsidRDefault="00197EE6" w:rsidP="00197EE6">
      <w:pPr>
        <w:rPr>
          <w:rFonts w:ascii="Arial" w:hAnsi="Arial" w:cs="Arial"/>
          <w:sz w:val="22"/>
          <w:szCs w:val="22"/>
        </w:rPr>
      </w:pPr>
    </w:p>
    <w:p w:rsidR="00197EE6" w:rsidRDefault="00197EE6" w:rsidP="00197EE6">
      <w:pPr>
        <w:rPr>
          <w:rFonts w:ascii="Arial" w:hAnsi="Arial" w:cs="Arial"/>
          <w:sz w:val="22"/>
          <w:szCs w:val="22"/>
        </w:rPr>
      </w:pPr>
      <w:r>
        <w:rPr>
          <w:rFonts w:ascii="Arial" w:hAnsi="Arial" w:cs="Arial"/>
          <w:sz w:val="22"/>
          <w:szCs w:val="22"/>
        </w:rPr>
        <w:t>The Discussion Paper also provided background information about the Scheme and safety in the construction industry</w:t>
      </w:r>
      <w:r w:rsidR="00612865">
        <w:rPr>
          <w:rFonts w:ascii="Arial" w:hAnsi="Arial" w:cs="Arial"/>
          <w:sz w:val="22"/>
          <w:szCs w:val="22"/>
        </w:rPr>
        <w:t xml:space="preserve"> generally.</w:t>
      </w:r>
      <w:r w:rsidR="004D2E88">
        <w:rPr>
          <w:rFonts w:ascii="Arial" w:hAnsi="Arial" w:cs="Arial"/>
          <w:sz w:val="22"/>
          <w:szCs w:val="22"/>
        </w:rPr>
        <w:t xml:space="preserve"> </w:t>
      </w:r>
      <w:r w:rsidR="00612865">
        <w:rPr>
          <w:rFonts w:ascii="Arial" w:hAnsi="Arial" w:cs="Arial"/>
          <w:sz w:val="22"/>
          <w:szCs w:val="22"/>
        </w:rPr>
        <w:t xml:space="preserve">It </w:t>
      </w:r>
      <w:r>
        <w:rPr>
          <w:rFonts w:ascii="Arial" w:hAnsi="Arial" w:cs="Arial"/>
          <w:sz w:val="22"/>
          <w:szCs w:val="22"/>
        </w:rPr>
        <w:t xml:space="preserve">set out a variety of issues and questions for comment that addressed the </w:t>
      </w:r>
      <w:r w:rsidR="009E4137">
        <w:rPr>
          <w:rFonts w:ascii="Arial" w:hAnsi="Arial" w:cs="Arial"/>
          <w:sz w:val="22"/>
          <w:szCs w:val="22"/>
        </w:rPr>
        <w:t>T</w:t>
      </w:r>
      <w:r>
        <w:rPr>
          <w:rFonts w:ascii="Arial" w:hAnsi="Arial" w:cs="Arial"/>
          <w:sz w:val="22"/>
          <w:szCs w:val="22"/>
        </w:rPr>
        <w:t xml:space="preserve">erms of </w:t>
      </w:r>
      <w:r w:rsidR="009E4137">
        <w:rPr>
          <w:rFonts w:ascii="Arial" w:hAnsi="Arial" w:cs="Arial"/>
          <w:sz w:val="22"/>
          <w:szCs w:val="22"/>
        </w:rPr>
        <w:t>R</w:t>
      </w:r>
      <w:r>
        <w:rPr>
          <w:rFonts w:ascii="Arial" w:hAnsi="Arial" w:cs="Arial"/>
          <w:sz w:val="22"/>
          <w:szCs w:val="22"/>
        </w:rPr>
        <w:t>eference of the Review.</w:t>
      </w:r>
    </w:p>
    <w:p w:rsidR="00197EE6" w:rsidRPr="00BD6C49" w:rsidRDefault="00197EE6" w:rsidP="00197EE6">
      <w:pPr>
        <w:rPr>
          <w:rFonts w:ascii="Arial" w:hAnsi="Arial" w:cs="Arial"/>
          <w:sz w:val="22"/>
          <w:szCs w:val="22"/>
        </w:rPr>
      </w:pPr>
    </w:p>
    <w:p w:rsidR="00197EE6" w:rsidRPr="00BD6C49" w:rsidRDefault="00197EE6" w:rsidP="00197EE6">
      <w:pPr>
        <w:rPr>
          <w:rFonts w:ascii="Arial" w:hAnsi="Arial" w:cs="Arial"/>
          <w:sz w:val="22"/>
          <w:szCs w:val="22"/>
        </w:rPr>
      </w:pPr>
      <w:r w:rsidRPr="00BD6C49">
        <w:rPr>
          <w:rFonts w:ascii="Arial" w:hAnsi="Arial" w:cs="Arial"/>
          <w:sz w:val="22"/>
          <w:szCs w:val="22"/>
        </w:rPr>
        <w:t>Submissions were sought over a six</w:t>
      </w:r>
      <w:r w:rsidR="00421FEE">
        <w:rPr>
          <w:rFonts w:ascii="Arial" w:hAnsi="Arial" w:cs="Arial"/>
          <w:sz w:val="22"/>
          <w:szCs w:val="22"/>
        </w:rPr>
        <w:t>-</w:t>
      </w:r>
      <w:r w:rsidRPr="00BD6C49">
        <w:rPr>
          <w:rFonts w:ascii="Arial" w:hAnsi="Arial" w:cs="Arial"/>
          <w:sz w:val="22"/>
          <w:szCs w:val="22"/>
        </w:rPr>
        <w:t xml:space="preserve">week period from 28 February 2014 to 4 April 2014. </w:t>
      </w:r>
    </w:p>
    <w:p w:rsidR="00197EE6" w:rsidRPr="00BD6C49" w:rsidRDefault="00197EE6" w:rsidP="00197EE6">
      <w:pPr>
        <w:rPr>
          <w:rFonts w:ascii="Arial" w:hAnsi="Arial" w:cs="Arial"/>
          <w:sz w:val="22"/>
          <w:szCs w:val="22"/>
        </w:rPr>
      </w:pPr>
    </w:p>
    <w:p w:rsidR="00197EE6" w:rsidRDefault="00197EE6" w:rsidP="00197EE6">
      <w:pPr>
        <w:rPr>
          <w:rFonts w:ascii="Arial" w:hAnsi="Arial" w:cs="Arial"/>
          <w:sz w:val="22"/>
          <w:szCs w:val="22"/>
        </w:rPr>
      </w:pPr>
      <w:r>
        <w:rPr>
          <w:rFonts w:ascii="Arial" w:hAnsi="Arial" w:cs="Arial"/>
          <w:sz w:val="22"/>
          <w:szCs w:val="22"/>
        </w:rPr>
        <w:t>G</w:t>
      </w:r>
      <w:r w:rsidRPr="00BD6C49">
        <w:rPr>
          <w:rFonts w:ascii="Arial" w:hAnsi="Arial" w:cs="Arial"/>
          <w:sz w:val="22"/>
          <w:szCs w:val="22"/>
        </w:rPr>
        <w:t xml:space="preserve">iven the size and disparate nature of the industry, consultation was primarily managed through key stakeholder associations, which in turn sought feedback from their members. Emails </w:t>
      </w:r>
      <w:r>
        <w:rPr>
          <w:rFonts w:ascii="Arial" w:hAnsi="Arial" w:cs="Arial"/>
          <w:sz w:val="22"/>
          <w:szCs w:val="22"/>
        </w:rPr>
        <w:t xml:space="preserve">inviting submissions </w:t>
      </w:r>
      <w:r w:rsidRPr="00BD6C49">
        <w:rPr>
          <w:rFonts w:ascii="Arial" w:hAnsi="Arial" w:cs="Arial"/>
          <w:sz w:val="22"/>
          <w:szCs w:val="22"/>
        </w:rPr>
        <w:t xml:space="preserve">were sent to all accredited companies, state and territory </w:t>
      </w:r>
      <w:r w:rsidR="008D7BD9">
        <w:rPr>
          <w:rFonts w:ascii="Arial" w:hAnsi="Arial" w:cs="Arial"/>
          <w:sz w:val="22"/>
          <w:szCs w:val="22"/>
        </w:rPr>
        <w:t>work health and safety (W</w:t>
      </w:r>
      <w:r w:rsidR="006442DA">
        <w:rPr>
          <w:rFonts w:ascii="Arial" w:hAnsi="Arial" w:cs="Arial"/>
          <w:sz w:val="22"/>
          <w:szCs w:val="22"/>
        </w:rPr>
        <w:t>HS</w:t>
      </w:r>
      <w:r w:rsidR="008D7BD9">
        <w:rPr>
          <w:rFonts w:ascii="Arial" w:hAnsi="Arial" w:cs="Arial"/>
          <w:sz w:val="22"/>
          <w:szCs w:val="22"/>
        </w:rPr>
        <w:t>)</w:t>
      </w:r>
      <w:r w:rsidRPr="00BD6C49">
        <w:rPr>
          <w:rFonts w:ascii="Arial" w:hAnsi="Arial" w:cs="Arial"/>
          <w:sz w:val="22"/>
          <w:szCs w:val="22"/>
        </w:rPr>
        <w:t xml:space="preserve"> regulators</w:t>
      </w:r>
      <w:r>
        <w:rPr>
          <w:rFonts w:ascii="Arial" w:hAnsi="Arial" w:cs="Arial"/>
          <w:sz w:val="22"/>
          <w:szCs w:val="22"/>
        </w:rPr>
        <w:t>, Safe Work Australia</w:t>
      </w:r>
      <w:r w:rsidRPr="00BD6C49">
        <w:rPr>
          <w:rFonts w:ascii="Arial" w:hAnsi="Arial" w:cs="Arial"/>
          <w:sz w:val="22"/>
          <w:szCs w:val="22"/>
        </w:rPr>
        <w:t xml:space="preserve"> and an assortment of industry representatives</w:t>
      </w:r>
      <w:r w:rsidR="006442DA">
        <w:rPr>
          <w:rFonts w:ascii="Arial" w:hAnsi="Arial" w:cs="Arial"/>
          <w:sz w:val="22"/>
          <w:szCs w:val="22"/>
        </w:rPr>
        <w:t>,</w:t>
      </w:r>
      <w:r w:rsidRPr="00BD6C49">
        <w:rPr>
          <w:rFonts w:ascii="Arial" w:hAnsi="Arial" w:cs="Arial"/>
          <w:sz w:val="22"/>
          <w:szCs w:val="22"/>
        </w:rPr>
        <w:t xml:space="preserve"> including</w:t>
      </w:r>
      <w:r>
        <w:rPr>
          <w:rFonts w:ascii="Arial" w:hAnsi="Arial" w:cs="Arial"/>
          <w:sz w:val="22"/>
          <w:szCs w:val="22"/>
        </w:rPr>
        <w:t xml:space="preserve"> the Air</w:t>
      </w:r>
      <w:r w:rsidR="00612865">
        <w:rPr>
          <w:rFonts w:ascii="Arial" w:hAnsi="Arial" w:cs="Arial"/>
          <w:sz w:val="22"/>
          <w:szCs w:val="22"/>
        </w:rPr>
        <w:t>-</w:t>
      </w:r>
      <w:r>
        <w:rPr>
          <w:rFonts w:ascii="Arial" w:hAnsi="Arial" w:cs="Arial"/>
          <w:sz w:val="22"/>
          <w:szCs w:val="22"/>
        </w:rPr>
        <w:t xml:space="preserve">conditioning &amp; Mechanical Contractors Association (AMCA) and the National Electrical and Communications Association (NECA). </w:t>
      </w:r>
    </w:p>
    <w:p w:rsidR="00197EE6" w:rsidRDefault="00197EE6" w:rsidP="00197EE6">
      <w:pPr>
        <w:rPr>
          <w:rFonts w:ascii="Arial" w:hAnsi="Arial" w:cs="Arial"/>
          <w:sz w:val="22"/>
          <w:szCs w:val="22"/>
        </w:rPr>
      </w:pPr>
    </w:p>
    <w:p w:rsidR="00197EE6" w:rsidRDefault="00612865" w:rsidP="00197EE6">
      <w:pPr>
        <w:rPr>
          <w:rFonts w:ascii="Arial" w:hAnsi="Arial" w:cs="Arial"/>
          <w:sz w:val="22"/>
          <w:szCs w:val="22"/>
        </w:rPr>
      </w:pPr>
      <w:r>
        <w:rPr>
          <w:rFonts w:ascii="Arial" w:hAnsi="Arial" w:cs="Arial"/>
          <w:sz w:val="22"/>
          <w:szCs w:val="22"/>
        </w:rPr>
        <w:t>A</w:t>
      </w:r>
      <w:r w:rsidR="00197EE6">
        <w:rPr>
          <w:rFonts w:ascii="Arial" w:hAnsi="Arial" w:cs="Arial"/>
          <w:sz w:val="22"/>
          <w:szCs w:val="22"/>
        </w:rPr>
        <w:t xml:space="preserve">ny organisation or member of the public </w:t>
      </w:r>
      <w:r>
        <w:rPr>
          <w:rFonts w:ascii="Arial" w:hAnsi="Arial" w:cs="Arial"/>
          <w:sz w:val="22"/>
          <w:szCs w:val="22"/>
        </w:rPr>
        <w:t xml:space="preserve">was </w:t>
      </w:r>
      <w:r w:rsidR="006442DA">
        <w:rPr>
          <w:rFonts w:ascii="Arial" w:hAnsi="Arial" w:cs="Arial"/>
          <w:sz w:val="22"/>
          <w:szCs w:val="22"/>
        </w:rPr>
        <w:t>invited</w:t>
      </w:r>
      <w:r>
        <w:rPr>
          <w:rFonts w:ascii="Arial" w:hAnsi="Arial" w:cs="Arial"/>
          <w:sz w:val="22"/>
          <w:szCs w:val="22"/>
        </w:rPr>
        <w:t xml:space="preserve"> </w:t>
      </w:r>
      <w:r w:rsidR="00197EE6">
        <w:rPr>
          <w:rFonts w:ascii="Arial" w:hAnsi="Arial" w:cs="Arial"/>
          <w:sz w:val="22"/>
          <w:szCs w:val="22"/>
        </w:rPr>
        <w:t>to make a submission. A copy of the Discussion P</w:t>
      </w:r>
      <w:r w:rsidR="00197EE6" w:rsidRPr="00BD6C49">
        <w:rPr>
          <w:rFonts w:ascii="Arial" w:hAnsi="Arial" w:cs="Arial"/>
          <w:sz w:val="22"/>
          <w:szCs w:val="22"/>
        </w:rPr>
        <w:t xml:space="preserve">aper was </w:t>
      </w:r>
      <w:r w:rsidR="00197EE6">
        <w:rPr>
          <w:rFonts w:ascii="Arial" w:hAnsi="Arial" w:cs="Arial"/>
          <w:sz w:val="22"/>
          <w:szCs w:val="22"/>
        </w:rPr>
        <w:t xml:space="preserve">made </w:t>
      </w:r>
      <w:r w:rsidR="00197EE6" w:rsidRPr="00BD6C49">
        <w:rPr>
          <w:rFonts w:ascii="Arial" w:hAnsi="Arial" w:cs="Arial"/>
          <w:sz w:val="22"/>
          <w:szCs w:val="22"/>
        </w:rPr>
        <w:t>available on the Department’s website</w:t>
      </w:r>
      <w:r w:rsidR="00197EE6">
        <w:rPr>
          <w:rFonts w:ascii="Arial" w:hAnsi="Arial" w:cs="Arial"/>
          <w:sz w:val="22"/>
          <w:szCs w:val="22"/>
        </w:rPr>
        <w:t xml:space="preserve"> and a</w:t>
      </w:r>
      <w:r w:rsidR="00197EE6" w:rsidRPr="00BD6C49">
        <w:rPr>
          <w:rFonts w:ascii="Arial" w:hAnsi="Arial" w:cs="Arial"/>
          <w:sz w:val="22"/>
          <w:szCs w:val="22"/>
        </w:rPr>
        <w:t xml:space="preserve"> link to </w:t>
      </w:r>
      <w:r w:rsidR="00197EE6">
        <w:rPr>
          <w:rFonts w:ascii="Arial" w:hAnsi="Arial" w:cs="Arial"/>
          <w:sz w:val="22"/>
          <w:szCs w:val="22"/>
        </w:rPr>
        <w:t xml:space="preserve">it </w:t>
      </w:r>
      <w:r w:rsidR="00197EE6" w:rsidRPr="00BD6C49">
        <w:rPr>
          <w:rFonts w:ascii="Arial" w:hAnsi="Arial" w:cs="Arial"/>
          <w:sz w:val="22"/>
          <w:szCs w:val="22"/>
        </w:rPr>
        <w:t xml:space="preserve">was also included on the </w:t>
      </w:r>
      <w:r w:rsidR="00197EE6">
        <w:rPr>
          <w:rFonts w:ascii="Arial" w:hAnsi="Arial" w:cs="Arial"/>
          <w:sz w:val="22"/>
          <w:szCs w:val="22"/>
        </w:rPr>
        <w:t>O</w:t>
      </w:r>
      <w:r w:rsidR="00197EE6" w:rsidRPr="00BD6C49">
        <w:rPr>
          <w:rFonts w:ascii="Arial" w:hAnsi="Arial" w:cs="Arial"/>
          <w:sz w:val="22"/>
          <w:szCs w:val="22"/>
        </w:rPr>
        <w:t>FSC website</w:t>
      </w:r>
      <w:r w:rsidR="000F1ABC">
        <w:rPr>
          <w:rFonts w:ascii="Arial" w:hAnsi="Arial" w:cs="Arial"/>
          <w:sz w:val="22"/>
          <w:szCs w:val="22"/>
        </w:rPr>
        <w:t xml:space="preserve"> (www.fsc.gov.au).</w:t>
      </w:r>
    </w:p>
    <w:p w:rsidR="00197EE6" w:rsidRDefault="00197EE6" w:rsidP="00197EE6">
      <w:pPr>
        <w:rPr>
          <w:rFonts w:ascii="Arial" w:hAnsi="Arial" w:cs="Arial"/>
          <w:sz w:val="22"/>
          <w:szCs w:val="22"/>
        </w:rPr>
      </w:pPr>
    </w:p>
    <w:p w:rsidR="00197EE6" w:rsidRDefault="00197EE6" w:rsidP="00197EE6">
      <w:pPr>
        <w:rPr>
          <w:rFonts w:ascii="Arial" w:hAnsi="Arial" w:cs="Arial"/>
          <w:sz w:val="22"/>
          <w:szCs w:val="22"/>
        </w:rPr>
      </w:pPr>
      <w:r>
        <w:rPr>
          <w:rFonts w:ascii="Arial" w:hAnsi="Arial" w:cs="Arial"/>
          <w:sz w:val="22"/>
          <w:szCs w:val="22"/>
        </w:rPr>
        <w:t>A total of 4</w:t>
      </w:r>
      <w:r w:rsidR="009E4137">
        <w:rPr>
          <w:rFonts w:ascii="Arial" w:hAnsi="Arial" w:cs="Arial"/>
          <w:sz w:val="22"/>
          <w:szCs w:val="22"/>
        </w:rPr>
        <w:t>7</w:t>
      </w:r>
      <w:r>
        <w:rPr>
          <w:rFonts w:ascii="Arial" w:hAnsi="Arial" w:cs="Arial"/>
          <w:sz w:val="22"/>
          <w:szCs w:val="22"/>
        </w:rPr>
        <w:t xml:space="preserve"> submissions were received in response to the Discussion Paper. </w:t>
      </w:r>
    </w:p>
    <w:p w:rsidR="00197EE6" w:rsidRDefault="00197EE6" w:rsidP="00197EE6">
      <w:pPr>
        <w:rPr>
          <w:rFonts w:ascii="Arial" w:hAnsi="Arial" w:cs="Arial"/>
          <w:sz w:val="22"/>
          <w:szCs w:val="22"/>
        </w:rPr>
      </w:pPr>
    </w:p>
    <w:p w:rsidR="00197EE6" w:rsidRDefault="00197EE6" w:rsidP="00197EE6">
      <w:pPr>
        <w:rPr>
          <w:rFonts w:ascii="Arial" w:hAnsi="Arial" w:cs="Arial"/>
          <w:sz w:val="22"/>
          <w:szCs w:val="22"/>
        </w:rPr>
      </w:pPr>
      <w:r w:rsidRPr="00BD6C49">
        <w:rPr>
          <w:rFonts w:ascii="Arial" w:hAnsi="Arial" w:cs="Arial"/>
          <w:sz w:val="22"/>
          <w:szCs w:val="22"/>
        </w:rPr>
        <w:t>The views of funding agencies were also captured through a series of meeti</w:t>
      </w:r>
      <w:r w:rsidR="009E4137">
        <w:rPr>
          <w:rFonts w:ascii="Arial" w:hAnsi="Arial" w:cs="Arial"/>
          <w:sz w:val="22"/>
          <w:szCs w:val="22"/>
        </w:rPr>
        <w:t xml:space="preserve">ngs with the OFSC’s </w:t>
      </w:r>
      <w:r w:rsidR="00B46210">
        <w:rPr>
          <w:rFonts w:ascii="Arial" w:hAnsi="Arial" w:cs="Arial"/>
          <w:sz w:val="22"/>
          <w:szCs w:val="22"/>
        </w:rPr>
        <w:t>AGARG</w:t>
      </w:r>
      <w:r w:rsidRPr="00BD6C49">
        <w:rPr>
          <w:rFonts w:ascii="Arial" w:hAnsi="Arial" w:cs="Arial"/>
          <w:sz w:val="22"/>
          <w:szCs w:val="22"/>
        </w:rPr>
        <w:t>.</w:t>
      </w:r>
      <w:r w:rsidR="004D2E88">
        <w:rPr>
          <w:rFonts w:ascii="Arial" w:hAnsi="Arial" w:cs="Arial"/>
          <w:sz w:val="22"/>
          <w:szCs w:val="22"/>
        </w:rPr>
        <w:t xml:space="preserve"> </w:t>
      </w:r>
    </w:p>
    <w:p w:rsidR="00197EE6" w:rsidRDefault="00197EE6" w:rsidP="00197EE6">
      <w:pPr>
        <w:rPr>
          <w:rFonts w:ascii="Arial" w:hAnsi="Arial" w:cs="Arial"/>
          <w:b/>
        </w:rPr>
      </w:pPr>
    </w:p>
    <w:p w:rsidR="00197EE6" w:rsidRPr="001B0349" w:rsidRDefault="00B078CF" w:rsidP="00226B47">
      <w:pPr>
        <w:pStyle w:val="Heading2"/>
      </w:pPr>
      <w:r>
        <w:t xml:space="preserve">The </w:t>
      </w:r>
      <w:r w:rsidR="00197EE6" w:rsidRPr="001B0349">
        <w:t>Survey</w:t>
      </w:r>
    </w:p>
    <w:p w:rsidR="00197EE6" w:rsidRPr="00144BE2" w:rsidRDefault="00197EE6" w:rsidP="00197EE6">
      <w:pPr>
        <w:rPr>
          <w:rFonts w:ascii="Arial" w:hAnsi="Arial" w:cs="Arial"/>
          <w:sz w:val="22"/>
          <w:szCs w:val="22"/>
          <w:u w:val="single"/>
        </w:rPr>
      </w:pPr>
    </w:p>
    <w:p w:rsidR="00DF41C1" w:rsidRDefault="0089757C" w:rsidP="00D72CE0">
      <w:pPr>
        <w:rPr>
          <w:rFonts w:ascii="Arial" w:hAnsi="Arial" w:cs="Arial"/>
          <w:sz w:val="22"/>
          <w:szCs w:val="22"/>
        </w:rPr>
      </w:pPr>
      <w:r w:rsidRPr="00BD6C49">
        <w:rPr>
          <w:rFonts w:ascii="Arial" w:hAnsi="Arial" w:cs="Arial"/>
          <w:sz w:val="22"/>
          <w:szCs w:val="22"/>
        </w:rPr>
        <w:t xml:space="preserve">Accredited companies were </w:t>
      </w:r>
      <w:r w:rsidR="007E70E9">
        <w:rPr>
          <w:rFonts w:ascii="Arial" w:hAnsi="Arial" w:cs="Arial"/>
          <w:sz w:val="22"/>
          <w:szCs w:val="22"/>
        </w:rPr>
        <w:t xml:space="preserve">simultaneously </w:t>
      </w:r>
      <w:r w:rsidRPr="00BD6C49">
        <w:rPr>
          <w:rFonts w:ascii="Arial" w:hAnsi="Arial" w:cs="Arial"/>
          <w:sz w:val="22"/>
          <w:szCs w:val="22"/>
        </w:rPr>
        <w:t xml:space="preserve">afforded an opportunity to provide additional information relevant to obtaining and maintaining accreditation through </w:t>
      </w:r>
      <w:r w:rsidR="008D7BD9">
        <w:rPr>
          <w:rFonts w:ascii="Arial" w:hAnsi="Arial" w:cs="Arial"/>
          <w:sz w:val="22"/>
          <w:szCs w:val="22"/>
        </w:rPr>
        <w:t>the Survey o</w:t>
      </w:r>
      <w:r w:rsidRPr="00BD6C49">
        <w:rPr>
          <w:rFonts w:ascii="Arial" w:hAnsi="Arial" w:cs="Arial"/>
          <w:sz w:val="22"/>
          <w:szCs w:val="22"/>
        </w:rPr>
        <w:t>pen f</w:t>
      </w:r>
      <w:r w:rsidR="00A82787">
        <w:rPr>
          <w:rFonts w:ascii="Arial" w:hAnsi="Arial" w:cs="Arial"/>
          <w:sz w:val="22"/>
          <w:szCs w:val="22"/>
        </w:rPr>
        <w:t>rom 11</w:t>
      </w:r>
      <w:r w:rsidR="008D7BD9">
        <w:rPr>
          <w:rFonts w:ascii="Arial" w:hAnsi="Arial" w:cs="Arial"/>
          <w:sz w:val="22"/>
          <w:szCs w:val="22"/>
        </w:rPr>
        <w:t> </w:t>
      </w:r>
      <w:r w:rsidR="00A82787">
        <w:rPr>
          <w:rFonts w:ascii="Arial" w:hAnsi="Arial" w:cs="Arial"/>
          <w:sz w:val="22"/>
          <w:szCs w:val="22"/>
        </w:rPr>
        <w:t>to 21</w:t>
      </w:r>
      <w:r w:rsidR="00612865">
        <w:rPr>
          <w:rFonts w:ascii="Arial" w:hAnsi="Arial" w:cs="Arial"/>
          <w:sz w:val="22"/>
          <w:szCs w:val="22"/>
        </w:rPr>
        <w:t xml:space="preserve"> </w:t>
      </w:r>
      <w:r w:rsidR="00A82787">
        <w:rPr>
          <w:rFonts w:ascii="Arial" w:hAnsi="Arial" w:cs="Arial"/>
          <w:sz w:val="22"/>
          <w:szCs w:val="22"/>
        </w:rPr>
        <w:t>March 2014</w:t>
      </w:r>
      <w:r w:rsidRPr="00BD6C49">
        <w:rPr>
          <w:rFonts w:ascii="Arial" w:hAnsi="Arial" w:cs="Arial"/>
          <w:sz w:val="22"/>
          <w:szCs w:val="22"/>
        </w:rPr>
        <w:t>.</w:t>
      </w:r>
      <w:r w:rsidR="00D72CE0">
        <w:rPr>
          <w:rFonts w:ascii="Arial" w:hAnsi="Arial" w:cs="Arial"/>
          <w:sz w:val="22"/>
          <w:szCs w:val="22"/>
        </w:rPr>
        <w:t xml:space="preserve"> </w:t>
      </w:r>
    </w:p>
    <w:p w:rsidR="00DF41C1" w:rsidRDefault="00DF41C1" w:rsidP="00D72CE0">
      <w:pPr>
        <w:rPr>
          <w:rFonts w:ascii="Arial" w:hAnsi="Arial" w:cs="Arial"/>
          <w:sz w:val="22"/>
          <w:szCs w:val="22"/>
        </w:rPr>
      </w:pPr>
    </w:p>
    <w:p w:rsidR="00F32CB5" w:rsidRDefault="00F32CB5">
      <w:pPr>
        <w:rPr>
          <w:rFonts w:ascii="Arial" w:hAnsi="Arial" w:cs="Arial"/>
          <w:sz w:val="22"/>
          <w:szCs w:val="22"/>
        </w:rPr>
      </w:pPr>
      <w:r>
        <w:rPr>
          <w:rFonts w:ascii="Arial" w:hAnsi="Arial" w:cs="Arial"/>
          <w:sz w:val="22"/>
          <w:szCs w:val="22"/>
        </w:rPr>
        <w:br w:type="page"/>
      </w:r>
    </w:p>
    <w:p w:rsidR="00651E5A" w:rsidRDefault="00D72CE0">
      <w:pPr>
        <w:rPr>
          <w:rFonts w:ascii="Arial" w:hAnsi="Arial" w:cs="Arial"/>
          <w:sz w:val="22"/>
          <w:szCs w:val="22"/>
        </w:rPr>
      </w:pPr>
      <w:r>
        <w:rPr>
          <w:rFonts w:ascii="Arial" w:hAnsi="Arial" w:cs="Arial"/>
          <w:sz w:val="22"/>
          <w:szCs w:val="22"/>
        </w:rPr>
        <w:t xml:space="preserve">The OFSC emailed </w:t>
      </w:r>
      <w:r w:rsidR="009C6201">
        <w:rPr>
          <w:rFonts w:ascii="Arial" w:hAnsi="Arial" w:cs="Arial"/>
          <w:sz w:val="22"/>
          <w:szCs w:val="22"/>
        </w:rPr>
        <w:t xml:space="preserve">all </w:t>
      </w:r>
      <w:r>
        <w:rPr>
          <w:rFonts w:ascii="Arial" w:hAnsi="Arial" w:cs="Arial"/>
          <w:sz w:val="22"/>
          <w:szCs w:val="22"/>
        </w:rPr>
        <w:t xml:space="preserve">308 accredited companies inviting them to participate in an anonymous online </w:t>
      </w:r>
      <w:r w:rsidR="0064062C">
        <w:rPr>
          <w:rFonts w:ascii="Arial" w:hAnsi="Arial" w:cs="Arial"/>
          <w:sz w:val="22"/>
          <w:szCs w:val="22"/>
        </w:rPr>
        <w:t>S</w:t>
      </w:r>
      <w:r>
        <w:rPr>
          <w:rFonts w:ascii="Arial" w:hAnsi="Arial" w:cs="Arial"/>
          <w:sz w:val="22"/>
          <w:szCs w:val="22"/>
        </w:rPr>
        <w:t xml:space="preserve">urvey regarding the operations of the Scheme </w:t>
      </w:r>
      <w:r w:rsidR="0064062C">
        <w:rPr>
          <w:rFonts w:ascii="Arial" w:hAnsi="Arial" w:cs="Arial"/>
          <w:sz w:val="22"/>
          <w:szCs w:val="22"/>
        </w:rPr>
        <w:t>and the OFSC. Responses to the S</w:t>
      </w:r>
      <w:r>
        <w:rPr>
          <w:rFonts w:ascii="Arial" w:hAnsi="Arial" w:cs="Arial"/>
          <w:sz w:val="22"/>
          <w:szCs w:val="22"/>
        </w:rPr>
        <w:t>urvey were received from 126 companies, constituting a response rate of 4</w:t>
      </w:r>
      <w:r w:rsidR="00C938A8">
        <w:rPr>
          <w:rFonts w:ascii="Arial" w:hAnsi="Arial" w:cs="Arial"/>
          <w:sz w:val="22"/>
          <w:szCs w:val="22"/>
        </w:rPr>
        <w:t>1</w:t>
      </w:r>
      <w:r>
        <w:rPr>
          <w:rFonts w:ascii="Arial" w:hAnsi="Arial" w:cs="Arial"/>
          <w:sz w:val="22"/>
          <w:szCs w:val="22"/>
        </w:rPr>
        <w:t xml:space="preserve"> per cent.</w:t>
      </w:r>
      <w:bookmarkStart w:id="5" w:name="_Toc382816463"/>
      <w:r w:rsidR="00651E5A" w:rsidRPr="00651E5A">
        <w:rPr>
          <w:rFonts w:ascii="Arial" w:hAnsi="Arial" w:cs="Arial"/>
          <w:sz w:val="22"/>
          <w:szCs w:val="22"/>
        </w:rPr>
        <w:t xml:space="preserve"> </w:t>
      </w:r>
      <w:r w:rsidR="00651E5A">
        <w:rPr>
          <w:rFonts w:ascii="Arial" w:hAnsi="Arial" w:cs="Arial"/>
          <w:sz w:val="22"/>
          <w:szCs w:val="22"/>
        </w:rPr>
        <w:t>Analysis was undertaken that confirmed that the response cohort was broadly representative of all accredited companies in terms of size, type of building work undertaken and duration of accreditation.</w:t>
      </w:r>
    </w:p>
    <w:p w:rsidR="006C3BDC" w:rsidRDefault="006C3BDC">
      <w:pPr>
        <w:rPr>
          <w:rFonts w:ascii="Arial" w:hAnsi="Arial" w:cs="Arial"/>
          <w:b/>
        </w:rPr>
      </w:pPr>
    </w:p>
    <w:p w:rsidR="006C3BDC" w:rsidRDefault="006C3BDC" w:rsidP="00B01E1D">
      <w:pPr>
        <w:pStyle w:val="Heading1"/>
      </w:pPr>
      <w:bookmarkStart w:id="6" w:name="_Toc390429502"/>
      <w:r>
        <w:t>Costs and Benefits</w:t>
      </w:r>
      <w:bookmarkEnd w:id="6"/>
    </w:p>
    <w:p w:rsidR="006C3BDC" w:rsidRPr="00A35C87" w:rsidRDefault="006C3BDC" w:rsidP="003005B9">
      <w:pPr>
        <w:pStyle w:val="Heading2"/>
      </w:pPr>
    </w:p>
    <w:p w:rsidR="003454B4" w:rsidRDefault="00EC10F9" w:rsidP="003005B9">
      <w:pPr>
        <w:pStyle w:val="Heading2"/>
      </w:pPr>
      <w:bookmarkStart w:id="7" w:name="_Toc390429503"/>
      <w:r>
        <w:t>Overview</w:t>
      </w:r>
      <w:bookmarkEnd w:id="7"/>
    </w:p>
    <w:p w:rsidR="00EC10F9" w:rsidRDefault="00EC10F9" w:rsidP="00EC10F9"/>
    <w:p w:rsidR="00EC10F9" w:rsidRDefault="00EC10F9" w:rsidP="00EC10F9">
      <w:pPr>
        <w:rPr>
          <w:rFonts w:ascii="Arial" w:hAnsi="Arial" w:cs="Arial"/>
          <w:sz w:val="22"/>
          <w:szCs w:val="22"/>
        </w:rPr>
      </w:pPr>
      <w:r w:rsidRPr="00EC10F9">
        <w:rPr>
          <w:rFonts w:ascii="Arial" w:hAnsi="Arial" w:cs="Arial"/>
          <w:sz w:val="22"/>
          <w:szCs w:val="22"/>
        </w:rPr>
        <w:t>The T</w:t>
      </w:r>
      <w:r>
        <w:rPr>
          <w:rFonts w:ascii="Arial" w:hAnsi="Arial" w:cs="Arial"/>
          <w:sz w:val="22"/>
          <w:szCs w:val="22"/>
        </w:rPr>
        <w:t xml:space="preserve">erms of Reference </w:t>
      </w:r>
      <w:r w:rsidR="006005E0">
        <w:rPr>
          <w:rFonts w:ascii="Arial" w:hAnsi="Arial" w:cs="Arial"/>
          <w:sz w:val="22"/>
          <w:szCs w:val="22"/>
        </w:rPr>
        <w:t xml:space="preserve">of the Review </w:t>
      </w:r>
      <w:r w:rsidR="00453D80">
        <w:rPr>
          <w:rFonts w:ascii="Arial" w:hAnsi="Arial" w:cs="Arial"/>
          <w:sz w:val="22"/>
          <w:szCs w:val="22"/>
        </w:rPr>
        <w:t xml:space="preserve">(see Attachment A) </w:t>
      </w:r>
      <w:r>
        <w:rPr>
          <w:rFonts w:ascii="Arial" w:hAnsi="Arial" w:cs="Arial"/>
          <w:sz w:val="22"/>
          <w:szCs w:val="22"/>
        </w:rPr>
        <w:t xml:space="preserve">required consideration of the “costs of complying with the Scheme, including the cost of seeking and maintaining accreditation, particularly for smaller businesses/projects”. </w:t>
      </w:r>
      <w:r w:rsidR="00764BAC">
        <w:rPr>
          <w:rFonts w:ascii="Arial" w:hAnsi="Arial" w:cs="Arial"/>
          <w:sz w:val="22"/>
          <w:szCs w:val="22"/>
        </w:rPr>
        <w:t xml:space="preserve">An </w:t>
      </w:r>
      <w:r w:rsidR="00E9635D">
        <w:rPr>
          <w:rFonts w:ascii="Arial" w:hAnsi="Arial" w:cs="Arial"/>
          <w:sz w:val="22"/>
          <w:szCs w:val="22"/>
        </w:rPr>
        <w:t xml:space="preserve">assessment was undertaken in the context of identifying options to streamline and modernise the Scheme, while maintaining or improving safety outcomes. </w:t>
      </w:r>
      <w:r>
        <w:rPr>
          <w:rFonts w:ascii="Arial" w:hAnsi="Arial" w:cs="Arial"/>
          <w:sz w:val="22"/>
          <w:szCs w:val="22"/>
        </w:rPr>
        <w:t xml:space="preserve">In undertaking this assessment, the </w:t>
      </w:r>
      <w:r w:rsidR="00764BAC">
        <w:rPr>
          <w:rFonts w:ascii="Arial" w:hAnsi="Arial" w:cs="Arial"/>
          <w:sz w:val="22"/>
          <w:szCs w:val="22"/>
        </w:rPr>
        <w:t>R</w:t>
      </w:r>
      <w:r>
        <w:rPr>
          <w:rFonts w:ascii="Arial" w:hAnsi="Arial" w:cs="Arial"/>
          <w:sz w:val="22"/>
          <w:szCs w:val="22"/>
        </w:rPr>
        <w:t xml:space="preserve">eview also considered the benefits resulting from accreditation, and </w:t>
      </w:r>
      <w:r w:rsidR="001C168B">
        <w:rPr>
          <w:rFonts w:ascii="Arial" w:hAnsi="Arial" w:cs="Arial"/>
          <w:sz w:val="22"/>
          <w:szCs w:val="22"/>
        </w:rPr>
        <w:t xml:space="preserve">the </w:t>
      </w:r>
      <w:r w:rsidR="00E9635D">
        <w:rPr>
          <w:rFonts w:ascii="Arial" w:hAnsi="Arial" w:cs="Arial"/>
          <w:sz w:val="22"/>
          <w:szCs w:val="22"/>
        </w:rPr>
        <w:t>overall</w:t>
      </w:r>
      <w:r w:rsidR="001C168B">
        <w:rPr>
          <w:rFonts w:ascii="Arial" w:hAnsi="Arial" w:cs="Arial"/>
          <w:sz w:val="22"/>
          <w:szCs w:val="22"/>
        </w:rPr>
        <w:t xml:space="preserve"> </w:t>
      </w:r>
      <w:r w:rsidR="00974A85">
        <w:rPr>
          <w:rFonts w:ascii="Arial" w:hAnsi="Arial" w:cs="Arial"/>
          <w:sz w:val="22"/>
          <w:szCs w:val="22"/>
        </w:rPr>
        <w:t>cost-benefit</w:t>
      </w:r>
      <w:r>
        <w:rPr>
          <w:rFonts w:ascii="Arial" w:hAnsi="Arial" w:cs="Arial"/>
          <w:sz w:val="22"/>
          <w:szCs w:val="22"/>
        </w:rPr>
        <w:t>.</w:t>
      </w:r>
      <w:r w:rsidR="00744074">
        <w:rPr>
          <w:rFonts w:ascii="Arial" w:hAnsi="Arial" w:cs="Arial"/>
          <w:sz w:val="22"/>
          <w:szCs w:val="22"/>
        </w:rPr>
        <w:t xml:space="preserve"> </w:t>
      </w:r>
    </w:p>
    <w:p w:rsidR="00EC10F9" w:rsidRDefault="00EC10F9" w:rsidP="00EC10F9">
      <w:pPr>
        <w:rPr>
          <w:rFonts w:ascii="Arial" w:hAnsi="Arial" w:cs="Arial"/>
          <w:sz w:val="22"/>
          <w:szCs w:val="22"/>
        </w:rPr>
      </w:pPr>
    </w:p>
    <w:p w:rsidR="006005E0" w:rsidRDefault="00EC10F9" w:rsidP="00EC10F9">
      <w:pPr>
        <w:rPr>
          <w:rFonts w:ascii="Arial" w:hAnsi="Arial" w:cs="Arial"/>
          <w:sz w:val="22"/>
          <w:szCs w:val="22"/>
        </w:rPr>
      </w:pPr>
      <w:r>
        <w:rPr>
          <w:rFonts w:ascii="Arial" w:hAnsi="Arial" w:cs="Arial"/>
          <w:sz w:val="22"/>
          <w:szCs w:val="22"/>
        </w:rPr>
        <w:t>A key difficulty was to isolate the net additional cost</w:t>
      </w:r>
      <w:r w:rsidR="00500BF1">
        <w:rPr>
          <w:rFonts w:ascii="Arial" w:hAnsi="Arial" w:cs="Arial"/>
          <w:sz w:val="22"/>
          <w:szCs w:val="22"/>
        </w:rPr>
        <w:t>s</w:t>
      </w:r>
      <w:r>
        <w:rPr>
          <w:rFonts w:ascii="Arial" w:hAnsi="Arial" w:cs="Arial"/>
          <w:sz w:val="22"/>
          <w:szCs w:val="22"/>
        </w:rPr>
        <w:t xml:space="preserve"> </w:t>
      </w:r>
      <w:r w:rsidR="00C61E5B">
        <w:rPr>
          <w:rFonts w:ascii="Arial" w:hAnsi="Arial" w:cs="Arial"/>
          <w:sz w:val="22"/>
          <w:szCs w:val="22"/>
        </w:rPr>
        <w:t xml:space="preserve">attributable to the </w:t>
      </w:r>
      <w:r>
        <w:rPr>
          <w:rFonts w:ascii="Arial" w:hAnsi="Arial" w:cs="Arial"/>
          <w:sz w:val="22"/>
          <w:szCs w:val="22"/>
        </w:rPr>
        <w:t>Scheme, as the Scheme’s requirements interact with</w:t>
      </w:r>
      <w:r w:rsidR="00974A85">
        <w:rPr>
          <w:rFonts w:ascii="Arial" w:hAnsi="Arial" w:cs="Arial"/>
          <w:sz w:val="22"/>
          <w:szCs w:val="22"/>
        </w:rPr>
        <w:t>,</w:t>
      </w:r>
      <w:r>
        <w:rPr>
          <w:rFonts w:ascii="Arial" w:hAnsi="Arial" w:cs="Arial"/>
          <w:sz w:val="22"/>
          <w:szCs w:val="22"/>
        </w:rPr>
        <w:t xml:space="preserve"> and augment</w:t>
      </w:r>
      <w:r w:rsidR="00974A85">
        <w:rPr>
          <w:rFonts w:ascii="Arial" w:hAnsi="Arial" w:cs="Arial"/>
          <w:sz w:val="22"/>
          <w:szCs w:val="22"/>
        </w:rPr>
        <w:t>,</w:t>
      </w:r>
      <w:r>
        <w:rPr>
          <w:rFonts w:ascii="Arial" w:hAnsi="Arial" w:cs="Arial"/>
          <w:sz w:val="22"/>
          <w:szCs w:val="22"/>
        </w:rPr>
        <w:t xml:space="preserve"> a range of other WHS obligations on building companies. Companies incur costs in complying with state and territory WHS legislation, insurance company obligations and internal corporate </w:t>
      </w:r>
      <w:r w:rsidR="00711E92">
        <w:rPr>
          <w:rFonts w:ascii="Arial" w:hAnsi="Arial" w:cs="Arial"/>
          <w:sz w:val="22"/>
          <w:szCs w:val="22"/>
        </w:rPr>
        <w:t xml:space="preserve">and safety </w:t>
      </w:r>
      <w:r w:rsidR="00744074">
        <w:rPr>
          <w:rFonts w:ascii="Arial" w:hAnsi="Arial" w:cs="Arial"/>
          <w:sz w:val="22"/>
          <w:szCs w:val="22"/>
        </w:rPr>
        <w:t xml:space="preserve">requirements. </w:t>
      </w:r>
    </w:p>
    <w:p w:rsidR="006005E0" w:rsidRDefault="006005E0" w:rsidP="00EC10F9">
      <w:pPr>
        <w:rPr>
          <w:rFonts w:ascii="Arial" w:hAnsi="Arial" w:cs="Arial"/>
          <w:sz w:val="22"/>
          <w:szCs w:val="22"/>
        </w:rPr>
      </w:pPr>
    </w:p>
    <w:p w:rsidR="00974A85" w:rsidRDefault="00974A85" w:rsidP="00EC10F9">
      <w:pPr>
        <w:rPr>
          <w:rFonts w:ascii="Arial" w:hAnsi="Arial" w:cs="Arial"/>
          <w:sz w:val="22"/>
          <w:szCs w:val="22"/>
        </w:rPr>
      </w:pPr>
      <w:r w:rsidRPr="00AB1DED">
        <w:rPr>
          <w:rFonts w:ascii="Arial" w:hAnsi="Arial" w:cs="Arial"/>
          <w:sz w:val="22"/>
          <w:szCs w:val="22"/>
        </w:rPr>
        <w:t>The Scheme criteria require system-based approaches and a safety culture which minimis</w:t>
      </w:r>
      <w:r w:rsidR="00764BAC" w:rsidRPr="00AB1DED">
        <w:rPr>
          <w:rFonts w:ascii="Arial" w:hAnsi="Arial" w:cs="Arial"/>
          <w:sz w:val="22"/>
          <w:szCs w:val="22"/>
        </w:rPr>
        <w:t>es</w:t>
      </w:r>
      <w:r w:rsidRPr="00AB1DED">
        <w:rPr>
          <w:rFonts w:ascii="Arial" w:hAnsi="Arial" w:cs="Arial"/>
          <w:sz w:val="22"/>
          <w:szCs w:val="22"/>
        </w:rPr>
        <w:t xml:space="preserve"> the risks of safety incidents </w:t>
      </w:r>
      <w:r w:rsidR="00AB1DED" w:rsidRPr="00AB1DED">
        <w:rPr>
          <w:rFonts w:ascii="Arial" w:hAnsi="Arial" w:cs="Arial"/>
          <w:sz w:val="22"/>
          <w:szCs w:val="22"/>
        </w:rPr>
        <w:t xml:space="preserve">or legislative breaches </w:t>
      </w:r>
      <w:r w:rsidRPr="00AB1DED">
        <w:rPr>
          <w:rFonts w:ascii="Arial" w:hAnsi="Arial" w:cs="Arial"/>
          <w:sz w:val="22"/>
          <w:szCs w:val="22"/>
        </w:rPr>
        <w:t>occurring</w:t>
      </w:r>
      <w:r w:rsidR="00AB1DED" w:rsidRPr="00AB1DED">
        <w:rPr>
          <w:rFonts w:ascii="Arial" w:hAnsi="Arial" w:cs="Arial"/>
          <w:sz w:val="22"/>
          <w:szCs w:val="22"/>
        </w:rPr>
        <w:t>. I</w:t>
      </w:r>
      <w:r w:rsidRPr="00AB1DED">
        <w:rPr>
          <w:rFonts w:ascii="Arial" w:hAnsi="Arial" w:cs="Arial"/>
          <w:sz w:val="22"/>
          <w:szCs w:val="22"/>
        </w:rPr>
        <w:t>solating the marginal cost of meeting the Scheme</w:t>
      </w:r>
      <w:r w:rsidR="00A35C87" w:rsidRPr="00AB1DED">
        <w:rPr>
          <w:rFonts w:ascii="Arial" w:hAnsi="Arial" w:cs="Arial"/>
          <w:sz w:val="22"/>
          <w:szCs w:val="22"/>
        </w:rPr>
        <w:t>’s</w:t>
      </w:r>
      <w:r w:rsidRPr="00AB1DED">
        <w:rPr>
          <w:rFonts w:ascii="Arial" w:hAnsi="Arial" w:cs="Arial"/>
          <w:sz w:val="22"/>
          <w:szCs w:val="22"/>
        </w:rPr>
        <w:t xml:space="preserve"> criteria compared</w:t>
      </w:r>
      <w:r w:rsidR="00764BAC" w:rsidRPr="00AB1DED">
        <w:rPr>
          <w:rFonts w:ascii="Arial" w:hAnsi="Arial" w:cs="Arial"/>
          <w:sz w:val="22"/>
          <w:szCs w:val="22"/>
        </w:rPr>
        <w:t xml:space="preserve">, for example, </w:t>
      </w:r>
      <w:r w:rsidRPr="00AB1DED">
        <w:rPr>
          <w:rFonts w:ascii="Arial" w:hAnsi="Arial" w:cs="Arial"/>
          <w:sz w:val="22"/>
          <w:szCs w:val="22"/>
        </w:rPr>
        <w:t xml:space="preserve">to </w:t>
      </w:r>
      <w:r w:rsidR="009907B6" w:rsidRPr="00AB1DED">
        <w:rPr>
          <w:rFonts w:ascii="Arial" w:hAnsi="Arial" w:cs="Arial"/>
          <w:sz w:val="22"/>
          <w:szCs w:val="22"/>
        </w:rPr>
        <w:t xml:space="preserve">costs of </w:t>
      </w:r>
      <w:r w:rsidRPr="00AB1DED">
        <w:rPr>
          <w:rFonts w:ascii="Arial" w:hAnsi="Arial" w:cs="Arial"/>
          <w:sz w:val="22"/>
          <w:szCs w:val="22"/>
        </w:rPr>
        <w:t>other approaches to comply</w:t>
      </w:r>
      <w:r w:rsidR="00744074" w:rsidRPr="00AB1DED">
        <w:rPr>
          <w:rFonts w:ascii="Arial" w:hAnsi="Arial" w:cs="Arial"/>
          <w:sz w:val="22"/>
          <w:szCs w:val="22"/>
        </w:rPr>
        <w:t>ing</w:t>
      </w:r>
      <w:r w:rsidRPr="00AB1DED">
        <w:rPr>
          <w:rFonts w:ascii="Arial" w:hAnsi="Arial" w:cs="Arial"/>
          <w:sz w:val="22"/>
          <w:szCs w:val="22"/>
        </w:rPr>
        <w:t xml:space="preserve"> with legal obligations</w:t>
      </w:r>
      <w:r w:rsidR="00A35C87" w:rsidRPr="00AB1DED">
        <w:rPr>
          <w:rFonts w:ascii="Arial" w:hAnsi="Arial" w:cs="Arial"/>
          <w:sz w:val="22"/>
          <w:szCs w:val="22"/>
        </w:rPr>
        <w:t>,</w:t>
      </w:r>
      <w:r w:rsidR="009F76E0">
        <w:rPr>
          <w:rFonts w:ascii="Arial" w:hAnsi="Arial" w:cs="Arial"/>
          <w:sz w:val="22"/>
          <w:szCs w:val="22"/>
        </w:rPr>
        <w:t xml:space="preserve"> </w:t>
      </w:r>
      <w:r w:rsidRPr="00AB1DED">
        <w:rPr>
          <w:rFonts w:ascii="Arial" w:hAnsi="Arial" w:cs="Arial"/>
          <w:sz w:val="22"/>
          <w:szCs w:val="22"/>
        </w:rPr>
        <w:t>is problematic.</w:t>
      </w:r>
      <w:r>
        <w:rPr>
          <w:rFonts w:ascii="Arial" w:hAnsi="Arial" w:cs="Arial"/>
          <w:sz w:val="22"/>
          <w:szCs w:val="22"/>
        </w:rPr>
        <w:t xml:space="preserve"> </w:t>
      </w:r>
    </w:p>
    <w:p w:rsidR="00711E92" w:rsidRDefault="00711E92" w:rsidP="00EC10F9">
      <w:pPr>
        <w:rPr>
          <w:rFonts w:ascii="Arial" w:hAnsi="Arial" w:cs="Arial"/>
          <w:sz w:val="22"/>
          <w:szCs w:val="22"/>
        </w:rPr>
      </w:pPr>
    </w:p>
    <w:p w:rsidR="001C168B" w:rsidRDefault="00345A6D" w:rsidP="00EC10F9">
      <w:pPr>
        <w:rPr>
          <w:rFonts w:ascii="Arial" w:hAnsi="Arial" w:cs="Arial"/>
          <w:sz w:val="22"/>
          <w:szCs w:val="22"/>
        </w:rPr>
      </w:pPr>
      <w:r w:rsidRPr="00AB1DED">
        <w:rPr>
          <w:rFonts w:ascii="Arial" w:hAnsi="Arial" w:cs="Arial"/>
          <w:sz w:val="22"/>
          <w:szCs w:val="22"/>
        </w:rPr>
        <w:t xml:space="preserve">The time taken and costs involved in achieving </w:t>
      </w:r>
      <w:r w:rsidR="00C61E5B" w:rsidRPr="00AB1DED">
        <w:rPr>
          <w:rFonts w:ascii="Arial" w:hAnsi="Arial" w:cs="Arial"/>
          <w:sz w:val="22"/>
          <w:szCs w:val="22"/>
        </w:rPr>
        <w:t xml:space="preserve">and maintaining </w:t>
      </w:r>
      <w:r w:rsidRPr="00AB1DED">
        <w:rPr>
          <w:rFonts w:ascii="Arial" w:hAnsi="Arial" w:cs="Arial"/>
          <w:sz w:val="22"/>
          <w:szCs w:val="22"/>
        </w:rPr>
        <w:t>accreditation also var</w:t>
      </w:r>
      <w:r w:rsidR="009907B6" w:rsidRPr="00AB1DED">
        <w:rPr>
          <w:rFonts w:ascii="Arial" w:hAnsi="Arial" w:cs="Arial"/>
          <w:sz w:val="22"/>
          <w:szCs w:val="22"/>
        </w:rPr>
        <w:t>y</w:t>
      </w:r>
      <w:r w:rsidRPr="00AB1DED">
        <w:rPr>
          <w:rFonts w:ascii="Arial" w:hAnsi="Arial" w:cs="Arial"/>
          <w:sz w:val="22"/>
          <w:szCs w:val="22"/>
        </w:rPr>
        <w:t xml:space="preserve"> significantly from company to company, depending on the quality of existing safety approaches, and the openness and responsiveness to areas </w:t>
      </w:r>
      <w:r w:rsidR="00C61E5B" w:rsidRPr="00AB1DED">
        <w:rPr>
          <w:rFonts w:ascii="Arial" w:hAnsi="Arial" w:cs="Arial"/>
          <w:sz w:val="22"/>
          <w:szCs w:val="22"/>
        </w:rPr>
        <w:t xml:space="preserve">identified </w:t>
      </w:r>
      <w:r w:rsidR="001C168B" w:rsidRPr="00AB1DED">
        <w:rPr>
          <w:rFonts w:ascii="Arial" w:hAnsi="Arial" w:cs="Arial"/>
          <w:sz w:val="22"/>
          <w:szCs w:val="22"/>
        </w:rPr>
        <w:t>for</w:t>
      </w:r>
      <w:r w:rsidRPr="00AB1DED">
        <w:rPr>
          <w:rFonts w:ascii="Arial" w:hAnsi="Arial" w:cs="Arial"/>
          <w:sz w:val="22"/>
          <w:szCs w:val="22"/>
        </w:rPr>
        <w:t xml:space="preserve"> improvement</w:t>
      </w:r>
      <w:r w:rsidR="00421FEE" w:rsidRPr="00AB1DED">
        <w:rPr>
          <w:rFonts w:ascii="Arial" w:hAnsi="Arial" w:cs="Arial"/>
          <w:sz w:val="22"/>
          <w:szCs w:val="22"/>
        </w:rPr>
        <w:t xml:space="preserve"> </w:t>
      </w:r>
      <w:r w:rsidR="00E42471" w:rsidRPr="00AB1DED">
        <w:rPr>
          <w:rFonts w:ascii="Arial" w:hAnsi="Arial" w:cs="Arial"/>
          <w:sz w:val="22"/>
          <w:szCs w:val="22"/>
        </w:rPr>
        <w:t>during</w:t>
      </w:r>
      <w:r w:rsidR="00421FEE" w:rsidRPr="00AB1DED">
        <w:rPr>
          <w:rFonts w:ascii="Arial" w:hAnsi="Arial" w:cs="Arial"/>
          <w:sz w:val="22"/>
          <w:szCs w:val="22"/>
        </w:rPr>
        <w:t xml:space="preserve"> audits</w:t>
      </w:r>
      <w:r w:rsidRPr="00AB1DED">
        <w:rPr>
          <w:rFonts w:ascii="Arial" w:hAnsi="Arial" w:cs="Arial"/>
          <w:sz w:val="22"/>
          <w:szCs w:val="22"/>
        </w:rPr>
        <w:t>.</w:t>
      </w:r>
      <w:r w:rsidR="00500BF1">
        <w:rPr>
          <w:rFonts w:ascii="Arial" w:hAnsi="Arial" w:cs="Arial"/>
          <w:sz w:val="22"/>
          <w:szCs w:val="22"/>
        </w:rPr>
        <w:t xml:space="preserve"> While some small companies have achieved accreditation with just two audits, others including large companies </w:t>
      </w:r>
      <w:r w:rsidR="001C168B">
        <w:rPr>
          <w:rFonts w:ascii="Arial" w:hAnsi="Arial" w:cs="Arial"/>
          <w:sz w:val="22"/>
          <w:szCs w:val="22"/>
        </w:rPr>
        <w:t xml:space="preserve">have required four or more audits before the criteria have been fully </w:t>
      </w:r>
      <w:r w:rsidR="00AE5A5A">
        <w:rPr>
          <w:rFonts w:ascii="Arial" w:hAnsi="Arial" w:cs="Arial"/>
          <w:sz w:val="22"/>
          <w:szCs w:val="22"/>
        </w:rPr>
        <w:t>met</w:t>
      </w:r>
      <w:r w:rsidR="001C168B">
        <w:rPr>
          <w:rFonts w:ascii="Arial" w:hAnsi="Arial" w:cs="Arial"/>
          <w:sz w:val="22"/>
          <w:szCs w:val="22"/>
        </w:rPr>
        <w:t xml:space="preserve">. Accordingly, differing </w:t>
      </w:r>
      <w:r w:rsidR="00AB1DED">
        <w:rPr>
          <w:rFonts w:ascii="Arial" w:hAnsi="Arial" w:cs="Arial"/>
          <w:sz w:val="22"/>
          <w:szCs w:val="22"/>
        </w:rPr>
        <w:t xml:space="preserve">starting points, </w:t>
      </w:r>
      <w:r w:rsidR="001C168B">
        <w:rPr>
          <w:rFonts w:ascii="Arial" w:hAnsi="Arial" w:cs="Arial"/>
          <w:sz w:val="22"/>
          <w:szCs w:val="22"/>
        </w:rPr>
        <w:t xml:space="preserve">approaches and responsiveness of companies make it difficult to generalise about the costs of accreditation. </w:t>
      </w:r>
    </w:p>
    <w:p w:rsidR="001C168B" w:rsidRDefault="001C168B" w:rsidP="00EC10F9">
      <w:pPr>
        <w:rPr>
          <w:rFonts w:ascii="Arial" w:hAnsi="Arial" w:cs="Arial"/>
          <w:sz w:val="22"/>
          <w:szCs w:val="22"/>
        </w:rPr>
      </w:pPr>
    </w:p>
    <w:p w:rsidR="001C168B" w:rsidRDefault="001C168B" w:rsidP="001C168B">
      <w:pPr>
        <w:rPr>
          <w:rFonts w:ascii="Arial" w:hAnsi="Arial" w:cs="Arial"/>
          <w:sz w:val="22"/>
          <w:szCs w:val="22"/>
        </w:rPr>
      </w:pPr>
      <w:r>
        <w:rPr>
          <w:rFonts w:ascii="Arial" w:hAnsi="Arial" w:cs="Arial"/>
          <w:sz w:val="22"/>
          <w:szCs w:val="22"/>
        </w:rPr>
        <w:t xml:space="preserve">Notwithstanding these caveats, the </w:t>
      </w:r>
      <w:r w:rsidR="002D6CEC">
        <w:rPr>
          <w:rFonts w:ascii="Arial" w:hAnsi="Arial" w:cs="Arial"/>
          <w:sz w:val="22"/>
          <w:szCs w:val="22"/>
        </w:rPr>
        <w:t>S</w:t>
      </w:r>
      <w:r>
        <w:rPr>
          <w:rFonts w:ascii="Arial" w:hAnsi="Arial" w:cs="Arial"/>
          <w:sz w:val="22"/>
          <w:szCs w:val="22"/>
        </w:rPr>
        <w:t xml:space="preserve">urvey, submissions and </w:t>
      </w:r>
      <w:r w:rsidR="00AE5A5A">
        <w:rPr>
          <w:rFonts w:ascii="Arial" w:hAnsi="Arial" w:cs="Arial"/>
          <w:sz w:val="22"/>
          <w:szCs w:val="22"/>
        </w:rPr>
        <w:t xml:space="preserve">the </w:t>
      </w:r>
      <w:r>
        <w:rPr>
          <w:rFonts w:ascii="Arial" w:hAnsi="Arial" w:cs="Arial"/>
          <w:sz w:val="22"/>
          <w:szCs w:val="22"/>
        </w:rPr>
        <w:t xml:space="preserve">input </w:t>
      </w:r>
      <w:r w:rsidR="00AE5A5A">
        <w:rPr>
          <w:rFonts w:ascii="Arial" w:hAnsi="Arial" w:cs="Arial"/>
          <w:sz w:val="22"/>
          <w:szCs w:val="22"/>
        </w:rPr>
        <w:t xml:space="preserve">of </w:t>
      </w:r>
      <w:r w:rsidR="002D6CEC">
        <w:rPr>
          <w:rFonts w:ascii="Arial" w:hAnsi="Arial" w:cs="Arial"/>
          <w:sz w:val="22"/>
          <w:szCs w:val="22"/>
        </w:rPr>
        <w:t xml:space="preserve">the </w:t>
      </w:r>
      <w:r>
        <w:rPr>
          <w:rFonts w:ascii="Arial" w:hAnsi="Arial" w:cs="Arial"/>
          <w:sz w:val="22"/>
          <w:szCs w:val="22"/>
        </w:rPr>
        <w:t xml:space="preserve">Advisory Panel members </w:t>
      </w:r>
      <w:r w:rsidR="00AE5A5A">
        <w:rPr>
          <w:rFonts w:ascii="Arial" w:hAnsi="Arial" w:cs="Arial"/>
          <w:sz w:val="22"/>
          <w:szCs w:val="22"/>
        </w:rPr>
        <w:t>gave</w:t>
      </w:r>
      <w:r>
        <w:rPr>
          <w:rFonts w:ascii="Arial" w:hAnsi="Arial" w:cs="Arial"/>
          <w:sz w:val="22"/>
          <w:szCs w:val="22"/>
        </w:rPr>
        <w:t xml:space="preserve"> some clear results. </w:t>
      </w:r>
      <w:r w:rsidRPr="00793E83">
        <w:rPr>
          <w:rFonts w:ascii="Arial" w:hAnsi="Arial" w:cs="Arial"/>
          <w:sz w:val="22"/>
          <w:szCs w:val="22"/>
        </w:rPr>
        <w:t xml:space="preserve">There was general agreement that the Scheme sets the highest standards for safety in the industry in Australia, </w:t>
      </w:r>
      <w:r>
        <w:rPr>
          <w:rFonts w:ascii="Arial" w:hAnsi="Arial" w:cs="Arial"/>
          <w:sz w:val="22"/>
          <w:szCs w:val="22"/>
        </w:rPr>
        <w:t xml:space="preserve">and that </w:t>
      </w:r>
      <w:r w:rsidR="009907B6">
        <w:rPr>
          <w:rFonts w:ascii="Arial" w:hAnsi="Arial" w:cs="Arial"/>
          <w:sz w:val="22"/>
          <w:szCs w:val="22"/>
        </w:rPr>
        <w:t>i</w:t>
      </w:r>
      <w:r w:rsidR="00AE5A5A">
        <w:rPr>
          <w:rFonts w:ascii="Arial" w:hAnsi="Arial" w:cs="Arial"/>
          <w:sz w:val="22"/>
          <w:szCs w:val="22"/>
        </w:rPr>
        <w:t xml:space="preserve">t is seen as improving safety </w:t>
      </w:r>
      <w:r>
        <w:rPr>
          <w:rFonts w:ascii="Arial" w:hAnsi="Arial" w:cs="Arial"/>
          <w:sz w:val="22"/>
          <w:szCs w:val="22"/>
        </w:rPr>
        <w:t>at the individual company level, and for the industry more broadly</w:t>
      </w:r>
      <w:r w:rsidR="00AE5A5A">
        <w:rPr>
          <w:rFonts w:ascii="Arial" w:hAnsi="Arial" w:cs="Arial"/>
          <w:sz w:val="22"/>
          <w:szCs w:val="22"/>
        </w:rPr>
        <w:t>.</w:t>
      </w:r>
      <w:r>
        <w:rPr>
          <w:rFonts w:ascii="Arial" w:hAnsi="Arial" w:cs="Arial"/>
          <w:sz w:val="22"/>
          <w:szCs w:val="22"/>
        </w:rPr>
        <w:t xml:space="preserve"> </w:t>
      </w:r>
    </w:p>
    <w:p w:rsidR="001C168B" w:rsidRDefault="001C168B" w:rsidP="001C168B">
      <w:pPr>
        <w:rPr>
          <w:rFonts w:ascii="Arial" w:hAnsi="Arial" w:cs="Arial"/>
          <w:sz w:val="22"/>
          <w:szCs w:val="22"/>
        </w:rPr>
      </w:pPr>
    </w:p>
    <w:p w:rsidR="00744074" w:rsidRDefault="001C168B" w:rsidP="001C168B">
      <w:pPr>
        <w:rPr>
          <w:rFonts w:ascii="Arial" w:hAnsi="Arial" w:cs="Arial"/>
          <w:sz w:val="22"/>
          <w:szCs w:val="22"/>
        </w:rPr>
      </w:pPr>
      <w:r>
        <w:rPr>
          <w:rFonts w:ascii="Arial" w:hAnsi="Arial" w:cs="Arial"/>
          <w:sz w:val="22"/>
          <w:szCs w:val="22"/>
        </w:rPr>
        <w:t xml:space="preserve">However, </w:t>
      </w:r>
      <w:r w:rsidRPr="00793E83">
        <w:rPr>
          <w:rFonts w:ascii="Arial" w:hAnsi="Arial" w:cs="Arial"/>
          <w:sz w:val="22"/>
          <w:szCs w:val="22"/>
        </w:rPr>
        <w:t>concerns were raised about costs and value</w:t>
      </w:r>
      <w:r>
        <w:rPr>
          <w:rFonts w:ascii="Arial" w:hAnsi="Arial" w:cs="Arial"/>
          <w:sz w:val="22"/>
          <w:szCs w:val="22"/>
        </w:rPr>
        <w:t xml:space="preserve"> for money</w:t>
      </w:r>
      <w:r w:rsidRPr="00793E83">
        <w:rPr>
          <w:rFonts w:ascii="Arial" w:hAnsi="Arial" w:cs="Arial"/>
          <w:sz w:val="22"/>
          <w:szCs w:val="22"/>
        </w:rPr>
        <w:t>, particularly for small and medium</w:t>
      </w:r>
      <w:r w:rsidR="009907B6">
        <w:rPr>
          <w:rFonts w:ascii="Arial" w:hAnsi="Arial" w:cs="Arial"/>
          <w:sz w:val="22"/>
          <w:szCs w:val="22"/>
        </w:rPr>
        <w:t>-</w:t>
      </w:r>
      <w:r w:rsidRPr="00793E83">
        <w:rPr>
          <w:rFonts w:ascii="Arial" w:hAnsi="Arial" w:cs="Arial"/>
          <w:sz w:val="22"/>
          <w:szCs w:val="22"/>
        </w:rPr>
        <w:t>sized companies</w:t>
      </w:r>
      <w:r w:rsidR="00744074">
        <w:rPr>
          <w:rFonts w:ascii="Arial" w:hAnsi="Arial" w:cs="Arial"/>
          <w:sz w:val="22"/>
          <w:szCs w:val="22"/>
        </w:rPr>
        <w:t>, reinforcing the need to reduce compliance costs and barriers to entry</w:t>
      </w:r>
      <w:r w:rsidRPr="00793E83">
        <w:rPr>
          <w:rFonts w:ascii="Arial" w:hAnsi="Arial" w:cs="Arial"/>
          <w:sz w:val="22"/>
          <w:szCs w:val="22"/>
        </w:rPr>
        <w:t xml:space="preserve">. </w:t>
      </w:r>
    </w:p>
    <w:p w:rsidR="00744074" w:rsidRDefault="00744074" w:rsidP="001C168B">
      <w:pPr>
        <w:rPr>
          <w:rFonts w:ascii="Arial" w:hAnsi="Arial" w:cs="Arial"/>
          <w:sz w:val="22"/>
          <w:szCs w:val="22"/>
        </w:rPr>
      </w:pPr>
    </w:p>
    <w:p w:rsidR="00514E34" w:rsidRDefault="00744074" w:rsidP="001C168B">
      <w:pPr>
        <w:rPr>
          <w:rFonts w:ascii="Arial" w:hAnsi="Arial" w:cs="Arial"/>
          <w:sz w:val="22"/>
          <w:szCs w:val="22"/>
        </w:rPr>
      </w:pPr>
      <w:r>
        <w:rPr>
          <w:rFonts w:ascii="Arial" w:hAnsi="Arial" w:cs="Arial"/>
          <w:sz w:val="22"/>
          <w:szCs w:val="22"/>
        </w:rPr>
        <w:t xml:space="preserve">The </w:t>
      </w:r>
      <w:r w:rsidR="00E271BB">
        <w:rPr>
          <w:rFonts w:ascii="Arial" w:hAnsi="Arial" w:cs="Arial"/>
          <w:sz w:val="22"/>
          <w:szCs w:val="22"/>
        </w:rPr>
        <w:t>R</w:t>
      </w:r>
      <w:r>
        <w:rPr>
          <w:rFonts w:ascii="Arial" w:hAnsi="Arial" w:cs="Arial"/>
          <w:sz w:val="22"/>
          <w:szCs w:val="22"/>
        </w:rPr>
        <w:t xml:space="preserve">eview </w:t>
      </w:r>
      <w:r w:rsidR="009907B6">
        <w:rPr>
          <w:rFonts w:ascii="Arial" w:hAnsi="Arial" w:cs="Arial"/>
          <w:sz w:val="22"/>
          <w:szCs w:val="22"/>
        </w:rPr>
        <w:t xml:space="preserve">was </w:t>
      </w:r>
      <w:r w:rsidR="002D6CEC">
        <w:rPr>
          <w:rFonts w:ascii="Arial" w:hAnsi="Arial" w:cs="Arial"/>
          <w:sz w:val="22"/>
          <w:szCs w:val="22"/>
        </w:rPr>
        <w:t xml:space="preserve">informed through stakeholders </w:t>
      </w:r>
      <w:r>
        <w:rPr>
          <w:rFonts w:ascii="Arial" w:hAnsi="Arial" w:cs="Arial"/>
          <w:sz w:val="22"/>
          <w:szCs w:val="22"/>
        </w:rPr>
        <w:t xml:space="preserve">that many unaccredited companies may have </w:t>
      </w:r>
      <w:r w:rsidR="00514E34">
        <w:rPr>
          <w:rFonts w:ascii="Arial" w:hAnsi="Arial" w:cs="Arial"/>
          <w:sz w:val="22"/>
          <w:szCs w:val="22"/>
        </w:rPr>
        <w:t xml:space="preserve">formed </w:t>
      </w:r>
      <w:r>
        <w:rPr>
          <w:rFonts w:ascii="Arial" w:hAnsi="Arial" w:cs="Arial"/>
          <w:sz w:val="22"/>
          <w:szCs w:val="22"/>
        </w:rPr>
        <w:t>a</w:t>
      </w:r>
      <w:r w:rsidR="00514E34">
        <w:rPr>
          <w:rFonts w:ascii="Arial" w:hAnsi="Arial" w:cs="Arial"/>
          <w:sz w:val="22"/>
          <w:szCs w:val="22"/>
        </w:rPr>
        <w:t xml:space="preserve"> view that accreditation is too great a challenge to consider</w:t>
      </w:r>
      <w:r w:rsidR="00A35C87">
        <w:rPr>
          <w:rFonts w:ascii="Arial" w:hAnsi="Arial" w:cs="Arial"/>
          <w:sz w:val="22"/>
          <w:szCs w:val="22"/>
        </w:rPr>
        <w:t>. S</w:t>
      </w:r>
      <w:r w:rsidR="00CE0E95">
        <w:rPr>
          <w:rFonts w:ascii="Arial" w:hAnsi="Arial" w:cs="Arial"/>
          <w:sz w:val="22"/>
          <w:szCs w:val="22"/>
        </w:rPr>
        <w:t xml:space="preserve">o </w:t>
      </w:r>
      <w:r w:rsidR="0032222E">
        <w:rPr>
          <w:rFonts w:ascii="Arial" w:hAnsi="Arial" w:cs="Arial"/>
          <w:sz w:val="22"/>
          <w:szCs w:val="22"/>
        </w:rPr>
        <w:t xml:space="preserve">as well as </w:t>
      </w:r>
      <w:r w:rsidR="00CE0E95">
        <w:rPr>
          <w:rFonts w:ascii="Arial" w:hAnsi="Arial" w:cs="Arial"/>
          <w:sz w:val="22"/>
          <w:szCs w:val="22"/>
        </w:rPr>
        <w:t xml:space="preserve">addressing </w:t>
      </w:r>
      <w:r w:rsidR="0032222E">
        <w:rPr>
          <w:rFonts w:ascii="Arial" w:hAnsi="Arial" w:cs="Arial"/>
          <w:sz w:val="22"/>
          <w:szCs w:val="22"/>
        </w:rPr>
        <w:t xml:space="preserve">actual barriers, </w:t>
      </w:r>
      <w:r w:rsidR="00CE0E95">
        <w:rPr>
          <w:rFonts w:ascii="Arial" w:hAnsi="Arial" w:cs="Arial"/>
          <w:sz w:val="22"/>
          <w:szCs w:val="22"/>
        </w:rPr>
        <w:t>stakeholders agreed that it is equally important to address perceived barriers through improved communication and marketing</w:t>
      </w:r>
      <w:r w:rsidR="00514E34">
        <w:rPr>
          <w:rFonts w:ascii="Arial" w:hAnsi="Arial" w:cs="Arial"/>
          <w:sz w:val="22"/>
          <w:szCs w:val="22"/>
        </w:rPr>
        <w:t>.</w:t>
      </w:r>
    </w:p>
    <w:p w:rsidR="00514E34" w:rsidRDefault="00514E34" w:rsidP="001C168B">
      <w:pPr>
        <w:rPr>
          <w:rFonts w:ascii="Arial" w:hAnsi="Arial" w:cs="Arial"/>
          <w:sz w:val="22"/>
          <w:szCs w:val="22"/>
        </w:rPr>
      </w:pPr>
    </w:p>
    <w:p w:rsidR="0038397F" w:rsidRDefault="0038397F">
      <w:pPr>
        <w:rPr>
          <w:rFonts w:ascii="Arial" w:hAnsi="Arial" w:cs="Arial"/>
          <w:b/>
          <w:sz w:val="22"/>
          <w:szCs w:val="22"/>
        </w:rPr>
      </w:pPr>
      <w:r>
        <w:br w:type="page"/>
      </w:r>
    </w:p>
    <w:p w:rsidR="001C168B" w:rsidRDefault="001C168B" w:rsidP="003005B9">
      <w:pPr>
        <w:pStyle w:val="Heading2"/>
      </w:pPr>
      <w:bookmarkStart w:id="8" w:name="_Toc390429504"/>
      <w:r>
        <w:t>Benefits of the Scheme</w:t>
      </w:r>
      <w:bookmarkEnd w:id="8"/>
    </w:p>
    <w:p w:rsidR="001C168B" w:rsidRDefault="001C168B" w:rsidP="001C168B">
      <w:pPr>
        <w:rPr>
          <w:rFonts w:ascii="Arial" w:hAnsi="Arial" w:cs="Arial"/>
          <w:sz w:val="22"/>
          <w:szCs w:val="22"/>
        </w:rPr>
      </w:pPr>
    </w:p>
    <w:p w:rsidR="001C168B" w:rsidRDefault="00514E34" w:rsidP="001C168B">
      <w:pPr>
        <w:rPr>
          <w:rFonts w:ascii="Arial" w:hAnsi="Arial" w:cs="Arial"/>
          <w:sz w:val="22"/>
          <w:szCs w:val="22"/>
        </w:rPr>
      </w:pPr>
      <w:r>
        <w:rPr>
          <w:rFonts w:ascii="Arial" w:hAnsi="Arial" w:cs="Arial"/>
          <w:sz w:val="22"/>
          <w:szCs w:val="22"/>
        </w:rPr>
        <w:t xml:space="preserve">Overall, </w:t>
      </w:r>
      <w:r w:rsidR="00373A2F">
        <w:rPr>
          <w:rFonts w:ascii="Arial" w:hAnsi="Arial" w:cs="Arial"/>
          <w:sz w:val="22"/>
          <w:szCs w:val="22"/>
        </w:rPr>
        <w:t>around</w:t>
      </w:r>
      <w:r w:rsidR="001C168B" w:rsidRPr="00793E83">
        <w:rPr>
          <w:rFonts w:ascii="Arial" w:hAnsi="Arial" w:cs="Arial"/>
          <w:sz w:val="22"/>
          <w:szCs w:val="22"/>
        </w:rPr>
        <w:t xml:space="preserve"> 80 per cent of accredited companies </w:t>
      </w:r>
      <w:r w:rsidR="009E4137">
        <w:rPr>
          <w:rFonts w:ascii="Arial" w:hAnsi="Arial" w:cs="Arial"/>
          <w:sz w:val="22"/>
          <w:szCs w:val="22"/>
        </w:rPr>
        <w:t>that</w:t>
      </w:r>
      <w:r w:rsidR="002D6CEC">
        <w:rPr>
          <w:rFonts w:ascii="Arial" w:hAnsi="Arial" w:cs="Arial"/>
          <w:sz w:val="22"/>
          <w:szCs w:val="22"/>
        </w:rPr>
        <w:t xml:space="preserve"> responded to</w:t>
      </w:r>
      <w:r w:rsidR="00161890">
        <w:rPr>
          <w:rFonts w:ascii="Arial" w:hAnsi="Arial" w:cs="Arial"/>
          <w:sz w:val="22"/>
          <w:szCs w:val="22"/>
        </w:rPr>
        <w:t xml:space="preserve"> the Survey </w:t>
      </w:r>
      <w:r w:rsidR="001C168B" w:rsidRPr="00793E83">
        <w:rPr>
          <w:rFonts w:ascii="Arial" w:hAnsi="Arial" w:cs="Arial"/>
          <w:sz w:val="22"/>
          <w:szCs w:val="22"/>
        </w:rPr>
        <w:t xml:space="preserve">stated that the Scheme has improved safety standards </w:t>
      </w:r>
      <w:r>
        <w:rPr>
          <w:rFonts w:ascii="Arial" w:hAnsi="Arial" w:cs="Arial"/>
          <w:sz w:val="22"/>
          <w:szCs w:val="22"/>
        </w:rPr>
        <w:t xml:space="preserve">in their organisation </w:t>
      </w:r>
      <w:r w:rsidR="001C168B" w:rsidRPr="00793E83">
        <w:rPr>
          <w:rFonts w:ascii="Arial" w:hAnsi="Arial" w:cs="Arial"/>
          <w:sz w:val="22"/>
          <w:szCs w:val="22"/>
        </w:rPr>
        <w:t xml:space="preserve">beyond the level </w:t>
      </w:r>
      <w:r w:rsidR="00A35C87">
        <w:rPr>
          <w:rFonts w:ascii="Arial" w:hAnsi="Arial" w:cs="Arial"/>
          <w:sz w:val="22"/>
          <w:szCs w:val="22"/>
        </w:rPr>
        <w:t>they</w:t>
      </w:r>
      <w:r w:rsidR="001C168B" w:rsidRPr="00793E83">
        <w:rPr>
          <w:rFonts w:ascii="Arial" w:hAnsi="Arial" w:cs="Arial"/>
          <w:sz w:val="22"/>
          <w:szCs w:val="22"/>
        </w:rPr>
        <w:t xml:space="preserve"> would have been</w:t>
      </w:r>
      <w:r>
        <w:rPr>
          <w:rFonts w:ascii="Arial" w:hAnsi="Arial" w:cs="Arial"/>
          <w:sz w:val="22"/>
          <w:szCs w:val="22"/>
        </w:rPr>
        <w:t xml:space="preserve"> had they not </w:t>
      </w:r>
      <w:r w:rsidR="002D6CEC">
        <w:rPr>
          <w:rFonts w:ascii="Arial" w:hAnsi="Arial" w:cs="Arial"/>
          <w:sz w:val="22"/>
          <w:szCs w:val="22"/>
        </w:rPr>
        <w:t>undertaken</w:t>
      </w:r>
      <w:r>
        <w:rPr>
          <w:rFonts w:ascii="Arial" w:hAnsi="Arial" w:cs="Arial"/>
          <w:sz w:val="22"/>
          <w:szCs w:val="22"/>
        </w:rPr>
        <w:t xml:space="preserve"> the accreditation process. M</w:t>
      </w:r>
      <w:r w:rsidR="001C168B" w:rsidRPr="00793E83">
        <w:rPr>
          <w:rFonts w:ascii="Arial" w:hAnsi="Arial" w:cs="Arial"/>
          <w:sz w:val="22"/>
          <w:szCs w:val="22"/>
        </w:rPr>
        <w:t xml:space="preserve">ore than 94 per cent of small companies </w:t>
      </w:r>
      <w:r w:rsidR="00430A84">
        <w:rPr>
          <w:rFonts w:ascii="Arial" w:hAnsi="Arial" w:cs="Arial"/>
          <w:sz w:val="22"/>
          <w:szCs w:val="22"/>
        </w:rPr>
        <w:t>(</w:t>
      </w:r>
      <w:r w:rsidR="00B2447A">
        <w:rPr>
          <w:rFonts w:ascii="Arial" w:hAnsi="Arial" w:cs="Arial"/>
          <w:sz w:val="22"/>
          <w:szCs w:val="22"/>
        </w:rPr>
        <w:t>1-</w:t>
      </w:r>
      <w:r w:rsidR="00430A84">
        <w:rPr>
          <w:rFonts w:ascii="Arial" w:hAnsi="Arial" w:cs="Arial"/>
          <w:sz w:val="22"/>
          <w:szCs w:val="22"/>
        </w:rPr>
        <w:t xml:space="preserve">19 employees) </w:t>
      </w:r>
      <w:r w:rsidR="001C168B" w:rsidRPr="00793E83">
        <w:rPr>
          <w:rFonts w:ascii="Arial" w:hAnsi="Arial" w:cs="Arial"/>
          <w:sz w:val="22"/>
          <w:szCs w:val="22"/>
        </w:rPr>
        <w:t>h</w:t>
      </w:r>
      <w:r>
        <w:rPr>
          <w:rFonts w:ascii="Arial" w:hAnsi="Arial" w:cs="Arial"/>
          <w:sz w:val="22"/>
          <w:szCs w:val="22"/>
        </w:rPr>
        <w:t xml:space="preserve">eld </w:t>
      </w:r>
      <w:r w:rsidR="001C168B" w:rsidRPr="00793E83">
        <w:rPr>
          <w:rFonts w:ascii="Arial" w:hAnsi="Arial" w:cs="Arial"/>
          <w:sz w:val="22"/>
          <w:szCs w:val="22"/>
        </w:rPr>
        <w:t>that view</w:t>
      </w:r>
      <w:r w:rsidR="00C61E5B">
        <w:rPr>
          <w:rFonts w:ascii="Arial" w:hAnsi="Arial" w:cs="Arial"/>
          <w:sz w:val="22"/>
          <w:szCs w:val="22"/>
        </w:rPr>
        <w:t>. Over 70 per</w:t>
      </w:r>
      <w:r w:rsidR="00430A84">
        <w:rPr>
          <w:rFonts w:ascii="Arial" w:hAnsi="Arial" w:cs="Arial"/>
          <w:sz w:val="22"/>
          <w:szCs w:val="22"/>
        </w:rPr>
        <w:t xml:space="preserve"> </w:t>
      </w:r>
      <w:r w:rsidR="00C61E5B">
        <w:rPr>
          <w:rFonts w:ascii="Arial" w:hAnsi="Arial" w:cs="Arial"/>
          <w:sz w:val="22"/>
          <w:szCs w:val="22"/>
        </w:rPr>
        <w:t>cent of large companies</w:t>
      </w:r>
      <w:r w:rsidR="00B2447A">
        <w:rPr>
          <w:rFonts w:ascii="Arial" w:hAnsi="Arial" w:cs="Arial"/>
          <w:sz w:val="22"/>
          <w:szCs w:val="22"/>
        </w:rPr>
        <w:t xml:space="preserve"> (</w:t>
      </w:r>
      <w:r w:rsidR="00430A84">
        <w:rPr>
          <w:rFonts w:ascii="Arial" w:hAnsi="Arial" w:cs="Arial"/>
          <w:sz w:val="22"/>
          <w:szCs w:val="22"/>
        </w:rPr>
        <w:t>200</w:t>
      </w:r>
      <w:r w:rsidR="00B2447A">
        <w:rPr>
          <w:rFonts w:ascii="Arial" w:hAnsi="Arial" w:cs="Arial"/>
          <w:sz w:val="22"/>
          <w:szCs w:val="22"/>
        </w:rPr>
        <w:t>+</w:t>
      </w:r>
      <w:r w:rsidR="00430A84">
        <w:rPr>
          <w:rFonts w:ascii="Arial" w:hAnsi="Arial" w:cs="Arial"/>
          <w:sz w:val="22"/>
          <w:szCs w:val="22"/>
        </w:rPr>
        <w:t xml:space="preserve"> employees)</w:t>
      </w:r>
      <w:r w:rsidR="00C61E5B">
        <w:rPr>
          <w:rFonts w:ascii="Arial" w:hAnsi="Arial" w:cs="Arial"/>
          <w:sz w:val="22"/>
          <w:szCs w:val="22"/>
        </w:rPr>
        <w:t xml:space="preserve">, that </w:t>
      </w:r>
      <w:r w:rsidR="00373A2F">
        <w:rPr>
          <w:rFonts w:ascii="Arial" w:hAnsi="Arial" w:cs="Arial"/>
          <w:sz w:val="22"/>
          <w:szCs w:val="22"/>
        </w:rPr>
        <w:t>c</w:t>
      </w:r>
      <w:r w:rsidR="00C61E5B">
        <w:rPr>
          <w:rFonts w:ascii="Arial" w:hAnsi="Arial" w:cs="Arial"/>
          <w:sz w:val="22"/>
          <w:szCs w:val="22"/>
        </w:rPr>
        <w:t xml:space="preserve">ould </w:t>
      </w:r>
      <w:r w:rsidR="00373A2F">
        <w:rPr>
          <w:rFonts w:ascii="Arial" w:hAnsi="Arial" w:cs="Arial"/>
          <w:sz w:val="22"/>
          <w:szCs w:val="22"/>
        </w:rPr>
        <w:t xml:space="preserve">be assumed to </w:t>
      </w:r>
      <w:r w:rsidR="00C61E5B">
        <w:rPr>
          <w:rFonts w:ascii="Arial" w:hAnsi="Arial" w:cs="Arial"/>
          <w:sz w:val="22"/>
          <w:szCs w:val="22"/>
        </w:rPr>
        <w:t xml:space="preserve">have had </w:t>
      </w:r>
      <w:r w:rsidR="002D6CEC">
        <w:rPr>
          <w:rFonts w:ascii="Arial" w:hAnsi="Arial" w:cs="Arial"/>
          <w:sz w:val="22"/>
          <w:szCs w:val="22"/>
        </w:rPr>
        <w:t xml:space="preserve">existing </w:t>
      </w:r>
      <w:r w:rsidR="00373A2F">
        <w:rPr>
          <w:rFonts w:ascii="Arial" w:hAnsi="Arial" w:cs="Arial"/>
          <w:sz w:val="22"/>
          <w:szCs w:val="22"/>
        </w:rPr>
        <w:t>s</w:t>
      </w:r>
      <w:r w:rsidR="00C61E5B">
        <w:rPr>
          <w:rFonts w:ascii="Arial" w:hAnsi="Arial" w:cs="Arial"/>
          <w:sz w:val="22"/>
          <w:szCs w:val="22"/>
        </w:rPr>
        <w:t xml:space="preserve">afety systems </w:t>
      </w:r>
      <w:r w:rsidR="00373A2F">
        <w:rPr>
          <w:rFonts w:ascii="Arial" w:hAnsi="Arial" w:cs="Arial"/>
          <w:sz w:val="22"/>
          <w:szCs w:val="22"/>
        </w:rPr>
        <w:t>in place</w:t>
      </w:r>
      <w:r w:rsidR="00C61E5B">
        <w:rPr>
          <w:rFonts w:ascii="Arial" w:hAnsi="Arial" w:cs="Arial"/>
          <w:sz w:val="22"/>
          <w:szCs w:val="22"/>
        </w:rPr>
        <w:t>, stated that the Scheme had improved workplace safety in their organisation</w:t>
      </w:r>
      <w:r w:rsidR="00B7205A">
        <w:rPr>
          <w:rFonts w:ascii="Arial" w:hAnsi="Arial" w:cs="Arial"/>
          <w:sz w:val="22"/>
          <w:szCs w:val="22"/>
        </w:rPr>
        <w:t>s</w:t>
      </w:r>
      <w:r w:rsidR="001C168B">
        <w:rPr>
          <w:rFonts w:ascii="Arial" w:hAnsi="Arial" w:cs="Arial"/>
          <w:sz w:val="22"/>
          <w:szCs w:val="22"/>
        </w:rPr>
        <w:t>.</w:t>
      </w:r>
      <w:r>
        <w:rPr>
          <w:rFonts w:ascii="Arial" w:hAnsi="Arial" w:cs="Arial"/>
          <w:sz w:val="22"/>
          <w:szCs w:val="22"/>
        </w:rPr>
        <w:t xml:space="preserve"> (</w:t>
      </w:r>
      <w:r w:rsidR="0039590B">
        <w:rPr>
          <w:rFonts w:ascii="Arial" w:hAnsi="Arial" w:cs="Arial"/>
          <w:sz w:val="22"/>
          <w:szCs w:val="22"/>
        </w:rPr>
        <w:t>See</w:t>
      </w:r>
      <w:r>
        <w:rPr>
          <w:rFonts w:ascii="Arial" w:hAnsi="Arial" w:cs="Arial"/>
          <w:sz w:val="22"/>
          <w:szCs w:val="22"/>
        </w:rPr>
        <w:t xml:space="preserve"> Table </w:t>
      </w:r>
      <w:r w:rsidR="002D6CEC" w:rsidRPr="00C347EF">
        <w:rPr>
          <w:rFonts w:ascii="Arial" w:hAnsi="Arial" w:cs="Arial"/>
          <w:sz w:val="22"/>
          <w:szCs w:val="22"/>
        </w:rPr>
        <w:t>1</w:t>
      </w:r>
      <w:r w:rsidR="00A35C87" w:rsidRPr="00C347EF">
        <w:rPr>
          <w:rFonts w:ascii="Arial" w:hAnsi="Arial" w:cs="Arial"/>
          <w:sz w:val="22"/>
          <w:szCs w:val="22"/>
        </w:rPr>
        <w:t>, below</w:t>
      </w:r>
      <w:r>
        <w:rPr>
          <w:rFonts w:ascii="Arial" w:hAnsi="Arial" w:cs="Arial"/>
          <w:sz w:val="22"/>
          <w:szCs w:val="22"/>
        </w:rPr>
        <w:t>).</w:t>
      </w:r>
    </w:p>
    <w:p w:rsidR="00514E34" w:rsidRPr="00793E83" w:rsidRDefault="00514E34" w:rsidP="001C168B">
      <w:pPr>
        <w:rPr>
          <w:rFonts w:ascii="Arial" w:hAnsi="Arial" w:cs="Arial"/>
          <w:sz w:val="22"/>
          <w:szCs w:val="22"/>
        </w:rPr>
      </w:pPr>
    </w:p>
    <w:p w:rsidR="001C168B" w:rsidRDefault="001C168B" w:rsidP="001C168B">
      <w:pPr>
        <w:rPr>
          <w:rFonts w:ascii="Arial" w:hAnsi="Arial" w:cs="Arial"/>
          <w:b/>
          <w:sz w:val="22"/>
          <w:szCs w:val="22"/>
        </w:rPr>
      </w:pPr>
      <w:r w:rsidRPr="00014E7D">
        <w:rPr>
          <w:rFonts w:ascii="Arial" w:hAnsi="Arial" w:cs="Arial"/>
          <w:b/>
          <w:sz w:val="22"/>
          <w:szCs w:val="22"/>
        </w:rPr>
        <w:t xml:space="preserve">Table </w:t>
      </w:r>
      <w:r w:rsidR="00161890" w:rsidRPr="00014E7D">
        <w:rPr>
          <w:rFonts w:ascii="Arial" w:hAnsi="Arial" w:cs="Arial"/>
          <w:b/>
          <w:sz w:val="22"/>
          <w:szCs w:val="22"/>
        </w:rPr>
        <w:t>1</w:t>
      </w:r>
      <w:r w:rsidRPr="00014E7D">
        <w:rPr>
          <w:rFonts w:ascii="Arial" w:hAnsi="Arial" w:cs="Arial"/>
          <w:b/>
          <w:sz w:val="22"/>
          <w:szCs w:val="22"/>
        </w:rPr>
        <w:t>:</w:t>
      </w:r>
      <w:r w:rsidR="00161890" w:rsidRPr="00014E7D">
        <w:rPr>
          <w:rFonts w:ascii="Arial" w:hAnsi="Arial" w:cs="Arial"/>
          <w:b/>
          <w:sz w:val="22"/>
          <w:szCs w:val="22"/>
        </w:rPr>
        <w:t xml:space="preserve"> </w:t>
      </w:r>
      <w:r w:rsidR="00E271BB" w:rsidRPr="00014E7D">
        <w:rPr>
          <w:rFonts w:ascii="Arial" w:hAnsi="Arial" w:cs="Arial"/>
          <w:b/>
          <w:sz w:val="22"/>
          <w:szCs w:val="22"/>
        </w:rPr>
        <w:t>Accreditation and Workplace Safety</w:t>
      </w:r>
    </w:p>
    <w:p w:rsidR="00014E7D" w:rsidRPr="00014E7D" w:rsidRDefault="00014E7D" w:rsidP="001C168B">
      <w:pPr>
        <w:rPr>
          <w:rFonts w:ascii="Arial" w:hAnsi="Arial" w:cs="Arial"/>
          <w:b/>
          <w:sz w:val="22"/>
          <w:szCs w:val="22"/>
        </w:rPr>
      </w:pPr>
    </w:p>
    <w:p w:rsidR="001C168B" w:rsidRPr="00793E83" w:rsidRDefault="001C168B" w:rsidP="001C168B">
      <w:pPr>
        <w:rPr>
          <w:rFonts w:ascii="Arial" w:hAnsi="Arial" w:cs="Arial"/>
          <w:sz w:val="22"/>
          <w:szCs w:val="22"/>
        </w:rPr>
      </w:pPr>
      <w:r w:rsidRPr="00793E83">
        <w:rPr>
          <w:rFonts w:ascii="Arial" w:hAnsi="Arial" w:cs="Arial"/>
          <w:noProof/>
          <w:sz w:val="22"/>
          <w:szCs w:val="22"/>
        </w:rPr>
        <w:drawing>
          <wp:inline distT="0" distB="0" distL="0" distR="0" wp14:anchorId="399D3908" wp14:editId="5FA1B083">
            <wp:extent cx="5943600" cy="3533775"/>
            <wp:effectExtent l="0" t="0" r="19050" b="9525"/>
            <wp:docPr id="295" name="Chart 295" descr="Bar graph depicting the percentage that responded yes to accreditation improving workplace safety and whole of organisation safety culture. &#10;The blue bar represents safety improvement and the red bar represents safety culture improvement.&#10;The y axis represents the percentage and x axis the size, construction type and length of accreditation of companies.&#10;- one to 19 employees: Blue bar 94.44%, red bar 88.89%&#10;- 20 to 199 employees: Blue bar 80.60%, red bar 80.60%&#10;- 200+ employees: Blue bar 70.73%, red bar 68.29%&#10;- Civil construction: Blue bar 80.60%, red bar 83.58%&#10;- Commercial construction: Blue bar 80.23%, red bar 75.58%&#10;- Residential construction: Blue bar 86.21%, red bar 79.31%&#10;- Accredited for less than one year: Blue bar 85%, red bar 90%&#10;- Accredited for one to three years: Blue bar 82.50%, red bar 87.50%&#10;- Accredited for three to five years: Blue bar 83.90%, red bar 74.20%&#10;- Accredited more than five years: Blue bar 68.60%, red bar 62.90%&#10;- All respondents: Blue bar 79.37%, red bar77.78% &#10;&#10;" title="Accreditation and workplace safety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C168B" w:rsidRPr="00793E83" w:rsidRDefault="001C168B" w:rsidP="001C168B">
      <w:pPr>
        <w:rPr>
          <w:rFonts w:ascii="Arial" w:hAnsi="Arial" w:cs="Arial"/>
          <w:sz w:val="22"/>
          <w:szCs w:val="22"/>
        </w:rPr>
      </w:pPr>
    </w:p>
    <w:p w:rsidR="00373A2F" w:rsidRDefault="00373A2F" w:rsidP="001C168B">
      <w:pPr>
        <w:rPr>
          <w:rFonts w:ascii="Arial" w:hAnsi="Arial" w:cs="Arial"/>
          <w:sz w:val="22"/>
          <w:szCs w:val="22"/>
        </w:rPr>
      </w:pPr>
      <w:r>
        <w:rPr>
          <w:rFonts w:ascii="Arial" w:hAnsi="Arial" w:cs="Arial"/>
          <w:sz w:val="22"/>
          <w:szCs w:val="22"/>
        </w:rPr>
        <w:t xml:space="preserve">There was relatively little variation between construction sectors (noting builders may work in more than one sector), although </w:t>
      </w:r>
      <w:r w:rsidR="008D7BD9">
        <w:rPr>
          <w:rFonts w:ascii="Arial" w:hAnsi="Arial" w:cs="Arial"/>
          <w:sz w:val="22"/>
          <w:szCs w:val="22"/>
        </w:rPr>
        <w:t xml:space="preserve">builders undertaking </w:t>
      </w:r>
      <w:r>
        <w:rPr>
          <w:rFonts w:ascii="Arial" w:hAnsi="Arial" w:cs="Arial"/>
          <w:sz w:val="22"/>
          <w:szCs w:val="22"/>
        </w:rPr>
        <w:t xml:space="preserve">residential </w:t>
      </w:r>
      <w:r w:rsidR="008D7BD9">
        <w:rPr>
          <w:rFonts w:ascii="Arial" w:hAnsi="Arial" w:cs="Arial"/>
          <w:sz w:val="22"/>
          <w:szCs w:val="22"/>
        </w:rPr>
        <w:t>work</w:t>
      </w:r>
      <w:r>
        <w:rPr>
          <w:rFonts w:ascii="Arial" w:hAnsi="Arial" w:cs="Arial"/>
          <w:sz w:val="22"/>
          <w:szCs w:val="22"/>
        </w:rPr>
        <w:t xml:space="preserve"> were slightly more likely to consider that the Scheme had improved safety in their business. </w:t>
      </w:r>
    </w:p>
    <w:p w:rsidR="00373A2F" w:rsidRDefault="00373A2F" w:rsidP="001C168B">
      <w:pPr>
        <w:rPr>
          <w:rFonts w:ascii="Arial" w:hAnsi="Arial" w:cs="Arial"/>
          <w:sz w:val="22"/>
          <w:szCs w:val="22"/>
        </w:rPr>
      </w:pPr>
    </w:p>
    <w:p w:rsidR="00373A2F" w:rsidRPr="00AB1DED" w:rsidRDefault="00430A84" w:rsidP="001C168B">
      <w:pPr>
        <w:rPr>
          <w:rFonts w:ascii="Arial" w:hAnsi="Arial" w:cs="Arial"/>
          <w:sz w:val="22"/>
          <w:szCs w:val="22"/>
        </w:rPr>
      </w:pPr>
      <w:r>
        <w:rPr>
          <w:rFonts w:ascii="Arial" w:hAnsi="Arial" w:cs="Arial"/>
          <w:sz w:val="22"/>
          <w:szCs w:val="22"/>
        </w:rPr>
        <w:t>O</w:t>
      </w:r>
      <w:r w:rsidR="00373A2F">
        <w:rPr>
          <w:rFonts w:ascii="Arial" w:hAnsi="Arial" w:cs="Arial"/>
          <w:sz w:val="22"/>
          <w:szCs w:val="22"/>
        </w:rPr>
        <w:t>rganisations achiev</w:t>
      </w:r>
      <w:r>
        <w:rPr>
          <w:rFonts w:ascii="Arial" w:hAnsi="Arial" w:cs="Arial"/>
          <w:sz w:val="22"/>
          <w:szCs w:val="22"/>
        </w:rPr>
        <w:t>ing</w:t>
      </w:r>
      <w:r w:rsidR="00373A2F">
        <w:rPr>
          <w:rFonts w:ascii="Arial" w:hAnsi="Arial" w:cs="Arial"/>
          <w:sz w:val="22"/>
          <w:szCs w:val="22"/>
        </w:rPr>
        <w:t xml:space="preserve"> accreditation in the last year </w:t>
      </w:r>
      <w:r>
        <w:rPr>
          <w:rFonts w:ascii="Arial" w:hAnsi="Arial" w:cs="Arial"/>
          <w:sz w:val="22"/>
          <w:szCs w:val="22"/>
        </w:rPr>
        <w:t xml:space="preserve">were </w:t>
      </w:r>
      <w:r w:rsidR="00373A2F">
        <w:rPr>
          <w:rFonts w:ascii="Arial" w:hAnsi="Arial" w:cs="Arial"/>
          <w:sz w:val="22"/>
          <w:szCs w:val="22"/>
        </w:rPr>
        <w:t>most likely to consider that net improvements in safety benefits have resulted</w:t>
      </w:r>
      <w:r>
        <w:rPr>
          <w:rFonts w:ascii="Arial" w:hAnsi="Arial" w:cs="Arial"/>
          <w:sz w:val="22"/>
          <w:szCs w:val="22"/>
        </w:rPr>
        <w:t>. T</w:t>
      </w:r>
      <w:r w:rsidR="00373A2F">
        <w:rPr>
          <w:rFonts w:ascii="Arial" w:hAnsi="Arial" w:cs="Arial"/>
          <w:sz w:val="22"/>
          <w:szCs w:val="22"/>
        </w:rPr>
        <w:t xml:space="preserve">hose accredited in the early years of the Scheme </w:t>
      </w:r>
      <w:r>
        <w:rPr>
          <w:rFonts w:ascii="Arial" w:hAnsi="Arial" w:cs="Arial"/>
          <w:sz w:val="22"/>
          <w:szCs w:val="22"/>
        </w:rPr>
        <w:t xml:space="preserve">were </w:t>
      </w:r>
      <w:r w:rsidR="00373A2F">
        <w:rPr>
          <w:rFonts w:ascii="Arial" w:hAnsi="Arial" w:cs="Arial"/>
          <w:sz w:val="22"/>
          <w:szCs w:val="22"/>
        </w:rPr>
        <w:t>the least likely to have that view. As below, this trend was also evident when companies assessed both costs and overall value for money</w:t>
      </w:r>
      <w:r w:rsidR="00787DD2" w:rsidRPr="00AB1DED">
        <w:rPr>
          <w:rFonts w:ascii="Arial" w:hAnsi="Arial" w:cs="Arial"/>
          <w:sz w:val="22"/>
          <w:szCs w:val="22"/>
        </w:rPr>
        <w:t>.</w:t>
      </w:r>
      <w:r w:rsidR="00373A2F" w:rsidRPr="00AB1DED">
        <w:rPr>
          <w:rFonts w:ascii="Arial" w:hAnsi="Arial" w:cs="Arial"/>
          <w:sz w:val="22"/>
          <w:szCs w:val="22"/>
        </w:rPr>
        <w:t xml:space="preserve"> </w:t>
      </w:r>
      <w:r w:rsidR="00AB1DED">
        <w:rPr>
          <w:rFonts w:ascii="Arial" w:hAnsi="Arial" w:cs="Arial"/>
          <w:sz w:val="22"/>
          <w:szCs w:val="22"/>
        </w:rPr>
        <w:t xml:space="preserve">The streamlining </w:t>
      </w:r>
      <w:r w:rsidR="00AB1DED" w:rsidRPr="00AB1DED">
        <w:rPr>
          <w:rFonts w:ascii="Arial" w:hAnsi="Arial" w:cs="Arial"/>
          <w:sz w:val="22"/>
          <w:szCs w:val="22"/>
        </w:rPr>
        <w:t>improvements introduced to the Scheme over the last two years</w:t>
      </w:r>
      <w:r w:rsidR="00AB1DED">
        <w:rPr>
          <w:rFonts w:ascii="Arial" w:hAnsi="Arial" w:cs="Arial"/>
          <w:sz w:val="22"/>
          <w:szCs w:val="22"/>
        </w:rPr>
        <w:t xml:space="preserve"> m</w:t>
      </w:r>
      <w:r w:rsidR="00373A2F" w:rsidRPr="00AB1DED">
        <w:rPr>
          <w:rFonts w:ascii="Arial" w:hAnsi="Arial" w:cs="Arial"/>
          <w:sz w:val="22"/>
          <w:szCs w:val="22"/>
        </w:rPr>
        <w:t xml:space="preserve">ay be </w:t>
      </w:r>
      <w:r w:rsidR="00AB1DED">
        <w:rPr>
          <w:rFonts w:ascii="Arial" w:hAnsi="Arial" w:cs="Arial"/>
          <w:sz w:val="22"/>
          <w:szCs w:val="22"/>
        </w:rPr>
        <w:t>a contributing factor</w:t>
      </w:r>
      <w:r w:rsidR="00373A2F" w:rsidRPr="00AB1DED">
        <w:rPr>
          <w:rFonts w:ascii="Arial" w:hAnsi="Arial" w:cs="Arial"/>
          <w:sz w:val="22"/>
          <w:szCs w:val="22"/>
        </w:rPr>
        <w:t>.</w:t>
      </w:r>
    </w:p>
    <w:p w:rsidR="00F45DFB" w:rsidRDefault="00F45DFB" w:rsidP="001C168B">
      <w:pPr>
        <w:rPr>
          <w:rFonts w:ascii="Arial" w:hAnsi="Arial" w:cs="Arial"/>
          <w:sz w:val="22"/>
          <w:szCs w:val="22"/>
        </w:rPr>
      </w:pPr>
    </w:p>
    <w:p w:rsidR="00F45DFB" w:rsidRDefault="00F45DFB" w:rsidP="00F45DFB">
      <w:pPr>
        <w:rPr>
          <w:rFonts w:ascii="Arial" w:hAnsi="Arial" w:cs="Arial"/>
          <w:sz w:val="22"/>
          <w:szCs w:val="22"/>
        </w:rPr>
      </w:pPr>
      <w:r>
        <w:rPr>
          <w:rFonts w:ascii="Arial" w:hAnsi="Arial" w:cs="Arial"/>
          <w:sz w:val="22"/>
          <w:szCs w:val="22"/>
        </w:rPr>
        <w:t xml:space="preserve">OFSC data </w:t>
      </w:r>
      <w:r w:rsidR="003A3845">
        <w:rPr>
          <w:rFonts w:ascii="Arial" w:hAnsi="Arial" w:cs="Arial"/>
          <w:sz w:val="22"/>
          <w:szCs w:val="22"/>
        </w:rPr>
        <w:t xml:space="preserve">was also </w:t>
      </w:r>
      <w:r>
        <w:rPr>
          <w:rFonts w:ascii="Arial" w:hAnsi="Arial" w:cs="Arial"/>
          <w:sz w:val="22"/>
          <w:szCs w:val="22"/>
        </w:rPr>
        <w:t>examined</w:t>
      </w:r>
      <w:r w:rsidR="00E9635D">
        <w:rPr>
          <w:rFonts w:ascii="Arial" w:hAnsi="Arial" w:cs="Arial"/>
          <w:sz w:val="22"/>
          <w:szCs w:val="22"/>
        </w:rPr>
        <w:t xml:space="preserve"> to compare the safety performance of accredited companies with </w:t>
      </w:r>
      <w:r w:rsidR="00FC6078">
        <w:rPr>
          <w:rFonts w:ascii="Arial" w:hAnsi="Arial" w:cs="Arial"/>
          <w:sz w:val="22"/>
          <w:szCs w:val="22"/>
        </w:rPr>
        <w:t>non-accredited companies</w:t>
      </w:r>
      <w:r w:rsidR="00E9635D">
        <w:rPr>
          <w:rFonts w:ascii="Arial" w:hAnsi="Arial" w:cs="Arial"/>
          <w:sz w:val="22"/>
          <w:szCs w:val="22"/>
        </w:rPr>
        <w:t xml:space="preserve">. </w:t>
      </w:r>
      <w:r w:rsidR="003A3845">
        <w:rPr>
          <w:rFonts w:ascii="Arial" w:hAnsi="Arial" w:cs="Arial"/>
          <w:sz w:val="22"/>
          <w:szCs w:val="22"/>
        </w:rPr>
        <w:t>Several difficulties arose in trying to make comparisons</w:t>
      </w:r>
      <w:r w:rsidR="00E1610E">
        <w:rPr>
          <w:rFonts w:ascii="Arial" w:hAnsi="Arial" w:cs="Arial"/>
          <w:sz w:val="22"/>
          <w:szCs w:val="22"/>
        </w:rPr>
        <w:t xml:space="preserve"> </w:t>
      </w:r>
      <w:r w:rsidR="003A3845">
        <w:rPr>
          <w:rFonts w:ascii="Arial" w:hAnsi="Arial" w:cs="Arial"/>
          <w:sz w:val="22"/>
          <w:szCs w:val="22"/>
        </w:rPr>
        <w:t>as the</w:t>
      </w:r>
      <w:r w:rsidR="00E9635D">
        <w:rPr>
          <w:rFonts w:ascii="Arial" w:hAnsi="Arial" w:cs="Arial"/>
          <w:sz w:val="22"/>
          <w:szCs w:val="22"/>
        </w:rPr>
        <w:t xml:space="preserve"> way </w:t>
      </w:r>
      <w:r w:rsidR="003A3845">
        <w:rPr>
          <w:rFonts w:ascii="Arial" w:hAnsi="Arial" w:cs="Arial"/>
          <w:sz w:val="22"/>
          <w:szCs w:val="22"/>
        </w:rPr>
        <w:t xml:space="preserve">in which </w:t>
      </w:r>
      <w:r w:rsidR="00E9635D">
        <w:rPr>
          <w:rFonts w:ascii="Arial" w:hAnsi="Arial" w:cs="Arial"/>
          <w:sz w:val="22"/>
          <w:szCs w:val="22"/>
        </w:rPr>
        <w:t xml:space="preserve">broader industry data is collected </w:t>
      </w:r>
      <w:r w:rsidR="003A3845">
        <w:rPr>
          <w:rFonts w:ascii="Arial" w:hAnsi="Arial" w:cs="Arial"/>
          <w:sz w:val="22"/>
          <w:szCs w:val="22"/>
        </w:rPr>
        <w:t>excludes key areas of data specific to building work</w:t>
      </w:r>
      <w:r w:rsidR="00E1610E">
        <w:rPr>
          <w:rFonts w:ascii="Arial" w:hAnsi="Arial" w:cs="Arial"/>
          <w:sz w:val="22"/>
          <w:szCs w:val="22"/>
        </w:rPr>
        <w:t xml:space="preserve">, </w:t>
      </w:r>
      <w:r w:rsidR="00E9635D">
        <w:rPr>
          <w:rFonts w:ascii="Arial" w:hAnsi="Arial" w:cs="Arial"/>
          <w:sz w:val="22"/>
          <w:szCs w:val="22"/>
        </w:rPr>
        <w:t>mak</w:t>
      </w:r>
      <w:r w:rsidR="003A3845">
        <w:rPr>
          <w:rFonts w:ascii="Arial" w:hAnsi="Arial" w:cs="Arial"/>
          <w:sz w:val="22"/>
          <w:szCs w:val="22"/>
        </w:rPr>
        <w:t>ing</w:t>
      </w:r>
      <w:r w:rsidR="00474035">
        <w:rPr>
          <w:rFonts w:ascii="Arial" w:hAnsi="Arial" w:cs="Arial"/>
          <w:sz w:val="22"/>
          <w:szCs w:val="22"/>
        </w:rPr>
        <w:t xml:space="preserve"> comparisons with OFSC data difficult. A</w:t>
      </w:r>
      <w:r w:rsidR="00E9635D">
        <w:rPr>
          <w:rFonts w:ascii="Arial" w:hAnsi="Arial" w:cs="Arial"/>
          <w:sz w:val="22"/>
          <w:szCs w:val="22"/>
        </w:rPr>
        <w:t xml:space="preserve">s discussed </w:t>
      </w:r>
      <w:r w:rsidR="00C347EF">
        <w:rPr>
          <w:rFonts w:ascii="Arial" w:hAnsi="Arial" w:cs="Arial"/>
          <w:sz w:val="22"/>
          <w:szCs w:val="22"/>
        </w:rPr>
        <w:t>in the section titled ‘</w:t>
      </w:r>
      <w:r w:rsidR="00C347EF" w:rsidRPr="00E42471">
        <w:rPr>
          <w:rFonts w:ascii="Arial" w:hAnsi="Arial" w:cs="Arial"/>
          <w:sz w:val="22"/>
          <w:szCs w:val="22"/>
        </w:rPr>
        <w:t>Reporting’</w:t>
      </w:r>
      <w:r w:rsidR="00E1610E" w:rsidRPr="00E42471">
        <w:rPr>
          <w:rFonts w:ascii="Arial" w:hAnsi="Arial" w:cs="Arial"/>
          <w:sz w:val="22"/>
          <w:szCs w:val="22"/>
        </w:rPr>
        <w:t>,</w:t>
      </w:r>
      <w:r w:rsidR="00E9635D" w:rsidRPr="00E42471">
        <w:rPr>
          <w:rFonts w:ascii="Arial" w:hAnsi="Arial" w:cs="Arial"/>
          <w:sz w:val="22"/>
          <w:szCs w:val="22"/>
        </w:rPr>
        <w:t xml:space="preserve"> other </w:t>
      </w:r>
      <w:r w:rsidR="00E9635D" w:rsidRPr="00E9635D">
        <w:rPr>
          <w:rFonts w:ascii="Arial" w:hAnsi="Arial" w:cs="Arial"/>
          <w:sz w:val="22"/>
          <w:szCs w:val="22"/>
        </w:rPr>
        <w:t xml:space="preserve">data </w:t>
      </w:r>
      <w:r w:rsidR="00E9635D">
        <w:rPr>
          <w:rFonts w:ascii="Arial" w:hAnsi="Arial" w:cs="Arial"/>
          <w:sz w:val="22"/>
          <w:szCs w:val="22"/>
        </w:rPr>
        <w:t xml:space="preserve">may </w:t>
      </w:r>
      <w:r w:rsidR="00E9635D" w:rsidRPr="00E9635D">
        <w:rPr>
          <w:rFonts w:ascii="Arial" w:hAnsi="Arial" w:cs="Arial"/>
          <w:sz w:val="22"/>
          <w:szCs w:val="22"/>
        </w:rPr>
        <w:t xml:space="preserve">exclude subcontractors, </w:t>
      </w:r>
      <w:r w:rsidR="00FC6078">
        <w:rPr>
          <w:rFonts w:ascii="Arial" w:hAnsi="Arial" w:cs="Arial"/>
          <w:sz w:val="22"/>
          <w:szCs w:val="22"/>
        </w:rPr>
        <w:t xml:space="preserve">may </w:t>
      </w:r>
      <w:r w:rsidR="00E9635D" w:rsidRPr="00E9635D">
        <w:rPr>
          <w:rFonts w:ascii="Arial" w:hAnsi="Arial" w:cs="Arial"/>
          <w:sz w:val="22"/>
          <w:szCs w:val="22"/>
        </w:rPr>
        <w:t>measure</w:t>
      </w:r>
      <w:r w:rsidR="00E9635D">
        <w:rPr>
          <w:rFonts w:ascii="Arial" w:hAnsi="Arial" w:cs="Arial"/>
          <w:sz w:val="22"/>
          <w:szCs w:val="22"/>
        </w:rPr>
        <w:t xml:space="preserve"> by </w:t>
      </w:r>
      <w:r w:rsidR="00E9635D" w:rsidRPr="00E9635D">
        <w:rPr>
          <w:rFonts w:ascii="Arial" w:hAnsi="Arial" w:cs="Arial"/>
          <w:sz w:val="22"/>
          <w:szCs w:val="22"/>
        </w:rPr>
        <w:t>employee</w:t>
      </w:r>
      <w:r w:rsidR="00E9635D">
        <w:rPr>
          <w:rFonts w:ascii="Arial" w:hAnsi="Arial" w:cs="Arial"/>
          <w:sz w:val="22"/>
          <w:szCs w:val="22"/>
        </w:rPr>
        <w:t xml:space="preserve"> numbers </w:t>
      </w:r>
      <w:r w:rsidR="00E9635D" w:rsidRPr="00E9635D">
        <w:rPr>
          <w:rFonts w:ascii="Arial" w:hAnsi="Arial" w:cs="Arial"/>
          <w:sz w:val="22"/>
          <w:szCs w:val="22"/>
        </w:rPr>
        <w:t>rather than hours worked, and/or does not disa</w:t>
      </w:r>
      <w:r w:rsidR="00E9635D">
        <w:rPr>
          <w:rFonts w:ascii="Arial" w:hAnsi="Arial" w:cs="Arial"/>
          <w:sz w:val="22"/>
          <w:szCs w:val="22"/>
        </w:rPr>
        <w:t>g</w:t>
      </w:r>
      <w:r w:rsidR="00E9635D" w:rsidRPr="00E9635D">
        <w:rPr>
          <w:rFonts w:ascii="Arial" w:hAnsi="Arial" w:cs="Arial"/>
          <w:sz w:val="22"/>
          <w:szCs w:val="22"/>
        </w:rPr>
        <w:t>gregate by subsectors of the building industry</w:t>
      </w:r>
      <w:r w:rsidR="00E9635D">
        <w:rPr>
          <w:rFonts w:ascii="Arial" w:hAnsi="Arial" w:cs="Arial"/>
          <w:sz w:val="22"/>
          <w:szCs w:val="22"/>
        </w:rPr>
        <w:t xml:space="preserve">. </w:t>
      </w:r>
    </w:p>
    <w:p w:rsidR="00E9635D" w:rsidRDefault="00E9635D" w:rsidP="00F45DFB">
      <w:pPr>
        <w:rPr>
          <w:rFonts w:ascii="Arial" w:hAnsi="Arial" w:cs="Arial"/>
          <w:sz w:val="22"/>
          <w:szCs w:val="22"/>
        </w:rPr>
      </w:pPr>
    </w:p>
    <w:p w:rsidR="000C535F" w:rsidRDefault="000C535F">
      <w:pPr>
        <w:rPr>
          <w:rFonts w:ascii="Arial" w:hAnsi="Arial" w:cs="Arial"/>
          <w:sz w:val="22"/>
          <w:szCs w:val="22"/>
        </w:rPr>
      </w:pPr>
      <w:r>
        <w:rPr>
          <w:rFonts w:ascii="Arial" w:hAnsi="Arial" w:cs="Arial"/>
          <w:sz w:val="22"/>
          <w:szCs w:val="22"/>
        </w:rPr>
        <w:br w:type="page"/>
      </w:r>
    </w:p>
    <w:p w:rsidR="00E9635D" w:rsidRDefault="00DC1084" w:rsidP="00F45DFB">
      <w:pPr>
        <w:rPr>
          <w:rFonts w:ascii="Arial" w:hAnsi="Arial" w:cs="Arial"/>
          <w:sz w:val="22"/>
          <w:szCs w:val="22"/>
        </w:rPr>
      </w:pPr>
      <w:r>
        <w:rPr>
          <w:rFonts w:ascii="Arial" w:hAnsi="Arial" w:cs="Arial"/>
          <w:sz w:val="22"/>
          <w:szCs w:val="22"/>
        </w:rPr>
        <w:t>The d</w:t>
      </w:r>
      <w:r w:rsidR="00E9635D" w:rsidRPr="00AB1DED">
        <w:rPr>
          <w:rFonts w:ascii="Arial" w:hAnsi="Arial" w:cs="Arial"/>
          <w:sz w:val="22"/>
          <w:szCs w:val="22"/>
        </w:rPr>
        <w:t xml:space="preserve">ata </w:t>
      </w:r>
      <w:r w:rsidR="00787DD2" w:rsidRPr="00AB1DED">
        <w:rPr>
          <w:rFonts w:ascii="Arial" w:hAnsi="Arial" w:cs="Arial"/>
          <w:sz w:val="22"/>
          <w:szCs w:val="22"/>
        </w:rPr>
        <w:t xml:space="preserve">has </w:t>
      </w:r>
      <w:r w:rsidR="00E9635D" w:rsidRPr="00AB1DED">
        <w:rPr>
          <w:rFonts w:ascii="Arial" w:hAnsi="Arial" w:cs="Arial"/>
          <w:sz w:val="22"/>
          <w:szCs w:val="22"/>
        </w:rPr>
        <w:t>identified improvements over time by accredited companies</w:t>
      </w:r>
      <w:r w:rsidR="00E9635D">
        <w:rPr>
          <w:rFonts w:ascii="Arial" w:hAnsi="Arial" w:cs="Arial"/>
          <w:sz w:val="22"/>
          <w:szCs w:val="22"/>
        </w:rPr>
        <w:t xml:space="preserve">, and </w:t>
      </w:r>
      <w:r w:rsidR="00014E7D">
        <w:rPr>
          <w:rFonts w:ascii="Arial" w:hAnsi="Arial" w:cs="Arial"/>
          <w:sz w:val="22"/>
          <w:szCs w:val="22"/>
        </w:rPr>
        <w:t>reduced</w:t>
      </w:r>
      <w:r w:rsidR="00E9635D">
        <w:rPr>
          <w:rFonts w:ascii="Arial" w:hAnsi="Arial" w:cs="Arial"/>
          <w:sz w:val="22"/>
          <w:szCs w:val="22"/>
        </w:rPr>
        <w:t xml:space="preserve"> workers compensation premium rates, </w:t>
      </w:r>
      <w:r w:rsidR="00C347EF">
        <w:rPr>
          <w:rFonts w:ascii="Arial" w:hAnsi="Arial" w:cs="Arial"/>
          <w:sz w:val="22"/>
          <w:szCs w:val="22"/>
        </w:rPr>
        <w:t xml:space="preserve">though it is recognised </w:t>
      </w:r>
      <w:r w:rsidR="00E9635D">
        <w:rPr>
          <w:rFonts w:ascii="Arial" w:hAnsi="Arial" w:cs="Arial"/>
          <w:sz w:val="22"/>
          <w:szCs w:val="22"/>
        </w:rPr>
        <w:t>there may be</w:t>
      </w:r>
      <w:r w:rsidR="00014E7D">
        <w:rPr>
          <w:rFonts w:ascii="Arial" w:hAnsi="Arial" w:cs="Arial"/>
          <w:sz w:val="22"/>
          <w:szCs w:val="22"/>
        </w:rPr>
        <w:t xml:space="preserve"> </w:t>
      </w:r>
      <w:r w:rsidR="00E9635D">
        <w:rPr>
          <w:rFonts w:ascii="Arial" w:hAnsi="Arial" w:cs="Arial"/>
          <w:sz w:val="22"/>
          <w:szCs w:val="22"/>
        </w:rPr>
        <w:t>factors beside</w:t>
      </w:r>
      <w:r w:rsidR="00014E7D">
        <w:rPr>
          <w:rFonts w:ascii="Arial" w:hAnsi="Arial" w:cs="Arial"/>
          <w:sz w:val="22"/>
          <w:szCs w:val="22"/>
        </w:rPr>
        <w:t>s</w:t>
      </w:r>
      <w:r w:rsidR="00E9635D">
        <w:rPr>
          <w:rFonts w:ascii="Arial" w:hAnsi="Arial" w:cs="Arial"/>
          <w:sz w:val="22"/>
          <w:szCs w:val="22"/>
        </w:rPr>
        <w:t xml:space="preserve"> </w:t>
      </w:r>
      <w:r w:rsidR="000C535F">
        <w:rPr>
          <w:rFonts w:ascii="Arial" w:hAnsi="Arial" w:cs="Arial"/>
          <w:sz w:val="22"/>
          <w:szCs w:val="22"/>
        </w:rPr>
        <w:t xml:space="preserve"> </w:t>
      </w:r>
      <w:r w:rsidR="00E9635D">
        <w:rPr>
          <w:rFonts w:ascii="Arial" w:hAnsi="Arial" w:cs="Arial"/>
          <w:sz w:val="22"/>
          <w:szCs w:val="22"/>
        </w:rPr>
        <w:t>accreditation that contribute to the</w:t>
      </w:r>
      <w:r w:rsidR="00014E7D">
        <w:rPr>
          <w:rFonts w:ascii="Arial" w:hAnsi="Arial" w:cs="Arial"/>
          <w:sz w:val="22"/>
          <w:szCs w:val="22"/>
        </w:rPr>
        <w:t>se</w:t>
      </w:r>
      <w:r w:rsidR="00E9635D">
        <w:rPr>
          <w:rFonts w:ascii="Arial" w:hAnsi="Arial" w:cs="Arial"/>
          <w:sz w:val="22"/>
          <w:szCs w:val="22"/>
        </w:rPr>
        <w:t xml:space="preserve"> results</w:t>
      </w:r>
      <w:r w:rsidR="00C347EF">
        <w:rPr>
          <w:rFonts w:ascii="Arial" w:hAnsi="Arial" w:cs="Arial"/>
          <w:sz w:val="22"/>
          <w:szCs w:val="22"/>
        </w:rPr>
        <w:t>. Results are outlined below:</w:t>
      </w:r>
    </w:p>
    <w:p w:rsidR="00E9635D" w:rsidRDefault="00E9635D" w:rsidP="00F45DFB">
      <w:pPr>
        <w:rPr>
          <w:rFonts w:ascii="Arial" w:hAnsi="Arial" w:cs="Arial"/>
          <w:sz w:val="22"/>
          <w:szCs w:val="22"/>
        </w:rPr>
      </w:pPr>
    </w:p>
    <w:p w:rsidR="00F45DFB" w:rsidRDefault="00F45DFB" w:rsidP="008C1B31">
      <w:pPr>
        <w:pStyle w:val="ListParagraph"/>
        <w:numPr>
          <w:ilvl w:val="0"/>
          <w:numId w:val="9"/>
        </w:numPr>
        <w:spacing w:line="240" w:lineRule="auto"/>
        <w:ind w:left="358" w:hanging="284"/>
        <w:rPr>
          <w:rFonts w:ascii="Arial" w:hAnsi="Arial" w:cs="Arial"/>
        </w:rPr>
      </w:pPr>
      <w:r w:rsidRPr="00E9635D">
        <w:rPr>
          <w:rFonts w:ascii="Arial" w:hAnsi="Arial" w:cs="Arial"/>
        </w:rPr>
        <w:t xml:space="preserve">71 per cent of </w:t>
      </w:r>
      <w:r w:rsidR="00474035">
        <w:rPr>
          <w:rFonts w:ascii="Arial" w:hAnsi="Arial" w:cs="Arial"/>
        </w:rPr>
        <w:t>third</w:t>
      </w:r>
      <w:r w:rsidR="00014E7D">
        <w:rPr>
          <w:rFonts w:ascii="Arial" w:hAnsi="Arial" w:cs="Arial"/>
        </w:rPr>
        <w:t>-</w:t>
      </w:r>
      <w:r w:rsidRPr="00E9635D">
        <w:rPr>
          <w:rFonts w:ascii="Arial" w:hAnsi="Arial" w:cs="Arial"/>
        </w:rPr>
        <w:t>time</w:t>
      </w:r>
      <w:r w:rsidR="00014E7D">
        <w:rPr>
          <w:rFonts w:ascii="Arial" w:hAnsi="Arial" w:cs="Arial"/>
        </w:rPr>
        <w:t>-</w:t>
      </w:r>
      <w:r w:rsidRPr="00E9635D">
        <w:rPr>
          <w:rFonts w:ascii="Arial" w:hAnsi="Arial" w:cs="Arial"/>
        </w:rPr>
        <w:t xml:space="preserve">accredited companies </w:t>
      </w:r>
      <w:r w:rsidR="00E9635D">
        <w:rPr>
          <w:rFonts w:ascii="Arial" w:hAnsi="Arial" w:cs="Arial"/>
        </w:rPr>
        <w:t>(</w:t>
      </w:r>
      <w:r w:rsidR="0017474E">
        <w:rPr>
          <w:rFonts w:ascii="Arial" w:hAnsi="Arial" w:cs="Arial"/>
        </w:rPr>
        <w:t>i.e.</w:t>
      </w:r>
      <w:r w:rsidR="00E9635D">
        <w:rPr>
          <w:rFonts w:ascii="Arial" w:hAnsi="Arial" w:cs="Arial"/>
        </w:rPr>
        <w:t xml:space="preserve"> after 6 years in the Scheme) </w:t>
      </w:r>
      <w:r w:rsidRPr="00E9635D">
        <w:rPr>
          <w:rFonts w:ascii="Arial" w:hAnsi="Arial" w:cs="Arial"/>
        </w:rPr>
        <w:t>have recorded an improvement to</w:t>
      </w:r>
      <w:r w:rsidR="0079116A">
        <w:rPr>
          <w:rFonts w:ascii="Arial" w:hAnsi="Arial" w:cs="Arial"/>
        </w:rPr>
        <w:t>,</w:t>
      </w:r>
      <w:r w:rsidRPr="00E9635D">
        <w:rPr>
          <w:rFonts w:ascii="Arial" w:hAnsi="Arial" w:cs="Arial"/>
        </w:rPr>
        <w:t xml:space="preserve"> or maintained</w:t>
      </w:r>
      <w:r w:rsidR="0079116A">
        <w:rPr>
          <w:rFonts w:ascii="Arial" w:hAnsi="Arial" w:cs="Arial"/>
        </w:rPr>
        <w:t>,</w:t>
      </w:r>
      <w:r w:rsidRPr="00E9635D">
        <w:rPr>
          <w:rFonts w:ascii="Arial" w:hAnsi="Arial" w:cs="Arial"/>
        </w:rPr>
        <w:t xml:space="preserve"> their L</w:t>
      </w:r>
      <w:r w:rsidR="00E9635D" w:rsidRPr="00E9635D">
        <w:rPr>
          <w:rFonts w:ascii="Arial" w:hAnsi="Arial" w:cs="Arial"/>
        </w:rPr>
        <w:t xml:space="preserve">ost </w:t>
      </w:r>
      <w:r w:rsidRPr="00E9635D">
        <w:rPr>
          <w:rFonts w:ascii="Arial" w:hAnsi="Arial" w:cs="Arial"/>
        </w:rPr>
        <w:t>T</w:t>
      </w:r>
      <w:r w:rsidR="00E9635D" w:rsidRPr="00E9635D">
        <w:rPr>
          <w:rFonts w:ascii="Arial" w:hAnsi="Arial" w:cs="Arial"/>
        </w:rPr>
        <w:t xml:space="preserve">ime Injury </w:t>
      </w:r>
      <w:r w:rsidRPr="00E9635D">
        <w:rPr>
          <w:rFonts w:ascii="Arial" w:hAnsi="Arial" w:cs="Arial"/>
        </w:rPr>
        <w:t>F</w:t>
      </w:r>
      <w:r w:rsidR="00E9635D" w:rsidRPr="00E9635D">
        <w:rPr>
          <w:rFonts w:ascii="Arial" w:hAnsi="Arial" w:cs="Arial"/>
        </w:rPr>
        <w:t xml:space="preserve">requency </w:t>
      </w:r>
      <w:r w:rsidRPr="00E9635D">
        <w:rPr>
          <w:rFonts w:ascii="Arial" w:hAnsi="Arial" w:cs="Arial"/>
        </w:rPr>
        <w:t>R</w:t>
      </w:r>
      <w:r w:rsidR="00E9635D" w:rsidRPr="00E9635D">
        <w:rPr>
          <w:rFonts w:ascii="Arial" w:hAnsi="Arial" w:cs="Arial"/>
        </w:rPr>
        <w:t xml:space="preserve">ate (LTIFR) – their </w:t>
      </w:r>
      <w:r w:rsidRPr="00E9635D">
        <w:rPr>
          <w:rFonts w:ascii="Arial" w:hAnsi="Arial" w:cs="Arial"/>
        </w:rPr>
        <w:t>average reduction was 69 per cent</w:t>
      </w:r>
    </w:p>
    <w:p w:rsidR="00F45DFB" w:rsidRDefault="00F45DFB" w:rsidP="008C1B31">
      <w:pPr>
        <w:pStyle w:val="ListParagraph"/>
        <w:numPr>
          <w:ilvl w:val="0"/>
          <w:numId w:val="9"/>
        </w:numPr>
        <w:spacing w:line="240" w:lineRule="auto"/>
        <w:ind w:left="360" w:hanging="283"/>
        <w:rPr>
          <w:rFonts w:ascii="Arial" w:hAnsi="Arial" w:cs="Arial"/>
        </w:rPr>
      </w:pPr>
      <w:r w:rsidRPr="0079116A">
        <w:rPr>
          <w:rFonts w:ascii="Arial" w:hAnsi="Arial" w:cs="Arial"/>
        </w:rPr>
        <w:t xml:space="preserve">60 per cent of </w:t>
      </w:r>
      <w:r w:rsidR="00474035">
        <w:rPr>
          <w:rFonts w:ascii="Arial" w:hAnsi="Arial" w:cs="Arial"/>
        </w:rPr>
        <w:t>third-</w:t>
      </w:r>
      <w:r w:rsidRPr="0079116A">
        <w:rPr>
          <w:rFonts w:ascii="Arial" w:hAnsi="Arial" w:cs="Arial"/>
        </w:rPr>
        <w:t>time</w:t>
      </w:r>
      <w:r w:rsidR="0017474E">
        <w:rPr>
          <w:rFonts w:ascii="Arial" w:hAnsi="Arial" w:cs="Arial"/>
        </w:rPr>
        <w:t>-</w:t>
      </w:r>
      <w:r w:rsidRPr="0079116A">
        <w:rPr>
          <w:rFonts w:ascii="Arial" w:hAnsi="Arial" w:cs="Arial"/>
        </w:rPr>
        <w:t>accredit</w:t>
      </w:r>
      <w:r w:rsidR="0079116A" w:rsidRPr="0079116A">
        <w:rPr>
          <w:rFonts w:ascii="Arial" w:hAnsi="Arial" w:cs="Arial"/>
        </w:rPr>
        <w:t xml:space="preserve">ed companies </w:t>
      </w:r>
      <w:r w:rsidR="0017474E">
        <w:rPr>
          <w:rFonts w:ascii="Arial" w:hAnsi="Arial" w:cs="Arial"/>
        </w:rPr>
        <w:t>had</w:t>
      </w:r>
      <w:r w:rsidRPr="0079116A">
        <w:rPr>
          <w:rFonts w:ascii="Arial" w:hAnsi="Arial" w:cs="Arial"/>
        </w:rPr>
        <w:t xml:space="preserve"> recorded a decrease to their W</w:t>
      </w:r>
      <w:r w:rsidR="0079116A" w:rsidRPr="0079116A">
        <w:rPr>
          <w:rFonts w:ascii="Arial" w:hAnsi="Arial" w:cs="Arial"/>
        </w:rPr>
        <w:t xml:space="preserve">orkers </w:t>
      </w:r>
      <w:r w:rsidRPr="0079116A">
        <w:rPr>
          <w:rFonts w:ascii="Arial" w:hAnsi="Arial" w:cs="Arial"/>
        </w:rPr>
        <w:t>C</w:t>
      </w:r>
      <w:r w:rsidR="0079116A" w:rsidRPr="0079116A">
        <w:rPr>
          <w:rFonts w:ascii="Arial" w:hAnsi="Arial" w:cs="Arial"/>
        </w:rPr>
        <w:t xml:space="preserve">ompensation </w:t>
      </w:r>
      <w:r w:rsidRPr="0079116A">
        <w:rPr>
          <w:rFonts w:ascii="Arial" w:hAnsi="Arial" w:cs="Arial"/>
        </w:rPr>
        <w:t>P</w:t>
      </w:r>
      <w:r w:rsidR="0079116A" w:rsidRPr="0079116A">
        <w:rPr>
          <w:rFonts w:ascii="Arial" w:hAnsi="Arial" w:cs="Arial"/>
        </w:rPr>
        <w:t>remium Rate – of th</w:t>
      </w:r>
      <w:r w:rsidR="004D2E88">
        <w:rPr>
          <w:rFonts w:ascii="Arial" w:hAnsi="Arial" w:cs="Arial"/>
        </w:rPr>
        <w:t>ose</w:t>
      </w:r>
      <w:r w:rsidR="0079116A" w:rsidRPr="0079116A">
        <w:rPr>
          <w:rFonts w:ascii="Arial" w:hAnsi="Arial" w:cs="Arial"/>
        </w:rPr>
        <w:t xml:space="preserve">, </w:t>
      </w:r>
      <w:r w:rsidRPr="0079116A">
        <w:rPr>
          <w:rFonts w:ascii="Arial" w:hAnsi="Arial" w:cs="Arial"/>
        </w:rPr>
        <w:t>the average reduction was 44.03 per cent</w:t>
      </w:r>
      <w:r w:rsidR="00CE0E95">
        <w:rPr>
          <w:rFonts w:ascii="Arial" w:hAnsi="Arial" w:cs="Arial"/>
        </w:rPr>
        <w:t>.</w:t>
      </w:r>
    </w:p>
    <w:p w:rsidR="00F45DFB" w:rsidRPr="0017474E" w:rsidRDefault="00F45DFB" w:rsidP="00226B47">
      <w:pPr>
        <w:pStyle w:val="Heading2"/>
      </w:pPr>
      <w:r w:rsidRPr="0017474E">
        <w:t>Industry</w:t>
      </w:r>
      <w:r w:rsidR="00F23C86">
        <w:t>-w</w:t>
      </w:r>
      <w:r w:rsidRPr="0017474E">
        <w:t xml:space="preserve">ide </w:t>
      </w:r>
      <w:r w:rsidR="00F23C86">
        <w:t>B</w:t>
      </w:r>
      <w:r w:rsidRPr="0017474E">
        <w:t>enefits</w:t>
      </w:r>
    </w:p>
    <w:p w:rsidR="00F45DFB" w:rsidRPr="00F45DFB" w:rsidRDefault="00CB3590" w:rsidP="00CB3590">
      <w:pPr>
        <w:tabs>
          <w:tab w:val="left" w:pos="8468"/>
        </w:tabs>
        <w:rPr>
          <w:rFonts w:ascii="Arial" w:hAnsi="Arial" w:cs="Arial"/>
          <w:i/>
          <w:sz w:val="22"/>
          <w:szCs w:val="22"/>
        </w:rPr>
      </w:pPr>
      <w:r>
        <w:rPr>
          <w:rFonts w:ascii="Arial" w:hAnsi="Arial" w:cs="Arial"/>
          <w:i/>
          <w:sz w:val="22"/>
          <w:szCs w:val="22"/>
        </w:rPr>
        <w:tab/>
      </w:r>
    </w:p>
    <w:p w:rsidR="0079116A" w:rsidRDefault="00C347EF" w:rsidP="001C168B">
      <w:pPr>
        <w:rPr>
          <w:rFonts w:ascii="Arial" w:hAnsi="Arial" w:cs="Arial"/>
          <w:sz w:val="22"/>
          <w:szCs w:val="22"/>
        </w:rPr>
      </w:pPr>
      <w:r>
        <w:rPr>
          <w:rFonts w:ascii="Arial" w:hAnsi="Arial" w:cs="Arial"/>
          <w:sz w:val="22"/>
          <w:szCs w:val="22"/>
        </w:rPr>
        <w:t>The 3</w:t>
      </w:r>
      <w:r w:rsidR="00C938A8">
        <w:rPr>
          <w:rFonts w:ascii="Arial" w:hAnsi="Arial" w:cs="Arial"/>
          <w:sz w:val="22"/>
          <w:szCs w:val="22"/>
        </w:rPr>
        <w:t>21</w:t>
      </w:r>
      <w:r>
        <w:rPr>
          <w:rFonts w:ascii="Arial" w:hAnsi="Arial" w:cs="Arial"/>
          <w:sz w:val="22"/>
          <w:szCs w:val="22"/>
        </w:rPr>
        <w:t xml:space="preserve"> </w:t>
      </w:r>
      <w:r w:rsidR="00651E5A">
        <w:rPr>
          <w:rFonts w:ascii="Arial" w:hAnsi="Arial" w:cs="Arial"/>
          <w:sz w:val="22"/>
          <w:szCs w:val="22"/>
        </w:rPr>
        <w:t xml:space="preserve">currently accredited </w:t>
      </w:r>
      <w:r>
        <w:rPr>
          <w:rFonts w:ascii="Arial" w:hAnsi="Arial" w:cs="Arial"/>
          <w:sz w:val="22"/>
          <w:szCs w:val="22"/>
        </w:rPr>
        <w:t>companies are estimated to account for 30 to 50 per cent of annual financial turnover in the building industry</w:t>
      </w:r>
      <w:r w:rsidR="00734AF8">
        <w:rPr>
          <w:rFonts w:ascii="Arial" w:hAnsi="Arial" w:cs="Arial"/>
          <w:sz w:val="22"/>
          <w:szCs w:val="22"/>
        </w:rPr>
        <w:t>.</w:t>
      </w:r>
      <w:r>
        <w:rPr>
          <w:rFonts w:ascii="Arial" w:hAnsi="Arial" w:cs="Arial"/>
          <w:sz w:val="22"/>
          <w:szCs w:val="22"/>
        </w:rPr>
        <w:t xml:space="preserve"> </w:t>
      </w:r>
      <w:r w:rsidR="00CB3590">
        <w:rPr>
          <w:rFonts w:ascii="Arial" w:hAnsi="Arial" w:cs="Arial"/>
          <w:sz w:val="22"/>
          <w:szCs w:val="22"/>
        </w:rPr>
        <w:t>Given the large market share and associated influence of accredited companies, b</w:t>
      </w:r>
      <w:r>
        <w:rPr>
          <w:rFonts w:ascii="Arial" w:hAnsi="Arial" w:cs="Arial"/>
          <w:sz w:val="22"/>
          <w:szCs w:val="22"/>
        </w:rPr>
        <w:t>oth t</w:t>
      </w:r>
      <w:r w:rsidR="00BA08FC">
        <w:rPr>
          <w:rFonts w:ascii="Arial" w:hAnsi="Arial" w:cs="Arial"/>
          <w:sz w:val="22"/>
          <w:szCs w:val="22"/>
        </w:rPr>
        <w:t xml:space="preserve">he </w:t>
      </w:r>
      <w:r w:rsidR="003A3845">
        <w:rPr>
          <w:rFonts w:ascii="Arial" w:hAnsi="Arial" w:cs="Arial"/>
          <w:sz w:val="22"/>
          <w:szCs w:val="22"/>
        </w:rPr>
        <w:t>S</w:t>
      </w:r>
      <w:r w:rsidR="00BA08FC">
        <w:rPr>
          <w:rFonts w:ascii="Arial" w:hAnsi="Arial" w:cs="Arial"/>
          <w:sz w:val="22"/>
          <w:szCs w:val="22"/>
        </w:rPr>
        <w:t>urvey</w:t>
      </w:r>
      <w:r w:rsidR="0079116A">
        <w:rPr>
          <w:rFonts w:ascii="Arial" w:hAnsi="Arial" w:cs="Arial"/>
          <w:sz w:val="22"/>
          <w:szCs w:val="22"/>
        </w:rPr>
        <w:t xml:space="preserve"> and </w:t>
      </w:r>
      <w:r w:rsidR="00CB3590">
        <w:rPr>
          <w:rFonts w:ascii="Arial" w:hAnsi="Arial" w:cs="Arial"/>
          <w:sz w:val="22"/>
          <w:szCs w:val="22"/>
        </w:rPr>
        <w:t xml:space="preserve">the Review’s Discussion Paper </w:t>
      </w:r>
      <w:r>
        <w:rPr>
          <w:rFonts w:ascii="Arial" w:hAnsi="Arial" w:cs="Arial"/>
          <w:sz w:val="22"/>
          <w:szCs w:val="22"/>
        </w:rPr>
        <w:t xml:space="preserve">sought </w:t>
      </w:r>
      <w:r w:rsidR="0079116A">
        <w:rPr>
          <w:rFonts w:ascii="Arial" w:hAnsi="Arial" w:cs="Arial"/>
          <w:sz w:val="22"/>
          <w:szCs w:val="22"/>
        </w:rPr>
        <w:t xml:space="preserve">views about </w:t>
      </w:r>
      <w:r w:rsidR="00BA08FC">
        <w:rPr>
          <w:rFonts w:ascii="Arial" w:hAnsi="Arial" w:cs="Arial"/>
          <w:sz w:val="22"/>
          <w:szCs w:val="22"/>
        </w:rPr>
        <w:t>whether the Scheme had improved safety across the industry more broadly</w:t>
      </w:r>
      <w:r w:rsidR="00CB3590">
        <w:rPr>
          <w:rFonts w:ascii="Arial" w:hAnsi="Arial" w:cs="Arial"/>
          <w:sz w:val="22"/>
          <w:szCs w:val="22"/>
        </w:rPr>
        <w:t>.</w:t>
      </w:r>
      <w:r w:rsidR="00F45DFB">
        <w:rPr>
          <w:rFonts w:ascii="Arial" w:hAnsi="Arial" w:cs="Arial"/>
          <w:sz w:val="22"/>
          <w:szCs w:val="22"/>
        </w:rPr>
        <w:t xml:space="preserve"> </w:t>
      </w:r>
    </w:p>
    <w:p w:rsidR="0079116A" w:rsidRDefault="0079116A" w:rsidP="001C168B">
      <w:pPr>
        <w:rPr>
          <w:rFonts w:ascii="Arial" w:hAnsi="Arial" w:cs="Arial"/>
          <w:sz w:val="22"/>
          <w:szCs w:val="22"/>
        </w:rPr>
      </w:pPr>
    </w:p>
    <w:p w:rsidR="00BA08FC" w:rsidRDefault="00FC6078" w:rsidP="001C168B">
      <w:pPr>
        <w:rPr>
          <w:rFonts w:ascii="Arial" w:hAnsi="Arial" w:cs="Arial"/>
          <w:sz w:val="22"/>
          <w:szCs w:val="22"/>
        </w:rPr>
      </w:pPr>
      <w:r>
        <w:rPr>
          <w:rFonts w:ascii="Arial" w:hAnsi="Arial" w:cs="Arial"/>
          <w:sz w:val="22"/>
          <w:szCs w:val="22"/>
        </w:rPr>
        <w:t>Less</w:t>
      </w:r>
      <w:r w:rsidR="00F45DFB">
        <w:rPr>
          <w:rFonts w:ascii="Arial" w:hAnsi="Arial" w:cs="Arial"/>
          <w:sz w:val="22"/>
          <w:szCs w:val="22"/>
        </w:rPr>
        <w:t xml:space="preserve"> than 14 per</w:t>
      </w:r>
      <w:r>
        <w:rPr>
          <w:rFonts w:ascii="Arial" w:hAnsi="Arial" w:cs="Arial"/>
          <w:sz w:val="22"/>
          <w:szCs w:val="22"/>
        </w:rPr>
        <w:t xml:space="preserve"> </w:t>
      </w:r>
      <w:r w:rsidR="00F45DFB">
        <w:rPr>
          <w:rFonts w:ascii="Arial" w:hAnsi="Arial" w:cs="Arial"/>
          <w:sz w:val="22"/>
          <w:szCs w:val="22"/>
        </w:rPr>
        <w:t xml:space="preserve">cent of respondents </w:t>
      </w:r>
      <w:r w:rsidR="003A3845">
        <w:rPr>
          <w:rFonts w:ascii="Arial" w:hAnsi="Arial" w:cs="Arial"/>
          <w:sz w:val="22"/>
          <w:szCs w:val="22"/>
        </w:rPr>
        <w:t xml:space="preserve">to the Survey </w:t>
      </w:r>
      <w:r w:rsidR="00F45DFB">
        <w:rPr>
          <w:rFonts w:ascii="Arial" w:hAnsi="Arial" w:cs="Arial"/>
          <w:sz w:val="22"/>
          <w:szCs w:val="22"/>
        </w:rPr>
        <w:t xml:space="preserve">considered that the Scheme had </w:t>
      </w:r>
      <w:r w:rsidR="00F45DFB" w:rsidRPr="0017474E">
        <w:rPr>
          <w:rFonts w:ascii="Arial" w:hAnsi="Arial" w:cs="Arial"/>
          <w:sz w:val="22"/>
          <w:szCs w:val="22"/>
        </w:rPr>
        <w:t>not</w:t>
      </w:r>
      <w:r w:rsidR="00F45DFB" w:rsidRPr="00FC6078">
        <w:rPr>
          <w:rFonts w:ascii="Arial" w:hAnsi="Arial" w:cs="Arial"/>
          <w:sz w:val="22"/>
          <w:szCs w:val="22"/>
        </w:rPr>
        <w:t xml:space="preserve"> </w:t>
      </w:r>
      <w:r w:rsidR="00F45DFB">
        <w:rPr>
          <w:rFonts w:ascii="Arial" w:hAnsi="Arial" w:cs="Arial"/>
          <w:sz w:val="22"/>
          <w:szCs w:val="22"/>
        </w:rPr>
        <w:t>improved industry safety, although 29 per</w:t>
      </w:r>
      <w:r>
        <w:rPr>
          <w:rFonts w:ascii="Arial" w:hAnsi="Arial" w:cs="Arial"/>
          <w:sz w:val="22"/>
          <w:szCs w:val="22"/>
        </w:rPr>
        <w:t xml:space="preserve"> </w:t>
      </w:r>
      <w:r w:rsidR="00F45DFB">
        <w:rPr>
          <w:rFonts w:ascii="Arial" w:hAnsi="Arial" w:cs="Arial"/>
          <w:sz w:val="22"/>
          <w:szCs w:val="22"/>
        </w:rPr>
        <w:t xml:space="preserve">cent were unsure. </w:t>
      </w:r>
      <w:r w:rsidR="00A170A6">
        <w:rPr>
          <w:rFonts w:ascii="Arial" w:hAnsi="Arial" w:cs="Arial"/>
          <w:sz w:val="22"/>
          <w:szCs w:val="22"/>
        </w:rPr>
        <w:t xml:space="preserve">One particular comment, typical of </w:t>
      </w:r>
      <w:r w:rsidR="00F45DFB">
        <w:rPr>
          <w:rFonts w:ascii="Arial" w:hAnsi="Arial" w:cs="Arial"/>
          <w:sz w:val="22"/>
          <w:szCs w:val="22"/>
        </w:rPr>
        <w:t xml:space="preserve">those that responded </w:t>
      </w:r>
      <w:r w:rsidR="0079116A">
        <w:rPr>
          <w:rFonts w:ascii="Arial" w:hAnsi="Arial" w:cs="Arial"/>
          <w:sz w:val="22"/>
          <w:szCs w:val="22"/>
        </w:rPr>
        <w:t>‘</w:t>
      </w:r>
      <w:r w:rsidR="00F45DFB">
        <w:rPr>
          <w:rFonts w:ascii="Arial" w:hAnsi="Arial" w:cs="Arial"/>
          <w:sz w:val="22"/>
          <w:szCs w:val="22"/>
        </w:rPr>
        <w:t>yes</w:t>
      </w:r>
      <w:r w:rsidR="0079116A">
        <w:rPr>
          <w:rFonts w:ascii="Arial" w:hAnsi="Arial" w:cs="Arial"/>
          <w:sz w:val="22"/>
          <w:szCs w:val="22"/>
        </w:rPr>
        <w:t>’</w:t>
      </w:r>
      <w:r w:rsidR="00A170A6">
        <w:rPr>
          <w:rFonts w:ascii="Arial" w:hAnsi="Arial" w:cs="Arial"/>
          <w:sz w:val="22"/>
          <w:szCs w:val="22"/>
        </w:rPr>
        <w:t>,</w:t>
      </w:r>
      <w:r w:rsidR="00F45DFB">
        <w:rPr>
          <w:rFonts w:ascii="Arial" w:hAnsi="Arial" w:cs="Arial"/>
          <w:sz w:val="22"/>
          <w:szCs w:val="22"/>
        </w:rPr>
        <w:t xml:space="preserve"> </w:t>
      </w:r>
      <w:r w:rsidR="0079116A">
        <w:rPr>
          <w:rFonts w:ascii="Arial" w:hAnsi="Arial" w:cs="Arial"/>
          <w:sz w:val="22"/>
          <w:szCs w:val="22"/>
        </w:rPr>
        <w:t>was:</w:t>
      </w:r>
    </w:p>
    <w:p w:rsidR="00BA08FC" w:rsidRDefault="00BA08FC" w:rsidP="001C168B">
      <w:pPr>
        <w:rPr>
          <w:rFonts w:ascii="Arial" w:hAnsi="Arial" w:cs="Arial"/>
          <w:sz w:val="22"/>
          <w:szCs w:val="22"/>
        </w:rPr>
      </w:pPr>
    </w:p>
    <w:p w:rsidR="0079116A" w:rsidRPr="00AB4FDE" w:rsidRDefault="00EC50A4" w:rsidP="0017474E">
      <w:pPr>
        <w:ind w:left="567"/>
        <w:rPr>
          <w:rFonts w:ascii="Arial" w:hAnsi="Arial" w:cs="Arial"/>
          <w:i/>
          <w:sz w:val="22"/>
          <w:szCs w:val="22"/>
        </w:rPr>
      </w:pPr>
      <w:r w:rsidRPr="00AB4FDE">
        <w:rPr>
          <w:rFonts w:ascii="Arial" w:hAnsi="Arial" w:cs="Arial"/>
          <w:i/>
          <w:sz w:val="22"/>
          <w:szCs w:val="22"/>
        </w:rPr>
        <w:t>“Over the 7 years we have been involved, we have observed that our subcontractors have also raised their standards in response to meet</w:t>
      </w:r>
      <w:r w:rsidR="0079116A" w:rsidRPr="00AB4FDE">
        <w:rPr>
          <w:rFonts w:ascii="Arial" w:hAnsi="Arial" w:cs="Arial"/>
          <w:i/>
          <w:sz w:val="22"/>
          <w:szCs w:val="22"/>
        </w:rPr>
        <w:t>ing</w:t>
      </w:r>
      <w:r w:rsidRPr="00AB4FDE">
        <w:rPr>
          <w:rFonts w:ascii="Arial" w:hAnsi="Arial" w:cs="Arial"/>
          <w:i/>
          <w:sz w:val="22"/>
          <w:szCs w:val="22"/>
        </w:rPr>
        <w:t xml:space="preserve"> our needs and the needs of other OFSC accredited contractors”</w:t>
      </w:r>
      <w:r w:rsidR="0079116A" w:rsidRPr="00AB4FDE">
        <w:rPr>
          <w:rFonts w:ascii="Arial" w:hAnsi="Arial" w:cs="Arial"/>
          <w:i/>
          <w:sz w:val="22"/>
          <w:szCs w:val="22"/>
        </w:rPr>
        <w:t xml:space="preserve">. </w:t>
      </w:r>
    </w:p>
    <w:p w:rsidR="00B2447A" w:rsidRDefault="00B2447A" w:rsidP="0079116A">
      <w:pPr>
        <w:rPr>
          <w:rFonts w:ascii="Arial" w:hAnsi="Arial" w:cs="Arial"/>
          <w:sz w:val="22"/>
          <w:szCs w:val="22"/>
        </w:rPr>
      </w:pPr>
    </w:p>
    <w:p w:rsidR="00EC50A4" w:rsidRPr="0079116A" w:rsidRDefault="00CE0E95" w:rsidP="0079116A">
      <w:pPr>
        <w:rPr>
          <w:rFonts w:ascii="Arial" w:hAnsi="Arial" w:cs="Arial"/>
          <w:sz w:val="22"/>
          <w:szCs w:val="22"/>
        </w:rPr>
      </w:pPr>
      <w:r>
        <w:rPr>
          <w:rFonts w:ascii="Arial" w:hAnsi="Arial" w:cs="Arial"/>
          <w:sz w:val="22"/>
          <w:szCs w:val="22"/>
        </w:rPr>
        <w:t>However, a</w:t>
      </w:r>
      <w:r w:rsidR="0079116A" w:rsidRPr="0079116A">
        <w:rPr>
          <w:rFonts w:ascii="Arial" w:hAnsi="Arial" w:cs="Arial"/>
          <w:sz w:val="22"/>
          <w:szCs w:val="22"/>
        </w:rPr>
        <w:t>nother said:</w:t>
      </w:r>
    </w:p>
    <w:p w:rsidR="0079116A" w:rsidRPr="001B0349" w:rsidRDefault="0079116A" w:rsidP="001B0349">
      <w:pPr>
        <w:rPr>
          <w:rFonts w:ascii="Arial" w:hAnsi="Arial" w:cs="Arial"/>
        </w:rPr>
      </w:pPr>
    </w:p>
    <w:p w:rsidR="0079116A" w:rsidRPr="00AB4FDE" w:rsidRDefault="0079116A" w:rsidP="001B0349">
      <w:pPr>
        <w:ind w:left="567"/>
        <w:rPr>
          <w:rFonts w:ascii="Arial" w:hAnsi="Arial" w:cs="Arial"/>
          <w:i/>
          <w:sz w:val="22"/>
          <w:szCs w:val="22"/>
        </w:rPr>
      </w:pPr>
      <w:r w:rsidRPr="00AB4FDE">
        <w:rPr>
          <w:rFonts w:ascii="Arial" w:hAnsi="Arial" w:cs="Arial"/>
          <w:i/>
          <w:sz w:val="22"/>
          <w:szCs w:val="22"/>
        </w:rPr>
        <w:t xml:space="preserve">“We still see on a daily basis, other companies doing the wrong thing and a number of these companies are our competitors. We also get a lot of feedback from our subcontractors that say things like </w:t>
      </w:r>
      <w:r w:rsidR="00FC6078" w:rsidRPr="00AB4FDE">
        <w:rPr>
          <w:rFonts w:ascii="Arial" w:hAnsi="Arial" w:cs="Arial"/>
          <w:i/>
          <w:sz w:val="22"/>
          <w:szCs w:val="22"/>
        </w:rPr>
        <w:t>’</w:t>
      </w:r>
      <w:r w:rsidRPr="00AB4FDE">
        <w:rPr>
          <w:rFonts w:ascii="Arial" w:hAnsi="Arial" w:cs="Arial"/>
          <w:i/>
          <w:sz w:val="22"/>
          <w:szCs w:val="22"/>
        </w:rPr>
        <w:t xml:space="preserve">we don't have to worry about doing </w:t>
      </w:r>
      <w:r w:rsidR="00E42471" w:rsidRPr="00AB4FDE">
        <w:rPr>
          <w:rFonts w:ascii="Arial" w:hAnsi="Arial" w:cs="Arial"/>
          <w:i/>
          <w:sz w:val="22"/>
          <w:szCs w:val="22"/>
        </w:rPr>
        <w:t>X activity</w:t>
      </w:r>
      <w:r w:rsidR="00E42471" w:rsidRPr="00AB4FDE" w:rsidDel="00E42471">
        <w:rPr>
          <w:rFonts w:ascii="Arial" w:hAnsi="Arial" w:cs="Arial"/>
          <w:i/>
          <w:sz w:val="22"/>
          <w:szCs w:val="22"/>
        </w:rPr>
        <w:t xml:space="preserve"> </w:t>
      </w:r>
      <w:r w:rsidRPr="00AB4FDE">
        <w:rPr>
          <w:rFonts w:ascii="Arial" w:hAnsi="Arial" w:cs="Arial"/>
          <w:i/>
          <w:sz w:val="22"/>
          <w:szCs w:val="22"/>
        </w:rPr>
        <w:t xml:space="preserve">on </w:t>
      </w:r>
      <w:r w:rsidR="00E42471" w:rsidRPr="00AB4FDE">
        <w:rPr>
          <w:rFonts w:ascii="Arial" w:hAnsi="Arial" w:cs="Arial"/>
          <w:i/>
          <w:sz w:val="22"/>
          <w:szCs w:val="22"/>
        </w:rPr>
        <w:t xml:space="preserve">Y company’s site </w:t>
      </w:r>
      <w:r w:rsidRPr="00AB4FDE">
        <w:rPr>
          <w:rFonts w:ascii="Arial" w:hAnsi="Arial" w:cs="Arial"/>
          <w:i/>
          <w:sz w:val="22"/>
          <w:szCs w:val="22"/>
        </w:rPr>
        <w:t>(competitors site</w:t>
      </w:r>
      <w:r w:rsidR="00BC298A" w:rsidRPr="00AB4FDE">
        <w:rPr>
          <w:rFonts w:ascii="Arial" w:hAnsi="Arial" w:cs="Arial"/>
          <w:i/>
          <w:sz w:val="22"/>
          <w:szCs w:val="22"/>
        </w:rPr>
        <w:t>)</w:t>
      </w:r>
      <w:r w:rsidR="00FC6078" w:rsidRPr="00AB4FDE">
        <w:rPr>
          <w:rFonts w:ascii="Arial" w:hAnsi="Arial" w:cs="Arial"/>
          <w:i/>
          <w:sz w:val="22"/>
          <w:szCs w:val="22"/>
        </w:rPr>
        <w:t>’</w:t>
      </w:r>
      <w:r w:rsidRPr="00AB4FDE">
        <w:rPr>
          <w:rFonts w:ascii="Arial" w:hAnsi="Arial" w:cs="Arial"/>
          <w:i/>
          <w:sz w:val="22"/>
          <w:szCs w:val="22"/>
        </w:rPr>
        <w:t>.</w:t>
      </w:r>
      <w:r w:rsidR="004D2E88" w:rsidRPr="00AB4FDE">
        <w:rPr>
          <w:rFonts w:ascii="Arial" w:hAnsi="Arial" w:cs="Arial"/>
          <w:i/>
          <w:sz w:val="22"/>
          <w:szCs w:val="22"/>
        </w:rPr>
        <w:t xml:space="preserve"> </w:t>
      </w:r>
      <w:r w:rsidRPr="00AB4FDE">
        <w:rPr>
          <w:rFonts w:ascii="Arial" w:hAnsi="Arial" w:cs="Arial"/>
          <w:i/>
          <w:sz w:val="22"/>
          <w:szCs w:val="22"/>
        </w:rPr>
        <w:t>I think for those involved in the scheme, there has been a considerable improvement.”</w:t>
      </w:r>
    </w:p>
    <w:p w:rsidR="00BA08FC" w:rsidRDefault="00BA08FC" w:rsidP="00EC10F9">
      <w:pPr>
        <w:rPr>
          <w:rFonts w:ascii="Arial" w:hAnsi="Arial" w:cs="Arial"/>
          <w:sz w:val="22"/>
          <w:szCs w:val="22"/>
        </w:rPr>
      </w:pPr>
    </w:p>
    <w:p w:rsidR="00BA08FC" w:rsidRPr="00AA5BB8" w:rsidRDefault="0079116A" w:rsidP="003005B9">
      <w:pPr>
        <w:pStyle w:val="Heading2"/>
      </w:pPr>
      <w:bookmarkStart w:id="9" w:name="_Toc390429505"/>
      <w:r w:rsidRPr="00AA5BB8">
        <w:t>C</w:t>
      </w:r>
      <w:r w:rsidR="00BA08FC" w:rsidRPr="00AA5BB8">
        <w:t>osts</w:t>
      </w:r>
      <w:r w:rsidR="001634CF" w:rsidRPr="00AA5BB8">
        <w:t xml:space="preserve"> of the Scheme</w:t>
      </w:r>
      <w:bookmarkEnd w:id="9"/>
    </w:p>
    <w:p w:rsidR="00BA08FC" w:rsidRDefault="00BA08FC" w:rsidP="00BA08FC">
      <w:pPr>
        <w:rPr>
          <w:rFonts w:ascii="Arial" w:hAnsi="Arial" w:cs="Arial"/>
          <w:sz w:val="22"/>
          <w:szCs w:val="22"/>
        </w:rPr>
      </w:pPr>
    </w:p>
    <w:p w:rsidR="00651E5A" w:rsidRDefault="00BA08FC" w:rsidP="00651E5A">
      <w:pPr>
        <w:rPr>
          <w:rFonts w:ascii="Arial" w:hAnsi="Arial" w:cs="Arial"/>
          <w:sz w:val="22"/>
          <w:szCs w:val="22"/>
        </w:rPr>
      </w:pPr>
      <w:r>
        <w:rPr>
          <w:rFonts w:ascii="Arial" w:hAnsi="Arial" w:cs="Arial"/>
          <w:sz w:val="22"/>
          <w:szCs w:val="22"/>
        </w:rPr>
        <w:t xml:space="preserve">There are costs </w:t>
      </w:r>
      <w:r w:rsidR="001634CF">
        <w:rPr>
          <w:rFonts w:ascii="Arial" w:hAnsi="Arial" w:cs="Arial"/>
          <w:sz w:val="22"/>
          <w:szCs w:val="22"/>
        </w:rPr>
        <w:t>for companies</w:t>
      </w:r>
      <w:r>
        <w:rPr>
          <w:rFonts w:ascii="Arial" w:hAnsi="Arial" w:cs="Arial"/>
          <w:sz w:val="22"/>
          <w:szCs w:val="22"/>
        </w:rPr>
        <w:t xml:space="preserve"> in becoming and remaining accredited under the Scheme, including those attributable to</w:t>
      </w:r>
      <w:r w:rsidR="00C04B04">
        <w:rPr>
          <w:rFonts w:ascii="Arial" w:hAnsi="Arial" w:cs="Arial"/>
          <w:sz w:val="22"/>
          <w:szCs w:val="22"/>
        </w:rPr>
        <w:t xml:space="preserve"> </w:t>
      </w:r>
      <w:r>
        <w:rPr>
          <w:rFonts w:ascii="Arial" w:hAnsi="Arial" w:cs="Arial"/>
          <w:sz w:val="22"/>
          <w:szCs w:val="22"/>
        </w:rPr>
        <w:t>completing the application process, attending site audits, and improving safety systems to meet Scheme standards.</w:t>
      </w:r>
      <w:r w:rsidR="00651E5A">
        <w:rPr>
          <w:rFonts w:ascii="Arial" w:hAnsi="Arial" w:cs="Arial"/>
          <w:sz w:val="22"/>
          <w:szCs w:val="22"/>
        </w:rPr>
        <w:t xml:space="preserve"> However, t</w:t>
      </w:r>
      <w:r w:rsidR="00651E5A" w:rsidRPr="00376DE1">
        <w:rPr>
          <w:rFonts w:ascii="Arial" w:hAnsi="Arial" w:cs="Arial"/>
          <w:sz w:val="22"/>
          <w:szCs w:val="22"/>
        </w:rPr>
        <w:t xml:space="preserve">here are </w:t>
      </w:r>
      <w:r w:rsidR="00651E5A">
        <w:rPr>
          <w:rFonts w:ascii="Arial" w:hAnsi="Arial" w:cs="Arial"/>
          <w:sz w:val="22"/>
          <w:szCs w:val="22"/>
        </w:rPr>
        <w:t xml:space="preserve">currently </w:t>
      </w:r>
      <w:r w:rsidR="00651E5A" w:rsidRPr="00376DE1">
        <w:rPr>
          <w:rFonts w:ascii="Arial" w:hAnsi="Arial" w:cs="Arial"/>
          <w:sz w:val="22"/>
          <w:szCs w:val="22"/>
        </w:rPr>
        <w:t xml:space="preserve">no </w:t>
      </w:r>
      <w:r w:rsidR="00651E5A">
        <w:rPr>
          <w:rFonts w:ascii="Arial" w:hAnsi="Arial" w:cs="Arial"/>
          <w:sz w:val="22"/>
          <w:szCs w:val="22"/>
        </w:rPr>
        <w:t>fees ch</w:t>
      </w:r>
      <w:r w:rsidR="00651E5A" w:rsidRPr="00376DE1">
        <w:rPr>
          <w:rFonts w:ascii="Arial" w:hAnsi="Arial" w:cs="Arial"/>
          <w:sz w:val="22"/>
          <w:szCs w:val="22"/>
        </w:rPr>
        <w:t xml:space="preserve">arged by the OFSC to </w:t>
      </w:r>
      <w:r w:rsidR="00651E5A">
        <w:rPr>
          <w:rFonts w:ascii="Arial" w:hAnsi="Arial" w:cs="Arial"/>
          <w:sz w:val="22"/>
          <w:szCs w:val="22"/>
        </w:rPr>
        <w:t xml:space="preserve">companies applying to </w:t>
      </w:r>
      <w:r w:rsidR="00651E5A" w:rsidRPr="00376DE1">
        <w:rPr>
          <w:rFonts w:ascii="Arial" w:hAnsi="Arial" w:cs="Arial"/>
          <w:sz w:val="22"/>
          <w:szCs w:val="22"/>
        </w:rPr>
        <w:t xml:space="preserve">become accredited under the Scheme. </w:t>
      </w:r>
    </w:p>
    <w:p w:rsidR="00BA08FC" w:rsidRDefault="00BA08FC" w:rsidP="00BA08FC">
      <w:pPr>
        <w:rPr>
          <w:rFonts w:ascii="Arial" w:hAnsi="Arial" w:cs="Arial"/>
          <w:sz w:val="22"/>
          <w:szCs w:val="22"/>
        </w:rPr>
      </w:pPr>
    </w:p>
    <w:p w:rsidR="00BA08FC" w:rsidRDefault="00BA08FC" w:rsidP="00BA08FC">
      <w:pPr>
        <w:rPr>
          <w:rFonts w:ascii="Arial" w:hAnsi="Arial" w:cs="Arial"/>
          <w:sz w:val="22"/>
          <w:szCs w:val="22"/>
        </w:rPr>
      </w:pPr>
      <w:r w:rsidRPr="00376DE1">
        <w:rPr>
          <w:rFonts w:ascii="Arial" w:hAnsi="Arial" w:cs="Arial"/>
          <w:sz w:val="22"/>
          <w:szCs w:val="22"/>
        </w:rPr>
        <w:t>Virtually all companies need to modify some elements of their safety systems and practices in order to achieve accreditation</w:t>
      </w:r>
      <w:r>
        <w:rPr>
          <w:rFonts w:ascii="Arial" w:hAnsi="Arial" w:cs="Arial"/>
          <w:sz w:val="22"/>
          <w:szCs w:val="22"/>
        </w:rPr>
        <w:t xml:space="preserve">, </w:t>
      </w:r>
      <w:r w:rsidR="00C04B04">
        <w:rPr>
          <w:rFonts w:ascii="Arial" w:hAnsi="Arial" w:cs="Arial"/>
          <w:sz w:val="22"/>
          <w:szCs w:val="22"/>
        </w:rPr>
        <w:t>with</w:t>
      </w:r>
      <w:r>
        <w:rPr>
          <w:rFonts w:ascii="Arial" w:hAnsi="Arial" w:cs="Arial"/>
          <w:sz w:val="22"/>
          <w:szCs w:val="22"/>
        </w:rPr>
        <w:t xml:space="preserve"> an average of around 3</w:t>
      </w:r>
      <w:r w:rsidR="0076168E">
        <w:rPr>
          <w:rFonts w:ascii="Arial" w:hAnsi="Arial" w:cs="Arial"/>
          <w:sz w:val="22"/>
          <w:szCs w:val="22"/>
        </w:rPr>
        <w:t>3</w:t>
      </w:r>
      <w:r>
        <w:rPr>
          <w:rFonts w:ascii="Arial" w:hAnsi="Arial" w:cs="Arial"/>
          <w:sz w:val="22"/>
          <w:szCs w:val="22"/>
        </w:rPr>
        <w:t xml:space="preserve"> “corrective actions” </w:t>
      </w:r>
      <w:r w:rsidR="00C04B04">
        <w:rPr>
          <w:rFonts w:ascii="Arial" w:hAnsi="Arial" w:cs="Arial"/>
          <w:sz w:val="22"/>
          <w:szCs w:val="22"/>
        </w:rPr>
        <w:t xml:space="preserve">being </w:t>
      </w:r>
      <w:r>
        <w:rPr>
          <w:rFonts w:ascii="Arial" w:hAnsi="Arial" w:cs="Arial"/>
          <w:sz w:val="22"/>
          <w:szCs w:val="22"/>
        </w:rPr>
        <w:t>identified at first</w:t>
      </w:r>
      <w:r w:rsidR="00FC6078">
        <w:rPr>
          <w:rFonts w:ascii="Arial" w:hAnsi="Arial" w:cs="Arial"/>
          <w:sz w:val="22"/>
          <w:szCs w:val="22"/>
        </w:rPr>
        <w:t>-</w:t>
      </w:r>
      <w:r>
        <w:rPr>
          <w:rFonts w:ascii="Arial" w:hAnsi="Arial" w:cs="Arial"/>
          <w:sz w:val="22"/>
          <w:szCs w:val="22"/>
        </w:rPr>
        <w:t>time accreditation audits. A company takes, on average, 2.</w:t>
      </w:r>
      <w:r w:rsidR="0076168E">
        <w:rPr>
          <w:rFonts w:ascii="Arial" w:hAnsi="Arial" w:cs="Arial"/>
          <w:sz w:val="22"/>
          <w:szCs w:val="22"/>
        </w:rPr>
        <w:t>5</w:t>
      </w:r>
      <w:r>
        <w:rPr>
          <w:rFonts w:ascii="Arial" w:hAnsi="Arial" w:cs="Arial"/>
          <w:sz w:val="22"/>
          <w:szCs w:val="22"/>
        </w:rPr>
        <w:t xml:space="preserve"> site audits to demonstrate compliance with Scheme criteria. </w:t>
      </w:r>
    </w:p>
    <w:p w:rsidR="00BA08FC" w:rsidRDefault="00BA08FC" w:rsidP="00BA08FC">
      <w:pPr>
        <w:rPr>
          <w:rFonts w:ascii="Arial" w:hAnsi="Arial" w:cs="Arial"/>
          <w:sz w:val="22"/>
          <w:szCs w:val="22"/>
        </w:rPr>
      </w:pPr>
    </w:p>
    <w:p w:rsidR="00BA08FC" w:rsidRDefault="00BA08FC" w:rsidP="00BA08FC">
      <w:pPr>
        <w:rPr>
          <w:rFonts w:ascii="Arial" w:hAnsi="Arial" w:cs="Arial"/>
          <w:sz w:val="22"/>
          <w:szCs w:val="22"/>
        </w:rPr>
      </w:pPr>
      <w:r w:rsidRPr="00376DE1">
        <w:rPr>
          <w:rFonts w:ascii="Arial" w:hAnsi="Arial" w:cs="Arial"/>
          <w:sz w:val="22"/>
          <w:szCs w:val="22"/>
        </w:rPr>
        <w:t xml:space="preserve">Feedback </w:t>
      </w:r>
      <w:r>
        <w:rPr>
          <w:rFonts w:ascii="Arial" w:hAnsi="Arial" w:cs="Arial"/>
          <w:sz w:val="22"/>
          <w:szCs w:val="22"/>
        </w:rPr>
        <w:t>was sought</w:t>
      </w:r>
      <w:r w:rsidRPr="00376DE1">
        <w:rPr>
          <w:rFonts w:ascii="Arial" w:hAnsi="Arial" w:cs="Arial"/>
          <w:sz w:val="22"/>
          <w:szCs w:val="22"/>
        </w:rPr>
        <w:t xml:space="preserve"> </w:t>
      </w:r>
      <w:r w:rsidR="00B64EAB">
        <w:rPr>
          <w:rFonts w:ascii="Arial" w:hAnsi="Arial" w:cs="Arial"/>
          <w:sz w:val="22"/>
          <w:szCs w:val="22"/>
        </w:rPr>
        <w:t xml:space="preserve">through submissions and </w:t>
      </w:r>
      <w:r w:rsidR="00DB46B2">
        <w:rPr>
          <w:rFonts w:ascii="Arial" w:hAnsi="Arial" w:cs="Arial"/>
          <w:sz w:val="22"/>
          <w:szCs w:val="22"/>
        </w:rPr>
        <w:t xml:space="preserve">in </w:t>
      </w:r>
      <w:r w:rsidR="00B64EAB">
        <w:rPr>
          <w:rFonts w:ascii="Arial" w:hAnsi="Arial" w:cs="Arial"/>
          <w:sz w:val="22"/>
          <w:szCs w:val="22"/>
        </w:rPr>
        <w:t xml:space="preserve">discussions with Advisory Panel members </w:t>
      </w:r>
      <w:r w:rsidRPr="00376DE1">
        <w:rPr>
          <w:rFonts w:ascii="Arial" w:hAnsi="Arial" w:cs="Arial"/>
          <w:sz w:val="22"/>
          <w:szCs w:val="22"/>
        </w:rPr>
        <w:t xml:space="preserve">about the nature and value of costs </w:t>
      </w:r>
      <w:r w:rsidR="00FB51B7">
        <w:rPr>
          <w:rFonts w:ascii="Arial" w:hAnsi="Arial" w:cs="Arial"/>
          <w:sz w:val="22"/>
          <w:szCs w:val="22"/>
        </w:rPr>
        <w:t>associated with</w:t>
      </w:r>
      <w:r w:rsidRPr="00376DE1">
        <w:rPr>
          <w:rFonts w:ascii="Arial" w:hAnsi="Arial" w:cs="Arial"/>
          <w:sz w:val="22"/>
          <w:szCs w:val="22"/>
        </w:rPr>
        <w:t xml:space="preserve"> obtaining and retaining accreditation</w:t>
      </w:r>
      <w:r w:rsidR="00B64EAB">
        <w:rPr>
          <w:rFonts w:ascii="Arial" w:hAnsi="Arial" w:cs="Arial"/>
          <w:sz w:val="22"/>
          <w:szCs w:val="22"/>
        </w:rPr>
        <w:t>.</w:t>
      </w:r>
    </w:p>
    <w:p w:rsidR="00B64EAB" w:rsidRPr="00376DE1" w:rsidRDefault="00B64EAB" w:rsidP="00BA08FC">
      <w:pPr>
        <w:rPr>
          <w:rFonts w:ascii="Arial" w:hAnsi="Arial" w:cs="Arial"/>
          <w:sz w:val="22"/>
          <w:szCs w:val="22"/>
        </w:rPr>
      </w:pPr>
    </w:p>
    <w:p w:rsidR="00BA08FC" w:rsidRPr="00376DE1" w:rsidRDefault="00BA08FC" w:rsidP="00BA08FC">
      <w:pPr>
        <w:rPr>
          <w:rFonts w:ascii="Arial" w:hAnsi="Arial" w:cs="Arial"/>
          <w:sz w:val="22"/>
          <w:szCs w:val="22"/>
        </w:rPr>
      </w:pPr>
      <w:r>
        <w:rPr>
          <w:rFonts w:ascii="Arial" w:hAnsi="Arial" w:cs="Arial"/>
          <w:sz w:val="22"/>
          <w:szCs w:val="22"/>
        </w:rPr>
        <w:t xml:space="preserve">Submissions </w:t>
      </w:r>
      <w:r w:rsidR="00B64EAB">
        <w:rPr>
          <w:rFonts w:ascii="Arial" w:hAnsi="Arial" w:cs="Arial"/>
          <w:sz w:val="22"/>
          <w:szCs w:val="22"/>
        </w:rPr>
        <w:t>indicated</w:t>
      </w:r>
      <w:r>
        <w:rPr>
          <w:rFonts w:ascii="Arial" w:hAnsi="Arial" w:cs="Arial"/>
          <w:sz w:val="22"/>
          <w:szCs w:val="22"/>
        </w:rPr>
        <w:t xml:space="preserve"> that companies incur </w:t>
      </w:r>
      <w:r w:rsidRPr="00376DE1">
        <w:rPr>
          <w:rFonts w:ascii="Arial" w:hAnsi="Arial" w:cs="Arial"/>
          <w:sz w:val="22"/>
          <w:szCs w:val="22"/>
        </w:rPr>
        <w:t xml:space="preserve">costs in the </w:t>
      </w:r>
      <w:r w:rsidR="00B64EAB">
        <w:rPr>
          <w:rFonts w:ascii="Arial" w:hAnsi="Arial" w:cs="Arial"/>
          <w:sz w:val="22"/>
          <w:szCs w:val="22"/>
        </w:rPr>
        <w:t xml:space="preserve">initial </w:t>
      </w:r>
      <w:r w:rsidRPr="00376DE1">
        <w:rPr>
          <w:rFonts w:ascii="Arial" w:hAnsi="Arial" w:cs="Arial"/>
          <w:sz w:val="22"/>
          <w:szCs w:val="22"/>
        </w:rPr>
        <w:t>application process</w:t>
      </w:r>
      <w:r w:rsidR="00B64EAB">
        <w:rPr>
          <w:rFonts w:ascii="Arial" w:hAnsi="Arial" w:cs="Arial"/>
          <w:sz w:val="22"/>
          <w:szCs w:val="22"/>
        </w:rPr>
        <w:t xml:space="preserve">, </w:t>
      </w:r>
      <w:r w:rsidRPr="00376DE1">
        <w:rPr>
          <w:rFonts w:ascii="Arial" w:hAnsi="Arial" w:cs="Arial"/>
          <w:sz w:val="22"/>
          <w:szCs w:val="22"/>
        </w:rPr>
        <w:t xml:space="preserve">in </w:t>
      </w:r>
      <w:r w:rsidR="00B64EAB">
        <w:rPr>
          <w:rFonts w:ascii="Arial" w:hAnsi="Arial" w:cs="Arial"/>
          <w:sz w:val="22"/>
          <w:szCs w:val="22"/>
        </w:rPr>
        <w:t xml:space="preserve">developing safety systems and practices in order to </w:t>
      </w:r>
      <w:r w:rsidRPr="00376DE1">
        <w:rPr>
          <w:rFonts w:ascii="Arial" w:hAnsi="Arial" w:cs="Arial"/>
          <w:sz w:val="22"/>
          <w:szCs w:val="22"/>
        </w:rPr>
        <w:t>meet</w:t>
      </w:r>
      <w:r w:rsidR="00B64EAB">
        <w:rPr>
          <w:rFonts w:ascii="Arial" w:hAnsi="Arial" w:cs="Arial"/>
          <w:sz w:val="22"/>
          <w:szCs w:val="22"/>
        </w:rPr>
        <w:t xml:space="preserve"> </w:t>
      </w:r>
      <w:r w:rsidRPr="00376DE1">
        <w:rPr>
          <w:rFonts w:ascii="Arial" w:hAnsi="Arial" w:cs="Arial"/>
          <w:sz w:val="22"/>
          <w:szCs w:val="22"/>
        </w:rPr>
        <w:t>the criteria</w:t>
      </w:r>
      <w:r w:rsidR="00B64EAB">
        <w:rPr>
          <w:rFonts w:ascii="Arial" w:hAnsi="Arial" w:cs="Arial"/>
          <w:sz w:val="22"/>
          <w:szCs w:val="22"/>
        </w:rPr>
        <w:t xml:space="preserve">, and in the </w:t>
      </w:r>
      <w:r w:rsidR="008F3909">
        <w:rPr>
          <w:rFonts w:ascii="Arial" w:hAnsi="Arial" w:cs="Arial"/>
          <w:sz w:val="22"/>
          <w:szCs w:val="22"/>
        </w:rPr>
        <w:t>reaccreditation</w:t>
      </w:r>
      <w:r w:rsidR="00B64EAB">
        <w:rPr>
          <w:rFonts w:ascii="Arial" w:hAnsi="Arial" w:cs="Arial"/>
          <w:sz w:val="22"/>
          <w:szCs w:val="22"/>
        </w:rPr>
        <w:t xml:space="preserve"> and ongoing compliance requirements. </w:t>
      </w:r>
      <w:r w:rsidR="00CB58A3">
        <w:rPr>
          <w:rFonts w:ascii="Arial" w:hAnsi="Arial" w:cs="Arial"/>
          <w:sz w:val="22"/>
          <w:szCs w:val="22"/>
        </w:rPr>
        <w:t>R</w:t>
      </w:r>
      <w:r>
        <w:rPr>
          <w:rFonts w:ascii="Arial" w:hAnsi="Arial" w:cs="Arial"/>
          <w:sz w:val="22"/>
          <w:szCs w:val="22"/>
        </w:rPr>
        <w:t xml:space="preserve">espondents cited costs associated with </w:t>
      </w:r>
      <w:r w:rsidRPr="00024016">
        <w:rPr>
          <w:rFonts w:ascii="Arial" w:hAnsi="Arial" w:cs="Arial"/>
          <w:sz w:val="22"/>
          <w:szCs w:val="22"/>
        </w:rPr>
        <w:t xml:space="preserve">paperwork, time and resources to prepare and attend audits, engaging </w:t>
      </w:r>
      <w:r>
        <w:rPr>
          <w:rFonts w:ascii="Arial" w:hAnsi="Arial" w:cs="Arial"/>
          <w:sz w:val="22"/>
          <w:szCs w:val="22"/>
        </w:rPr>
        <w:t>W</w:t>
      </w:r>
      <w:r w:rsidRPr="00024016">
        <w:rPr>
          <w:rFonts w:ascii="Arial" w:hAnsi="Arial" w:cs="Arial"/>
          <w:sz w:val="22"/>
          <w:szCs w:val="22"/>
        </w:rPr>
        <w:t>HS personnel</w:t>
      </w:r>
      <w:r>
        <w:rPr>
          <w:rFonts w:ascii="Arial" w:hAnsi="Arial" w:cs="Arial"/>
          <w:sz w:val="22"/>
          <w:szCs w:val="22"/>
        </w:rPr>
        <w:t xml:space="preserve"> to assist with system development and implementation</w:t>
      </w:r>
      <w:r w:rsidRPr="00024016">
        <w:rPr>
          <w:rFonts w:ascii="Arial" w:hAnsi="Arial" w:cs="Arial"/>
          <w:sz w:val="22"/>
          <w:szCs w:val="22"/>
        </w:rPr>
        <w:t>, reporting requirements and gaining certification to AS/NZS</w:t>
      </w:r>
      <w:r>
        <w:rPr>
          <w:rFonts w:ascii="Arial" w:hAnsi="Arial" w:cs="Arial"/>
          <w:sz w:val="22"/>
          <w:szCs w:val="22"/>
        </w:rPr>
        <w:t> </w:t>
      </w:r>
      <w:r w:rsidRPr="00024016">
        <w:rPr>
          <w:rFonts w:ascii="Arial" w:hAnsi="Arial" w:cs="Arial"/>
          <w:sz w:val="22"/>
          <w:szCs w:val="22"/>
        </w:rPr>
        <w:t>4801</w:t>
      </w:r>
      <w:r>
        <w:rPr>
          <w:rFonts w:ascii="Arial" w:hAnsi="Arial" w:cs="Arial"/>
          <w:sz w:val="22"/>
          <w:szCs w:val="22"/>
        </w:rPr>
        <w:t>:2001 as the main costs associated with achieving accreditation</w:t>
      </w:r>
      <w:r w:rsidRPr="00024016">
        <w:rPr>
          <w:rFonts w:ascii="Arial" w:hAnsi="Arial" w:cs="Arial"/>
          <w:sz w:val="22"/>
          <w:szCs w:val="22"/>
        </w:rPr>
        <w:t>.</w:t>
      </w:r>
    </w:p>
    <w:p w:rsidR="00BA08FC" w:rsidRPr="00376DE1" w:rsidRDefault="00BA08FC" w:rsidP="00BA08FC">
      <w:pPr>
        <w:rPr>
          <w:rFonts w:ascii="Arial" w:hAnsi="Arial" w:cs="Arial"/>
          <w:sz w:val="22"/>
          <w:szCs w:val="22"/>
        </w:rPr>
      </w:pPr>
    </w:p>
    <w:p w:rsidR="007C58D2" w:rsidRDefault="00BA08FC" w:rsidP="00BA08FC">
      <w:pPr>
        <w:rPr>
          <w:rFonts w:ascii="Arial" w:hAnsi="Arial" w:cs="Arial"/>
          <w:sz w:val="22"/>
          <w:szCs w:val="22"/>
        </w:rPr>
      </w:pPr>
      <w:r w:rsidRPr="00376DE1">
        <w:rPr>
          <w:rFonts w:ascii="Arial" w:hAnsi="Arial" w:cs="Arial"/>
          <w:sz w:val="22"/>
          <w:szCs w:val="22"/>
        </w:rPr>
        <w:t>The costs of achieving and maintaining accreditation var</w:t>
      </w:r>
      <w:r w:rsidR="001D07CC">
        <w:rPr>
          <w:rFonts w:ascii="Arial" w:hAnsi="Arial" w:cs="Arial"/>
          <w:sz w:val="22"/>
          <w:szCs w:val="22"/>
        </w:rPr>
        <w:t>y</w:t>
      </w:r>
      <w:r w:rsidRPr="00376DE1">
        <w:rPr>
          <w:rFonts w:ascii="Arial" w:hAnsi="Arial" w:cs="Arial"/>
          <w:sz w:val="22"/>
          <w:szCs w:val="22"/>
        </w:rPr>
        <w:t xml:space="preserve"> widely from company to company and depend on a range of factors including the size of the organisation, the safety culture and th</w:t>
      </w:r>
      <w:r>
        <w:rPr>
          <w:rFonts w:ascii="Arial" w:hAnsi="Arial" w:cs="Arial"/>
          <w:sz w:val="22"/>
          <w:szCs w:val="22"/>
        </w:rPr>
        <w:t xml:space="preserve">e quality of existing systems. </w:t>
      </w:r>
      <w:r w:rsidRPr="00B44A42">
        <w:rPr>
          <w:rFonts w:ascii="Arial" w:hAnsi="Arial" w:cs="Arial"/>
          <w:sz w:val="22"/>
          <w:szCs w:val="22"/>
        </w:rPr>
        <w:t xml:space="preserve">Table </w:t>
      </w:r>
      <w:r w:rsidR="000D5DED" w:rsidRPr="00B44A42">
        <w:rPr>
          <w:rFonts w:ascii="Arial" w:hAnsi="Arial" w:cs="Arial"/>
          <w:sz w:val="22"/>
          <w:szCs w:val="22"/>
        </w:rPr>
        <w:t xml:space="preserve">2 </w:t>
      </w:r>
      <w:r w:rsidR="00E1610E" w:rsidRPr="00B44A42">
        <w:rPr>
          <w:rFonts w:ascii="Arial" w:hAnsi="Arial" w:cs="Arial"/>
          <w:sz w:val="22"/>
          <w:szCs w:val="22"/>
        </w:rPr>
        <w:t>(</w:t>
      </w:r>
      <w:r w:rsidRPr="00B44A42">
        <w:rPr>
          <w:rFonts w:ascii="Arial" w:hAnsi="Arial" w:cs="Arial"/>
          <w:sz w:val="22"/>
          <w:szCs w:val="22"/>
        </w:rPr>
        <w:t>below</w:t>
      </w:r>
      <w:r w:rsidR="00E1610E">
        <w:rPr>
          <w:rFonts w:ascii="Arial" w:hAnsi="Arial" w:cs="Arial"/>
          <w:sz w:val="22"/>
          <w:szCs w:val="22"/>
        </w:rPr>
        <w:t>)</w:t>
      </w:r>
      <w:r>
        <w:rPr>
          <w:rFonts w:ascii="Arial" w:hAnsi="Arial" w:cs="Arial"/>
          <w:sz w:val="22"/>
          <w:szCs w:val="22"/>
        </w:rPr>
        <w:t xml:space="preserve"> shows the responses to the Survey question that asked accredited companies to </w:t>
      </w:r>
      <w:r w:rsidRPr="00E12AB9">
        <w:rPr>
          <w:rFonts w:ascii="Arial" w:hAnsi="Arial" w:cs="Arial"/>
          <w:sz w:val="22"/>
          <w:szCs w:val="22"/>
        </w:rPr>
        <w:t>estimate the</w:t>
      </w:r>
      <w:r w:rsidR="00783C41">
        <w:rPr>
          <w:rFonts w:ascii="Arial" w:hAnsi="Arial" w:cs="Arial"/>
          <w:sz w:val="22"/>
          <w:szCs w:val="22"/>
        </w:rPr>
        <w:t>ir</w:t>
      </w:r>
      <w:r w:rsidRPr="00E12AB9">
        <w:rPr>
          <w:rFonts w:ascii="Arial" w:hAnsi="Arial" w:cs="Arial"/>
          <w:sz w:val="22"/>
          <w:szCs w:val="22"/>
        </w:rPr>
        <w:t xml:space="preserve"> </w:t>
      </w:r>
      <w:r w:rsidR="00783C41">
        <w:rPr>
          <w:rFonts w:ascii="Arial" w:hAnsi="Arial" w:cs="Arial"/>
          <w:sz w:val="22"/>
          <w:szCs w:val="22"/>
        </w:rPr>
        <w:t>“</w:t>
      </w:r>
      <w:r w:rsidRPr="00E12AB9">
        <w:rPr>
          <w:rFonts w:ascii="Arial" w:hAnsi="Arial" w:cs="Arial"/>
          <w:sz w:val="22"/>
          <w:szCs w:val="22"/>
        </w:rPr>
        <w:t>net additional cost</w:t>
      </w:r>
      <w:r w:rsidR="001D07CC">
        <w:rPr>
          <w:rFonts w:ascii="Arial" w:hAnsi="Arial" w:cs="Arial"/>
          <w:sz w:val="22"/>
          <w:szCs w:val="22"/>
        </w:rPr>
        <w:t>s</w:t>
      </w:r>
      <w:r w:rsidR="00783C41">
        <w:rPr>
          <w:rFonts w:ascii="Arial" w:hAnsi="Arial" w:cs="Arial"/>
          <w:sz w:val="22"/>
          <w:szCs w:val="22"/>
        </w:rPr>
        <w:t>”</w:t>
      </w:r>
      <w:r>
        <w:rPr>
          <w:rFonts w:ascii="Arial" w:hAnsi="Arial" w:cs="Arial"/>
          <w:sz w:val="22"/>
          <w:szCs w:val="22"/>
        </w:rPr>
        <w:t xml:space="preserve">. Companies were asked </w:t>
      </w:r>
      <w:r w:rsidR="00CB58A3">
        <w:rPr>
          <w:rFonts w:ascii="Arial" w:hAnsi="Arial" w:cs="Arial"/>
          <w:sz w:val="22"/>
          <w:szCs w:val="22"/>
        </w:rPr>
        <w:t xml:space="preserve">not </w:t>
      </w:r>
      <w:r>
        <w:rPr>
          <w:rFonts w:ascii="Arial" w:hAnsi="Arial" w:cs="Arial"/>
          <w:sz w:val="22"/>
          <w:szCs w:val="22"/>
        </w:rPr>
        <w:t xml:space="preserve">to include costs </w:t>
      </w:r>
      <w:r w:rsidRPr="00E12AB9">
        <w:rPr>
          <w:rFonts w:ascii="Arial" w:hAnsi="Arial" w:cs="Arial"/>
          <w:sz w:val="22"/>
          <w:szCs w:val="22"/>
        </w:rPr>
        <w:t xml:space="preserve">that would have been required to meet insurer, or state/territory legislative requirements, </w:t>
      </w:r>
      <w:r w:rsidR="00783C41">
        <w:rPr>
          <w:rFonts w:ascii="Arial" w:hAnsi="Arial" w:cs="Arial"/>
          <w:sz w:val="22"/>
          <w:szCs w:val="22"/>
        </w:rPr>
        <w:t>f</w:t>
      </w:r>
      <w:r w:rsidRPr="00E12AB9">
        <w:rPr>
          <w:rFonts w:ascii="Arial" w:hAnsi="Arial" w:cs="Arial"/>
          <w:sz w:val="22"/>
          <w:szCs w:val="22"/>
        </w:rPr>
        <w:t>or</w:t>
      </w:r>
      <w:r w:rsidR="00783C41">
        <w:rPr>
          <w:rFonts w:ascii="Arial" w:hAnsi="Arial" w:cs="Arial"/>
          <w:sz w:val="22"/>
          <w:szCs w:val="22"/>
        </w:rPr>
        <w:t xml:space="preserve"> </w:t>
      </w:r>
      <w:r w:rsidRPr="00E12AB9">
        <w:rPr>
          <w:rFonts w:ascii="Arial" w:hAnsi="Arial" w:cs="Arial"/>
          <w:sz w:val="22"/>
          <w:szCs w:val="22"/>
        </w:rPr>
        <w:t xml:space="preserve">pre-existing </w:t>
      </w:r>
      <w:r w:rsidR="001D07CC">
        <w:rPr>
          <w:rFonts w:ascii="Arial" w:hAnsi="Arial" w:cs="Arial"/>
          <w:sz w:val="22"/>
          <w:szCs w:val="22"/>
        </w:rPr>
        <w:t xml:space="preserve">safety systems </w:t>
      </w:r>
      <w:r w:rsidRPr="00E12AB9">
        <w:rPr>
          <w:rFonts w:ascii="Arial" w:hAnsi="Arial" w:cs="Arial"/>
          <w:sz w:val="22"/>
          <w:szCs w:val="22"/>
        </w:rPr>
        <w:t xml:space="preserve">and other </w:t>
      </w:r>
      <w:r w:rsidR="001D07CC">
        <w:rPr>
          <w:rFonts w:ascii="Arial" w:hAnsi="Arial" w:cs="Arial"/>
          <w:sz w:val="22"/>
          <w:szCs w:val="22"/>
        </w:rPr>
        <w:t xml:space="preserve">existing </w:t>
      </w:r>
      <w:r w:rsidRPr="00E12AB9">
        <w:rPr>
          <w:rFonts w:ascii="Arial" w:hAnsi="Arial" w:cs="Arial"/>
          <w:sz w:val="22"/>
          <w:szCs w:val="22"/>
        </w:rPr>
        <w:t>safety</w:t>
      </w:r>
      <w:r w:rsidR="001D07CC">
        <w:rPr>
          <w:rFonts w:ascii="Arial" w:hAnsi="Arial" w:cs="Arial"/>
          <w:sz w:val="22"/>
          <w:szCs w:val="22"/>
        </w:rPr>
        <w:t>-</w:t>
      </w:r>
      <w:r w:rsidRPr="00E12AB9">
        <w:rPr>
          <w:rFonts w:ascii="Arial" w:hAnsi="Arial" w:cs="Arial"/>
          <w:sz w:val="22"/>
          <w:szCs w:val="22"/>
        </w:rPr>
        <w:t>related staffing</w:t>
      </w:r>
      <w:r>
        <w:rPr>
          <w:rFonts w:ascii="Arial" w:hAnsi="Arial" w:cs="Arial"/>
          <w:sz w:val="22"/>
          <w:szCs w:val="22"/>
        </w:rPr>
        <w:t>.</w:t>
      </w:r>
      <w:r w:rsidR="007C58D2">
        <w:rPr>
          <w:rFonts w:ascii="Arial" w:hAnsi="Arial" w:cs="Arial"/>
          <w:sz w:val="22"/>
          <w:szCs w:val="22"/>
        </w:rPr>
        <w:t xml:space="preserve"> </w:t>
      </w:r>
    </w:p>
    <w:p w:rsidR="007C58D2" w:rsidRDefault="007C58D2" w:rsidP="00BA08FC">
      <w:pPr>
        <w:rPr>
          <w:rFonts w:ascii="Arial" w:hAnsi="Arial" w:cs="Arial"/>
          <w:sz w:val="22"/>
          <w:szCs w:val="22"/>
        </w:rPr>
      </w:pPr>
    </w:p>
    <w:p w:rsidR="001634CF" w:rsidRDefault="000F0A2A" w:rsidP="000F0A2A">
      <w:pPr>
        <w:rPr>
          <w:rFonts w:ascii="Arial" w:hAnsi="Arial" w:cs="Arial"/>
          <w:b/>
          <w:sz w:val="22"/>
          <w:szCs w:val="22"/>
        </w:rPr>
      </w:pPr>
      <w:r w:rsidRPr="00DB46B2">
        <w:rPr>
          <w:rFonts w:ascii="Arial" w:hAnsi="Arial" w:cs="Arial"/>
          <w:b/>
          <w:sz w:val="22"/>
          <w:szCs w:val="22"/>
        </w:rPr>
        <w:t xml:space="preserve">Table </w:t>
      </w:r>
      <w:r w:rsidR="001634CF" w:rsidRPr="00DB46B2">
        <w:rPr>
          <w:rFonts w:ascii="Arial" w:hAnsi="Arial" w:cs="Arial"/>
          <w:b/>
          <w:sz w:val="22"/>
          <w:szCs w:val="22"/>
        </w:rPr>
        <w:t>2</w:t>
      </w:r>
      <w:r w:rsidRPr="00DB46B2">
        <w:rPr>
          <w:rFonts w:ascii="Arial" w:hAnsi="Arial" w:cs="Arial"/>
          <w:b/>
          <w:sz w:val="22"/>
          <w:szCs w:val="22"/>
        </w:rPr>
        <w:t>:</w:t>
      </w:r>
      <w:r w:rsidR="001634CF" w:rsidRPr="00DB46B2">
        <w:rPr>
          <w:rFonts w:ascii="Arial" w:hAnsi="Arial" w:cs="Arial"/>
          <w:b/>
          <w:sz w:val="22"/>
          <w:szCs w:val="22"/>
        </w:rPr>
        <w:t xml:space="preserve"> Costs of Accreditation</w:t>
      </w:r>
    </w:p>
    <w:p w:rsidR="00C938A8" w:rsidRDefault="00C938A8" w:rsidP="000F0A2A">
      <w:pPr>
        <w:rPr>
          <w:rFonts w:ascii="Arial" w:hAnsi="Arial" w:cs="Arial"/>
          <w:b/>
          <w:sz w:val="22"/>
          <w:szCs w:val="22"/>
        </w:rPr>
      </w:pPr>
    </w:p>
    <w:p w:rsidR="000F0A2A" w:rsidRDefault="000F0A2A" w:rsidP="000F0A2A">
      <w:pPr>
        <w:rPr>
          <w:rFonts w:ascii="Arial" w:hAnsi="Arial" w:cs="Arial"/>
          <w:sz w:val="22"/>
          <w:szCs w:val="22"/>
        </w:rPr>
      </w:pPr>
      <w:r>
        <w:rPr>
          <w:noProof/>
        </w:rPr>
        <w:drawing>
          <wp:inline distT="0" distB="0" distL="0" distR="0" wp14:anchorId="58FD6BCD" wp14:editId="0D1D8BFD">
            <wp:extent cx="5848350" cy="3457575"/>
            <wp:effectExtent l="0" t="0" r="19050" b="9525"/>
            <wp:docPr id="6" name="Chart 6" descr="Bar graph depicting the self-assessed cost of achieving and maintaining accreditation. &#10;The blue bar represents the cost for achieving accreditation and the red bar represents the cost for maintaining accreditation (cost p.a).&#10;The y axis represents the dollar amount and x axis the size, construction type and length of accreditation of companies.&#10;- one to 19 employees: Blue bar $75,500, red bar $38,462&#10;- 20 to 199 employees: Blue bar $131,420, red bar $57,979&#10;- 200+ employees: Blue bar $85,294, red bar $30,860&#10;- Civil construction: Blue bar $97,724, red bar $33,639 &#10;- Commercial construction: Blue bar $115,708, red bar $54,303 &#10;- Residential construction: Blue bar $129,400, red bar $51,921 &#10;- Accredited for less than three years: Blue bar $129,275, red bar $57,611&#10;- Accredited for three to five years: Blue bar $95,333, red bar $43,478&#10;- Accredited more than five years: Blue bar $82,080, red bar $24,250&#10;- All respondents: Blue bar $111,290, red bar $48,278&#10;" title="Costs of Accreditation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F0A2A" w:rsidRDefault="000F0A2A" w:rsidP="00BA08FC">
      <w:pPr>
        <w:rPr>
          <w:rFonts w:ascii="Arial" w:hAnsi="Arial" w:cs="Arial"/>
          <w:sz w:val="22"/>
          <w:szCs w:val="22"/>
        </w:rPr>
      </w:pPr>
    </w:p>
    <w:p w:rsidR="00DB46B2" w:rsidRDefault="007C58D2" w:rsidP="00BA08FC">
      <w:pPr>
        <w:rPr>
          <w:rFonts w:ascii="Arial" w:hAnsi="Arial" w:cs="Arial"/>
          <w:sz w:val="22"/>
          <w:szCs w:val="22"/>
        </w:rPr>
      </w:pPr>
      <w:r>
        <w:rPr>
          <w:rFonts w:ascii="Arial" w:hAnsi="Arial" w:cs="Arial"/>
          <w:sz w:val="22"/>
          <w:szCs w:val="22"/>
        </w:rPr>
        <w:t xml:space="preserve">The extent </w:t>
      </w:r>
      <w:r w:rsidR="00FC5E95">
        <w:rPr>
          <w:rFonts w:ascii="Arial" w:hAnsi="Arial" w:cs="Arial"/>
          <w:sz w:val="22"/>
          <w:szCs w:val="22"/>
        </w:rPr>
        <w:t xml:space="preserve">and </w:t>
      </w:r>
      <w:r>
        <w:rPr>
          <w:rFonts w:ascii="Arial" w:hAnsi="Arial" w:cs="Arial"/>
          <w:sz w:val="22"/>
          <w:szCs w:val="22"/>
        </w:rPr>
        <w:t xml:space="preserve">consistency with which </w:t>
      </w:r>
      <w:r w:rsidR="001634CF">
        <w:rPr>
          <w:rFonts w:ascii="Arial" w:hAnsi="Arial" w:cs="Arial"/>
          <w:sz w:val="22"/>
          <w:szCs w:val="22"/>
        </w:rPr>
        <w:t xml:space="preserve">Survey </w:t>
      </w:r>
      <w:r>
        <w:rPr>
          <w:rFonts w:ascii="Arial" w:hAnsi="Arial" w:cs="Arial"/>
          <w:sz w:val="22"/>
          <w:szCs w:val="22"/>
        </w:rPr>
        <w:t xml:space="preserve">respondents isolated the net additional costs attributable to the Scheme cannot be verified and hence the results should not be construed as necessarily accurate in a financial sense. </w:t>
      </w:r>
    </w:p>
    <w:p w:rsidR="00DB46B2" w:rsidRDefault="00DB46B2" w:rsidP="00BA08FC">
      <w:pPr>
        <w:rPr>
          <w:rFonts w:ascii="Arial" w:hAnsi="Arial" w:cs="Arial"/>
          <w:sz w:val="22"/>
          <w:szCs w:val="22"/>
        </w:rPr>
      </w:pPr>
    </w:p>
    <w:p w:rsidR="00BA08FC" w:rsidRDefault="007C58D2" w:rsidP="00BA08FC">
      <w:pPr>
        <w:rPr>
          <w:rFonts w:ascii="Arial" w:hAnsi="Arial" w:cs="Arial"/>
          <w:sz w:val="22"/>
          <w:szCs w:val="22"/>
        </w:rPr>
      </w:pPr>
      <w:r>
        <w:rPr>
          <w:rFonts w:ascii="Arial" w:hAnsi="Arial" w:cs="Arial"/>
          <w:sz w:val="22"/>
          <w:szCs w:val="22"/>
        </w:rPr>
        <w:t>However, compan</w:t>
      </w:r>
      <w:r w:rsidR="00CB58A3">
        <w:rPr>
          <w:rFonts w:ascii="Arial" w:hAnsi="Arial" w:cs="Arial"/>
          <w:sz w:val="22"/>
          <w:szCs w:val="22"/>
        </w:rPr>
        <w:t>ies’</w:t>
      </w:r>
      <w:r>
        <w:rPr>
          <w:rFonts w:ascii="Arial" w:hAnsi="Arial" w:cs="Arial"/>
          <w:sz w:val="22"/>
          <w:szCs w:val="22"/>
        </w:rPr>
        <w:t xml:space="preserve"> self-assessment</w:t>
      </w:r>
      <w:r w:rsidR="0039590B">
        <w:rPr>
          <w:rFonts w:ascii="Arial" w:hAnsi="Arial" w:cs="Arial"/>
          <w:sz w:val="22"/>
          <w:szCs w:val="22"/>
        </w:rPr>
        <w:t>s</w:t>
      </w:r>
      <w:r>
        <w:rPr>
          <w:rFonts w:ascii="Arial" w:hAnsi="Arial" w:cs="Arial"/>
          <w:sz w:val="22"/>
          <w:szCs w:val="22"/>
        </w:rPr>
        <w:t xml:space="preserve"> of the costs and, more particularly, </w:t>
      </w:r>
      <w:r w:rsidR="00CB58A3">
        <w:rPr>
          <w:rFonts w:ascii="Arial" w:hAnsi="Arial" w:cs="Arial"/>
          <w:sz w:val="22"/>
          <w:szCs w:val="22"/>
        </w:rPr>
        <w:t xml:space="preserve">of </w:t>
      </w:r>
      <w:r>
        <w:rPr>
          <w:rFonts w:ascii="Arial" w:hAnsi="Arial" w:cs="Arial"/>
          <w:sz w:val="22"/>
          <w:szCs w:val="22"/>
        </w:rPr>
        <w:t>overall value</w:t>
      </w:r>
      <w:r w:rsidR="00CB58A3">
        <w:rPr>
          <w:rFonts w:ascii="Arial" w:hAnsi="Arial" w:cs="Arial"/>
          <w:sz w:val="22"/>
          <w:szCs w:val="22"/>
        </w:rPr>
        <w:t>-</w:t>
      </w:r>
      <w:r>
        <w:rPr>
          <w:rFonts w:ascii="Arial" w:hAnsi="Arial" w:cs="Arial"/>
          <w:sz w:val="22"/>
          <w:szCs w:val="22"/>
        </w:rPr>
        <w:t>for</w:t>
      </w:r>
      <w:r w:rsidR="00CB58A3">
        <w:rPr>
          <w:rFonts w:ascii="Arial" w:hAnsi="Arial" w:cs="Arial"/>
          <w:sz w:val="22"/>
          <w:szCs w:val="22"/>
        </w:rPr>
        <w:t>-</w:t>
      </w:r>
      <w:r>
        <w:rPr>
          <w:rFonts w:ascii="Arial" w:hAnsi="Arial" w:cs="Arial"/>
          <w:sz w:val="22"/>
          <w:szCs w:val="22"/>
        </w:rPr>
        <w:t xml:space="preserve">money </w:t>
      </w:r>
      <w:r w:rsidR="000D5DED">
        <w:rPr>
          <w:rFonts w:ascii="Arial" w:hAnsi="Arial" w:cs="Arial"/>
          <w:sz w:val="22"/>
          <w:szCs w:val="22"/>
        </w:rPr>
        <w:t xml:space="preserve">underline a need for </w:t>
      </w:r>
      <w:r>
        <w:rPr>
          <w:rFonts w:ascii="Arial" w:hAnsi="Arial" w:cs="Arial"/>
          <w:sz w:val="22"/>
          <w:szCs w:val="22"/>
        </w:rPr>
        <w:t>reduc</w:t>
      </w:r>
      <w:r w:rsidR="00DB46B2">
        <w:rPr>
          <w:rFonts w:ascii="Arial" w:hAnsi="Arial" w:cs="Arial"/>
          <w:sz w:val="22"/>
          <w:szCs w:val="22"/>
        </w:rPr>
        <w:t>ing</w:t>
      </w:r>
      <w:r>
        <w:rPr>
          <w:rFonts w:ascii="Arial" w:hAnsi="Arial" w:cs="Arial"/>
          <w:sz w:val="22"/>
          <w:szCs w:val="22"/>
        </w:rPr>
        <w:t xml:space="preserve"> costs and barriers</w:t>
      </w:r>
      <w:r w:rsidR="00FC5E95">
        <w:rPr>
          <w:rFonts w:ascii="Arial" w:hAnsi="Arial" w:cs="Arial"/>
          <w:sz w:val="22"/>
          <w:szCs w:val="22"/>
        </w:rPr>
        <w:t xml:space="preserve">, and </w:t>
      </w:r>
      <w:r w:rsidR="000D5DED">
        <w:rPr>
          <w:rFonts w:ascii="Arial" w:hAnsi="Arial" w:cs="Arial"/>
          <w:sz w:val="22"/>
          <w:szCs w:val="22"/>
        </w:rPr>
        <w:t xml:space="preserve">for </w:t>
      </w:r>
      <w:r w:rsidR="00FC5E95">
        <w:rPr>
          <w:rFonts w:ascii="Arial" w:hAnsi="Arial" w:cs="Arial"/>
          <w:sz w:val="22"/>
          <w:szCs w:val="22"/>
        </w:rPr>
        <w:t>improv</w:t>
      </w:r>
      <w:r w:rsidR="00DB46B2">
        <w:rPr>
          <w:rFonts w:ascii="Arial" w:hAnsi="Arial" w:cs="Arial"/>
          <w:sz w:val="22"/>
          <w:szCs w:val="22"/>
        </w:rPr>
        <w:t>ing</w:t>
      </w:r>
      <w:r w:rsidR="00FC5E95">
        <w:rPr>
          <w:rFonts w:ascii="Arial" w:hAnsi="Arial" w:cs="Arial"/>
          <w:sz w:val="22"/>
          <w:szCs w:val="22"/>
        </w:rPr>
        <w:t xml:space="preserve"> communication about the benefits</w:t>
      </w:r>
      <w:r>
        <w:rPr>
          <w:rFonts w:ascii="Arial" w:hAnsi="Arial" w:cs="Arial"/>
          <w:sz w:val="22"/>
          <w:szCs w:val="22"/>
        </w:rPr>
        <w:t>.</w:t>
      </w:r>
    </w:p>
    <w:p w:rsidR="00BA08FC" w:rsidRDefault="00BA08FC" w:rsidP="00BA08FC">
      <w:pPr>
        <w:rPr>
          <w:rFonts w:ascii="Arial" w:hAnsi="Arial" w:cs="Arial"/>
          <w:sz w:val="22"/>
          <w:szCs w:val="22"/>
        </w:rPr>
      </w:pPr>
    </w:p>
    <w:p w:rsidR="00FC5E95" w:rsidRDefault="00FC5E95" w:rsidP="00FC5E95">
      <w:pPr>
        <w:rPr>
          <w:rFonts w:ascii="Arial" w:hAnsi="Arial" w:cs="Arial"/>
          <w:sz w:val="22"/>
          <w:szCs w:val="22"/>
        </w:rPr>
      </w:pPr>
      <w:r>
        <w:rPr>
          <w:rFonts w:ascii="Arial" w:hAnsi="Arial" w:cs="Arial"/>
          <w:sz w:val="22"/>
          <w:szCs w:val="22"/>
        </w:rPr>
        <w:t>Companies estimated the costs of participating in the Scheme as follows:</w:t>
      </w:r>
    </w:p>
    <w:p w:rsidR="00FC5E95" w:rsidRDefault="00FC5E95" w:rsidP="00FC5E95">
      <w:pPr>
        <w:rPr>
          <w:rFonts w:ascii="Arial" w:hAnsi="Arial" w:cs="Arial"/>
          <w:sz w:val="22"/>
          <w:szCs w:val="22"/>
        </w:rPr>
      </w:pPr>
    </w:p>
    <w:p w:rsidR="00FC5E95" w:rsidRPr="00FC5E95" w:rsidRDefault="00FC5E95" w:rsidP="008C1B31">
      <w:pPr>
        <w:pStyle w:val="ListParagraph"/>
        <w:numPr>
          <w:ilvl w:val="0"/>
          <w:numId w:val="9"/>
        </w:numPr>
        <w:spacing w:line="240" w:lineRule="auto"/>
        <w:ind w:left="363" w:hanging="284"/>
        <w:rPr>
          <w:rFonts w:ascii="Arial" w:hAnsi="Arial" w:cs="Arial"/>
        </w:rPr>
      </w:pPr>
      <w:r w:rsidRPr="00DC1084">
        <w:rPr>
          <w:rFonts w:ascii="Arial" w:hAnsi="Arial" w:cs="Arial"/>
        </w:rPr>
        <w:t xml:space="preserve">Small companies </w:t>
      </w:r>
      <w:r w:rsidRPr="00FC5E95">
        <w:rPr>
          <w:rFonts w:ascii="Arial" w:hAnsi="Arial" w:cs="Arial"/>
        </w:rPr>
        <w:t>(1-19 employees</w:t>
      </w:r>
      <w:r w:rsidR="00DC1084">
        <w:rPr>
          <w:rFonts w:ascii="Arial" w:hAnsi="Arial" w:cs="Arial"/>
        </w:rPr>
        <w:t xml:space="preserve">, </w:t>
      </w:r>
      <w:r w:rsidR="00DC1084" w:rsidRPr="00DC1084">
        <w:rPr>
          <w:rFonts w:ascii="Arial" w:hAnsi="Arial" w:cs="Arial"/>
        </w:rPr>
        <w:t>14.3 per cent of respondents</w:t>
      </w:r>
      <w:r w:rsidRPr="00DC1084">
        <w:rPr>
          <w:rFonts w:ascii="Arial" w:hAnsi="Arial" w:cs="Arial"/>
        </w:rPr>
        <w:t xml:space="preserve">) estimated </w:t>
      </w:r>
      <w:r w:rsidRPr="00FC5E95">
        <w:rPr>
          <w:rFonts w:ascii="Arial" w:hAnsi="Arial" w:cs="Arial"/>
        </w:rPr>
        <w:t xml:space="preserve">their costs of gaining accreditation at around </w:t>
      </w:r>
      <w:r w:rsidR="00DB46B2" w:rsidRPr="00FC5E95">
        <w:rPr>
          <w:rFonts w:ascii="Arial" w:hAnsi="Arial" w:cs="Arial"/>
        </w:rPr>
        <w:t xml:space="preserve">$75,000 </w:t>
      </w:r>
      <w:r w:rsidRPr="00FC5E95">
        <w:rPr>
          <w:rFonts w:ascii="Arial" w:hAnsi="Arial" w:cs="Arial"/>
        </w:rPr>
        <w:t>(</w:t>
      </w:r>
      <w:r w:rsidR="00DB46B2">
        <w:rPr>
          <w:rFonts w:ascii="Arial" w:hAnsi="Arial" w:cs="Arial"/>
        </w:rPr>
        <w:t>W</w:t>
      </w:r>
      <w:r w:rsidR="00DB46B2" w:rsidRPr="00FC5E95">
        <w:rPr>
          <w:rFonts w:ascii="Arial" w:hAnsi="Arial" w:cs="Arial"/>
        </w:rPr>
        <w:t>insorised mean</w:t>
      </w:r>
      <w:r w:rsidR="00C938A8">
        <w:rPr>
          <w:rStyle w:val="FootnoteReference"/>
          <w:rFonts w:ascii="Arial" w:hAnsi="Arial" w:cs="Arial"/>
        </w:rPr>
        <w:footnoteReference w:id="3"/>
      </w:r>
      <w:r w:rsidR="00DB46B2" w:rsidRPr="00FC5E95">
        <w:rPr>
          <w:rFonts w:ascii="Arial" w:hAnsi="Arial" w:cs="Arial"/>
        </w:rPr>
        <w:t xml:space="preserve"> </w:t>
      </w:r>
      <w:r w:rsidR="00DB46B2">
        <w:rPr>
          <w:rFonts w:ascii="Arial" w:hAnsi="Arial" w:cs="Arial"/>
        </w:rPr>
        <w:t>and</w:t>
      </w:r>
      <w:r w:rsidR="00DB46B2" w:rsidRPr="00FC5E95">
        <w:rPr>
          <w:rFonts w:ascii="Arial" w:hAnsi="Arial" w:cs="Arial"/>
        </w:rPr>
        <w:t xml:space="preserve"> $60,000 </w:t>
      </w:r>
      <w:r w:rsidRPr="00FC5E95">
        <w:rPr>
          <w:rFonts w:ascii="Arial" w:hAnsi="Arial" w:cs="Arial"/>
        </w:rPr>
        <w:t>median</w:t>
      </w:r>
      <w:r w:rsidR="004C0852">
        <w:rPr>
          <w:rStyle w:val="FootnoteReference"/>
          <w:rFonts w:ascii="Arial" w:hAnsi="Arial" w:cs="Arial"/>
        </w:rPr>
        <w:footnoteReference w:id="4"/>
      </w:r>
      <w:r w:rsidRPr="00FC5E95">
        <w:rPr>
          <w:rFonts w:ascii="Arial" w:hAnsi="Arial" w:cs="Arial"/>
        </w:rPr>
        <w:t xml:space="preserve">) and annual costs of </w:t>
      </w:r>
      <w:r w:rsidR="00CD7BF2">
        <w:rPr>
          <w:rFonts w:ascii="Arial" w:hAnsi="Arial" w:cs="Arial"/>
        </w:rPr>
        <w:t>main</w:t>
      </w:r>
      <w:r w:rsidRPr="00FC5E95">
        <w:rPr>
          <w:rFonts w:ascii="Arial" w:hAnsi="Arial" w:cs="Arial"/>
        </w:rPr>
        <w:t>taining accreditation at around $38,000</w:t>
      </w:r>
      <w:r w:rsidR="0031357B">
        <w:rPr>
          <w:rFonts w:ascii="Arial" w:hAnsi="Arial" w:cs="Arial"/>
        </w:rPr>
        <w:t xml:space="preserve"> (Winsorised mean or</w:t>
      </w:r>
      <w:r w:rsidRPr="00FC5E95">
        <w:rPr>
          <w:rFonts w:ascii="Arial" w:hAnsi="Arial" w:cs="Arial"/>
        </w:rPr>
        <w:t xml:space="preserve"> $40,000</w:t>
      </w:r>
      <w:r w:rsidR="0031357B">
        <w:rPr>
          <w:rFonts w:ascii="Arial" w:hAnsi="Arial" w:cs="Arial"/>
        </w:rPr>
        <w:t xml:space="preserve"> median)</w:t>
      </w:r>
      <w:r w:rsidRPr="00FC5E95">
        <w:rPr>
          <w:rFonts w:ascii="Arial" w:hAnsi="Arial" w:cs="Arial"/>
        </w:rPr>
        <w:t xml:space="preserve">. </w:t>
      </w:r>
    </w:p>
    <w:p w:rsidR="00FC5E95" w:rsidRPr="00DC1084" w:rsidRDefault="00FC5E95" w:rsidP="008C1B31">
      <w:pPr>
        <w:pStyle w:val="ListParagraph"/>
        <w:numPr>
          <w:ilvl w:val="0"/>
          <w:numId w:val="9"/>
        </w:numPr>
        <w:spacing w:line="240" w:lineRule="auto"/>
        <w:ind w:left="363" w:hanging="284"/>
        <w:rPr>
          <w:rFonts w:ascii="Arial" w:hAnsi="Arial" w:cs="Arial"/>
        </w:rPr>
      </w:pPr>
      <w:r w:rsidRPr="00DC1084">
        <w:rPr>
          <w:rFonts w:ascii="Arial" w:hAnsi="Arial" w:cs="Arial"/>
        </w:rPr>
        <w:t>Medium</w:t>
      </w:r>
      <w:r w:rsidR="00CD7BF2" w:rsidRPr="00DC1084">
        <w:rPr>
          <w:rFonts w:ascii="Arial" w:hAnsi="Arial" w:cs="Arial"/>
        </w:rPr>
        <w:t>-</w:t>
      </w:r>
      <w:r w:rsidRPr="00DC1084">
        <w:rPr>
          <w:rFonts w:ascii="Arial" w:hAnsi="Arial" w:cs="Arial"/>
        </w:rPr>
        <w:t>sized companies (20</w:t>
      </w:r>
      <w:r w:rsidR="00CD7BF2" w:rsidRPr="00DC1084">
        <w:rPr>
          <w:rFonts w:ascii="Arial" w:hAnsi="Arial" w:cs="Arial"/>
        </w:rPr>
        <w:t>-</w:t>
      </w:r>
      <w:r w:rsidRPr="00DC1084">
        <w:rPr>
          <w:rFonts w:ascii="Arial" w:hAnsi="Arial" w:cs="Arial"/>
        </w:rPr>
        <w:t>199 employees</w:t>
      </w:r>
      <w:r w:rsidR="00DC1084" w:rsidRPr="00DC1084">
        <w:rPr>
          <w:rFonts w:ascii="Arial" w:hAnsi="Arial" w:cs="Arial"/>
        </w:rPr>
        <w:t>, 53.2 per cent of respondents</w:t>
      </w:r>
      <w:r w:rsidRPr="00DC1084">
        <w:rPr>
          <w:rFonts w:ascii="Arial" w:hAnsi="Arial" w:cs="Arial"/>
        </w:rPr>
        <w:t xml:space="preserve">) estimated accreditation as costing </w:t>
      </w:r>
      <w:r w:rsidR="00DB46B2" w:rsidRPr="00DC1084">
        <w:rPr>
          <w:rFonts w:ascii="Arial" w:hAnsi="Arial" w:cs="Arial"/>
        </w:rPr>
        <w:t xml:space="preserve">$130,000 </w:t>
      </w:r>
      <w:r w:rsidRPr="00DC1084">
        <w:rPr>
          <w:rFonts w:ascii="Arial" w:hAnsi="Arial" w:cs="Arial"/>
        </w:rPr>
        <w:t>(</w:t>
      </w:r>
      <w:r w:rsidR="00DB46B2" w:rsidRPr="00DC1084">
        <w:rPr>
          <w:rFonts w:ascii="Arial" w:hAnsi="Arial" w:cs="Arial"/>
        </w:rPr>
        <w:t xml:space="preserve">Winsorised mean and $100,000 </w:t>
      </w:r>
      <w:r w:rsidRPr="00DC1084">
        <w:rPr>
          <w:rFonts w:ascii="Arial" w:hAnsi="Arial" w:cs="Arial"/>
        </w:rPr>
        <w:t xml:space="preserve">median) and annual </w:t>
      </w:r>
      <w:r w:rsidR="00CD7BF2" w:rsidRPr="00DC1084">
        <w:rPr>
          <w:rFonts w:ascii="Arial" w:hAnsi="Arial" w:cs="Arial"/>
        </w:rPr>
        <w:t>costs of main</w:t>
      </w:r>
      <w:r w:rsidR="001C5176" w:rsidRPr="00DC1084">
        <w:rPr>
          <w:rFonts w:ascii="Arial" w:hAnsi="Arial" w:cs="Arial"/>
        </w:rPr>
        <w:t>t</w:t>
      </w:r>
      <w:r w:rsidR="00CD7BF2" w:rsidRPr="00DC1084">
        <w:rPr>
          <w:rFonts w:ascii="Arial" w:hAnsi="Arial" w:cs="Arial"/>
        </w:rPr>
        <w:t>aining accreditation</w:t>
      </w:r>
      <w:r w:rsidRPr="00DC1084">
        <w:rPr>
          <w:rFonts w:ascii="Arial" w:hAnsi="Arial" w:cs="Arial"/>
        </w:rPr>
        <w:t xml:space="preserve"> at </w:t>
      </w:r>
      <w:r w:rsidR="00DB46B2" w:rsidRPr="00DC1084">
        <w:rPr>
          <w:rFonts w:ascii="Arial" w:hAnsi="Arial" w:cs="Arial"/>
        </w:rPr>
        <w:t xml:space="preserve">$58,000 </w:t>
      </w:r>
      <w:r w:rsidRPr="00DC1084">
        <w:rPr>
          <w:rFonts w:ascii="Arial" w:hAnsi="Arial" w:cs="Arial"/>
        </w:rPr>
        <w:t>(</w:t>
      </w:r>
      <w:r w:rsidR="00DB46B2" w:rsidRPr="00DC1084">
        <w:rPr>
          <w:rFonts w:ascii="Arial" w:hAnsi="Arial" w:cs="Arial"/>
        </w:rPr>
        <w:t xml:space="preserve">Winsorised mean or $35,000 </w:t>
      </w:r>
      <w:r w:rsidRPr="00DC1084">
        <w:rPr>
          <w:rFonts w:ascii="Arial" w:hAnsi="Arial" w:cs="Arial"/>
        </w:rPr>
        <w:t xml:space="preserve">median). </w:t>
      </w:r>
    </w:p>
    <w:p w:rsidR="00FC5E95" w:rsidRPr="00DC1084" w:rsidRDefault="00FC5E95" w:rsidP="008C1B31">
      <w:pPr>
        <w:pStyle w:val="ListParagraph"/>
        <w:numPr>
          <w:ilvl w:val="0"/>
          <w:numId w:val="9"/>
        </w:numPr>
        <w:spacing w:line="240" w:lineRule="auto"/>
        <w:ind w:left="363" w:hanging="284"/>
        <w:rPr>
          <w:rFonts w:ascii="Arial" w:hAnsi="Arial" w:cs="Arial"/>
        </w:rPr>
      </w:pPr>
      <w:r w:rsidRPr="00DC1084">
        <w:rPr>
          <w:rFonts w:ascii="Arial" w:hAnsi="Arial" w:cs="Arial"/>
        </w:rPr>
        <w:t xml:space="preserve">Large companies </w:t>
      </w:r>
      <w:r w:rsidR="00CD7BF2" w:rsidRPr="00DC1084">
        <w:rPr>
          <w:rFonts w:ascii="Arial" w:hAnsi="Arial" w:cs="Arial"/>
        </w:rPr>
        <w:t>(200+ employees</w:t>
      </w:r>
      <w:r w:rsidR="00DC1084" w:rsidRPr="00DC1084">
        <w:rPr>
          <w:rFonts w:ascii="Arial" w:hAnsi="Arial" w:cs="Arial"/>
        </w:rPr>
        <w:t>, 32.5 percent of respondents</w:t>
      </w:r>
      <w:r w:rsidR="00CD7BF2" w:rsidRPr="00DC1084">
        <w:rPr>
          <w:rFonts w:ascii="Arial" w:hAnsi="Arial" w:cs="Arial"/>
        </w:rPr>
        <w:t xml:space="preserve">) </w:t>
      </w:r>
      <w:r w:rsidRPr="00DC1084">
        <w:rPr>
          <w:rFonts w:ascii="Arial" w:hAnsi="Arial" w:cs="Arial"/>
        </w:rPr>
        <w:t xml:space="preserve">estimated the initial costs at </w:t>
      </w:r>
      <w:r w:rsidR="00DB46B2" w:rsidRPr="00DC1084">
        <w:rPr>
          <w:rFonts w:ascii="Arial" w:hAnsi="Arial" w:cs="Arial"/>
        </w:rPr>
        <w:t xml:space="preserve">$85,000 </w:t>
      </w:r>
      <w:r w:rsidRPr="00DC1084">
        <w:rPr>
          <w:rFonts w:ascii="Arial" w:hAnsi="Arial" w:cs="Arial"/>
        </w:rPr>
        <w:t>(</w:t>
      </w:r>
      <w:r w:rsidR="00DB46B2" w:rsidRPr="00DC1084">
        <w:rPr>
          <w:rFonts w:ascii="Arial" w:hAnsi="Arial" w:cs="Arial"/>
        </w:rPr>
        <w:t xml:space="preserve">Winsorised mean and $62,500 </w:t>
      </w:r>
      <w:r w:rsidRPr="00DC1084">
        <w:rPr>
          <w:rFonts w:ascii="Arial" w:hAnsi="Arial" w:cs="Arial"/>
        </w:rPr>
        <w:t xml:space="preserve">median) and </w:t>
      </w:r>
      <w:r w:rsidR="00CD7BF2" w:rsidRPr="00DC1084">
        <w:rPr>
          <w:rFonts w:ascii="Arial" w:hAnsi="Arial" w:cs="Arial"/>
        </w:rPr>
        <w:t>annual costs of main</w:t>
      </w:r>
      <w:r w:rsidR="00DB46B2" w:rsidRPr="00DC1084">
        <w:rPr>
          <w:rFonts w:ascii="Arial" w:hAnsi="Arial" w:cs="Arial"/>
        </w:rPr>
        <w:t>t</w:t>
      </w:r>
      <w:r w:rsidR="00CD7BF2" w:rsidRPr="00DC1084">
        <w:rPr>
          <w:rFonts w:ascii="Arial" w:hAnsi="Arial" w:cs="Arial"/>
        </w:rPr>
        <w:t>aining accreditation</w:t>
      </w:r>
      <w:r w:rsidRPr="00DC1084">
        <w:rPr>
          <w:rFonts w:ascii="Arial" w:hAnsi="Arial" w:cs="Arial"/>
        </w:rPr>
        <w:t xml:space="preserve"> at </w:t>
      </w:r>
      <w:r w:rsidR="00DB46B2" w:rsidRPr="00DC1084">
        <w:rPr>
          <w:rFonts w:ascii="Arial" w:hAnsi="Arial" w:cs="Arial"/>
        </w:rPr>
        <w:t xml:space="preserve">$30,000 </w:t>
      </w:r>
      <w:r w:rsidRPr="00DC1084">
        <w:rPr>
          <w:rFonts w:ascii="Arial" w:hAnsi="Arial" w:cs="Arial"/>
        </w:rPr>
        <w:t>(</w:t>
      </w:r>
      <w:r w:rsidR="00DB46B2" w:rsidRPr="00DC1084">
        <w:rPr>
          <w:rFonts w:ascii="Arial" w:hAnsi="Arial" w:cs="Arial"/>
        </w:rPr>
        <w:t xml:space="preserve">Winsorised mean and $12,500 </w:t>
      </w:r>
      <w:r w:rsidRPr="00DC1084">
        <w:rPr>
          <w:rFonts w:ascii="Arial" w:hAnsi="Arial" w:cs="Arial"/>
        </w:rPr>
        <w:t xml:space="preserve">median). </w:t>
      </w:r>
    </w:p>
    <w:p w:rsidR="00864971" w:rsidRDefault="001D07CC" w:rsidP="00FC5E95">
      <w:pPr>
        <w:rPr>
          <w:rFonts w:ascii="Arial" w:hAnsi="Arial" w:cs="Arial"/>
          <w:sz w:val="22"/>
          <w:szCs w:val="22"/>
        </w:rPr>
      </w:pPr>
      <w:r>
        <w:rPr>
          <w:rFonts w:ascii="Arial" w:hAnsi="Arial" w:cs="Arial"/>
          <w:sz w:val="22"/>
          <w:szCs w:val="22"/>
        </w:rPr>
        <w:t>L</w:t>
      </w:r>
      <w:r w:rsidR="00864971">
        <w:rPr>
          <w:rFonts w:ascii="Arial" w:hAnsi="Arial" w:cs="Arial"/>
          <w:sz w:val="22"/>
          <w:szCs w:val="22"/>
        </w:rPr>
        <w:t>arge companies assessed the costs at a lower level than the medium</w:t>
      </w:r>
      <w:r w:rsidR="00CD7BF2">
        <w:rPr>
          <w:rFonts w:ascii="Arial" w:hAnsi="Arial" w:cs="Arial"/>
          <w:sz w:val="22"/>
          <w:szCs w:val="22"/>
        </w:rPr>
        <w:t>-</w:t>
      </w:r>
      <w:r w:rsidR="00864971">
        <w:rPr>
          <w:rFonts w:ascii="Arial" w:hAnsi="Arial" w:cs="Arial"/>
          <w:sz w:val="22"/>
          <w:szCs w:val="22"/>
        </w:rPr>
        <w:t xml:space="preserve">sized companies, suggesting there was either (or both) less work involved in achieving Scheme standards, or greater capacity to manage the adjustments within existing staffing and resources. </w:t>
      </w:r>
    </w:p>
    <w:p w:rsidR="00864971" w:rsidRDefault="00864971" w:rsidP="00FC5E95">
      <w:pPr>
        <w:rPr>
          <w:rFonts w:ascii="Arial" w:hAnsi="Arial" w:cs="Arial"/>
          <w:sz w:val="22"/>
          <w:szCs w:val="22"/>
        </w:rPr>
      </w:pPr>
    </w:p>
    <w:p w:rsidR="001804DB" w:rsidRDefault="001634CF" w:rsidP="001804DB">
      <w:pPr>
        <w:rPr>
          <w:rFonts w:ascii="Arial" w:hAnsi="Arial" w:cs="Arial"/>
          <w:sz w:val="22"/>
          <w:szCs w:val="22"/>
        </w:rPr>
      </w:pPr>
      <w:r>
        <w:rPr>
          <w:rFonts w:ascii="Arial" w:hAnsi="Arial" w:cs="Arial"/>
          <w:sz w:val="22"/>
          <w:szCs w:val="22"/>
        </w:rPr>
        <w:t>CCF</w:t>
      </w:r>
      <w:r w:rsidR="00474035">
        <w:rPr>
          <w:rFonts w:ascii="Arial" w:hAnsi="Arial" w:cs="Arial"/>
          <w:sz w:val="22"/>
          <w:szCs w:val="22"/>
        </w:rPr>
        <w:t>’s</w:t>
      </w:r>
      <w:r>
        <w:rPr>
          <w:rFonts w:ascii="Arial" w:hAnsi="Arial" w:cs="Arial"/>
          <w:sz w:val="22"/>
          <w:szCs w:val="22"/>
        </w:rPr>
        <w:t xml:space="preserve"> </w:t>
      </w:r>
      <w:r w:rsidR="001804DB" w:rsidRPr="00024016">
        <w:rPr>
          <w:rFonts w:ascii="Arial" w:hAnsi="Arial" w:cs="Arial"/>
          <w:sz w:val="22"/>
          <w:szCs w:val="22"/>
        </w:rPr>
        <w:t>submission quoted costs</w:t>
      </w:r>
      <w:r w:rsidR="001804DB">
        <w:rPr>
          <w:rFonts w:ascii="Arial" w:hAnsi="Arial" w:cs="Arial"/>
          <w:sz w:val="22"/>
          <w:szCs w:val="22"/>
        </w:rPr>
        <w:t xml:space="preserve">, based on figures provided by three of its members, </w:t>
      </w:r>
      <w:r w:rsidR="001804DB" w:rsidRPr="00024016">
        <w:rPr>
          <w:rFonts w:ascii="Arial" w:hAnsi="Arial" w:cs="Arial"/>
          <w:sz w:val="22"/>
          <w:szCs w:val="22"/>
        </w:rPr>
        <w:t xml:space="preserve">of $164,000 to achieve accreditation and $130,000 </w:t>
      </w:r>
      <w:r w:rsidR="0090460E">
        <w:rPr>
          <w:rFonts w:ascii="Arial" w:hAnsi="Arial" w:cs="Arial"/>
          <w:sz w:val="22"/>
          <w:szCs w:val="22"/>
        </w:rPr>
        <w:t xml:space="preserve">per annum </w:t>
      </w:r>
      <w:r w:rsidR="001804DB" w:rsidRPr="00024016">
        <w:rPr>
          <w:rFonts w:ascii="Arial" w:hAnsi="Arial" w:cs="Arial"/>
          <w:sz w:val="22"/>
          <w:szCs w:val="22"/>
        </w:rPr>
        <w:t>to maintain it</w:t>
      </w:r>
      <w:r w:rsidR="001804DB">
        <w:rPr>
          <w:rFonts w:ascii="Arial" w:hAnsi="Arial" w:cs="Arial"/>
          <w:sz w:val="22"/>
          <w:szCs w:val="22"/>
        </w:rPr>
        <w:t xml:space="preserve">. These figures are </w:t>
      </w:r>
      <w:r w:rsidR="001804DB" w:rsidRPr="00024016">
        <w:rPr>
          <w:rFonts w:ascii="Arial" w:hAnsi="Arial" w:cs="Arial"/>
          <w:sz w:val="22"/>
          <w:szCs w:val="22"/>
        </w:rPr>
        <w:t xml:space="preserve">in contrast to the much lower figures reported by the 68 accredited companies undertaking civil works that responded to the </w:t>
      </w:r>
      <w:r w:rsidR="001804DB">
        <w:rPr>
          <w:rFonts w:ascii="Arial" w:hAnsi="Arial" w:cs="Arial"/>
          <w:sz w:val="22"/>
          <w:szCs w:val="22"/>
        </w:rPr>
        <w:t xml:space="preserve">Survey ($97,000 </w:t>
      </w:r>
      <w:r w:rsidR="0090460E">
        <w:rPr>
          <w:rFonts w:ascii="Arial" w:hAnsi="Arial" w:cs="Arial"/>
          <w:sz w:val="22"/>
          <w:szCs w:val="22"/>
        </w:rPr>
        <w:t xml:space="preserve">to achieve </w:t>
      </w:r>
      <w:r w:rsidR="001804DB">
        <w:rPr>
          <w:rFonts w:ascii="Arial" w:hAnsi="Arial" w:cs="Arial"/>
          <w:sz w:val="22"/>
          <w:szCs w:val="22"/>
        </w:rPr>
        <w:t xml:space="preserve">and $34,000 </w:t>
      </w:r>
      <w:r w:rsidR="0090460E">
        <w:rPr>
          <w:rFonts w:ascii="Arial" w:hAnsi="Arial" w:cs="Arial"/>
          <w:sz w:val="22"/>
          <w:szCs w:val="22"/>
        </w:rPr>
        <w:t>per annum to maintain accreditation</w:t>
      </w:r>
      <w:r w:rsidR="001804DB">
        <w:rPr>
          <w:rFonts w:ascii="Arial" w:hAnsi="Arial" w:cs="Arial"/>
          <w:sz w:val="22"/>
          <w:szCs w:val="22"/>
        </w:rPr>
        <w:t xml:space="preserve">). </w:t>
      </w:r>
    </w:p>
    <w:p w:rsidR="001804DB" w:rsidRPr="00980571" w:rsidRDefault="001804DB" w:rsidP="001804DB">
      <w:pPr>
        <w:rPr>
          <w:rFonts w:ascii="Arial" w:hAnsi="Arial" w:cs="Arial"/>
          <w:color w:val="FF0000"/>
          <w:sz w:val="22"/>
          <w:szCs w:val="22"/>
        </w:rPr>
      </w:pPr>
    </w:p>
    <w:p w:rsidR="001804DB" w:rsidRDefault="00106D42" w:rsidP="001804DB">
      <w:pPr>
        <w:rPr>
          <w:rFonts w:ascii="Arial" w:hAnsi="Arial" w:cs="Arial"/>
          <w:sz w:val="22"/>
          <w:szCs w:val="22"/>
        </w:rPr>
      </w:pPr>
      <w:r>
        <w:rPr>
          <w:rFonts w:ascii="Arial" w:hAnsi="Arial" w:cs="Arial"/>
          <w:sz w:val="22"/>
          <w:szCs w:val="22"/>
        </w:rPr>
        <w:t xml:space="preserve">Builders undertaking residential work </w:t>
      </w:r>
      <w:r w:rsidR="00EB414D">
        <w:rPr>
          <w:rFonts w:ascii="Arial" w:hAnsi="Arial" w:cs="Arial"/>
          <w:sz w:val="22"/>
          <w:szCs w:val="22"/>
        </w:rPr>
        <w:t>had the highest</w:t>
      </w:r>
      <w:r w:rsidR="00CD7BF2">
        <w:rPr>
          <w:rFonts w:ascii="Arial" w:hAnsi="Arial" w:cs="Arial"/>
          <w:sz w:val="22"/>
          <w:szCs w:val="22"/>
        </w:rPr>
        <w:t xml:space="preserve"> reported</w:t>
      </w:r>
      <w:r w:rsidR="000F0A2A">
        <w:rPr>
          <w:rFonts w:ascii="Arial" w:hAnsi="Arial" w:cs="Arial"/>
          <w:sz w:val="22"/>
          <w:szCs w:val="22"/>
        </w:rPr>
        <w:t xml:space="preserve"> costs of gaining and maintaining accreditation, estimating the costs at around 30 per</w:t>
      </w:r>
      <w:r w:rsidR="00A170A6">
        <w:rPr>
          <w:rFonts w:ascii="Arial" w:hAnsi="Arial" w:cs="Arial"/>
          <w:sz w:val="22"/>
          <w:szCs w:val="22"/>
        </w:rPr>
        <w:t xml:space="preserve"> </w:t>
      </w:r>
      <w:r w:rsidR="000F0A2A">
        <w:rPr>
          <w:rFonts w:ascii="Arial" w:hAnsi="Arial" w:cs="Arial"/>
          <w:sz w:val="22"/>
          <w:szCs w:val="22"/>
        </w:rPr>
        <w:t xml:space="preserve">cent higher than civil constructors. It is possible that residential builders might have existing safety systems and approaches that require more work to </w:t>
      </w:r>
      <w:r w:rsidR="003C307D">
        <w:rPr>
          <w:rFonts w:ascii="Arial" w:hAnsi="Arial" w:cs="Arial"/>
          <w:sz w:val="22"/>
          <w:szCs w:val="22"/>
        </w:rPr>
        <w:t>meet</w:t>
      </w:r>
      <w:r w:rsidR="000F0A2A">
        <w:rPr>
          <w:rFonts w:ascii="Arial" w:hAnsi="Arial" w:cs="Arial"/>
          <w:sz w:val="22"/>
          <w:szCs w:val="22"/>
        </w:rPr>
        <w:t xml:space="preserve"> Scheme criteria than other sectors. Another possible factor might be that those builders </w:t>
      </w:r>
      <w:r w:rsidR="006D2A7F">
        <w:rPr>
          <w:rFonts w:ascii="Arial" w:hAnsi="Arial" w:cs="Arial"/>
          <w:sz w:val="22"/>
          <w:szCs w:val="22"/>
        </w:rPr>
        <w:t xml:space="preserve">have leaner administrative structures and resources within which to absorb the workload of implementing </w:t>
      </w:r>
      <w:r w:rsidR="003C307D">
        <w:rPr>
          <w:rFonts w:ascii="Arial" w:hAnsi="Arial" w:cs="Arial"/>
          <w:sz w:val="22"/>
          <w:szCs w:val="22"/>
        </w:rPr>
        <w:t xml:space="preserve">safety systems compliant with the </w:t>
      </w:r>
      <w:r w:rsidR="006D2A7F">
        <w:rPr>
          <w:rFonts w:ascii="Arial" w:hAnsi="Arial" w:cs="Arial"/>
          <w:sz w:val="22"/>
          <w:szCs w:val="22"/>
        </w:rPr>
        <w:t>Scheme.</w:t>
      </w:r>
      <w:r w:rsidR="001804DB" w:rsidRPr="001804DB">
        <w:rPr>
          <w:rFonts w:ascii="Arial" w:hAnsi="Arial" w:cs="Arial"/>
          <w:sz w:val="22"/>
          <w:szCs w:val="22"/>
        </w:rPr>
        <w:t xml:space="preserve"> </w:t>
      </w:r>
    </w:p>
    <w:p w:rsidR="006D2A7F" w:rsidRDefault="006D2A7F" w:rsidP="00FC5E95">
      <w:pPr>
        <w:rPr>
          <w:rFonts w:ascii="Arial" w:hAnsi="Arial" w:cs="Arial"/>
          <w:sz w:val="22"/>
          <w:szCs w:val="22"/>
        </w:rPr>
      </w:pPr>
    </w:p>
    <w:p w:rsidR="00CE0E95" w:rsidRPr="00AA5BB8" w:rsidRDefault="00CE0E95" w:rsidP="003005B9">
      <w:pPr>
        <w:pStyle w:val="Heading2"/>
      </w:pPr>
      <w:bookmarkStart w:id="10" w:name="_Toc390429506"/>
      <w:r w:rsidRPr="00AA5BB8">
        <w:t>Value for Money</w:t>
      </w:r>
      <w:bookmarkEnd w:id="10"/>
    </w:p>
    <w:p w:rsidR="00CE0E95" w:rsidRDefault="00CE0E95" w:rsidP="00FC5E95">
      <w:pPr>
        <w:rPr>
          <w:rFonts w:ascii="Arial" w:hAnsi="Arial" w:cs="Arial"/>
          <w:sz w:val="22"/>
          <w:szCs w:val="22"/>
        </w:rPr>
      </w:pPr>
    </w:p>
    <w:p w:rsidR="00864971" w:rsidRDefault="00864971" w:rsidP="00FC5E95">
      <w:pPr>
        <w:rPr>
          <w:rFonts w:ascii="Arial" w:hAnsi="Arial"/>
          <w:sz w:val="22"/>
          <w:szCs w:val="20"/>
          <w:lang w:eastAsia="en-US"/>
        </w:rPr>
      </w:pPr>
      <w:r>
        <w:rPr>
          <w:rFonts w:ascii="Arial" w:hAnsi="Arial" w:cs="Arial"/>
          <w:sz w:val="22"/>
          <w:szCs w:val="22"/>
        </w:rPr>
        <w:t>Perhaps more significant than costs</w:t>
      </w:r>
      <w:r w:rsidR="000D5DED">
        <w:rPr>
          <w:rFonts w:ascii="Arial" w:hAnsi="Arial" w:cs="Arial"/>
          <w:sz w:val="22"/>
          <w:szCs w:val="22"/>
        </w:rPr>
        <w:t>,</w:t>
      </w:r>
      <w:r>
        <w:rPr>
          <w:rFonts w:ascii="Arial" w:hAnsi="Arial" w:cs="Arial"/>
          <w:sz w:val="22"/>
          <w:szCs w:val="22"/>
        </w:rPr>
        <w:t xml:space="preserve"> </w:t>
      </w:r>
      <w:r w:rsidR="003C307D">
        <w:rPr>
          <w:rFonts w:ascii="Arial" w:hAnsi="Arial" w:cs="Arial"/>
          <w:sz w:val="22"/>
          <w:szCs w:val="22"/>
        </w:rPr>
        <w:t>are</w:t>
      </w:r>
      <w:r>
        <w:rPr>
          <w:rFonts w:ascii="Arial" w:hAnsi="Arial" w:cs="Arial"/>
          <w:sz w:val="22"/>
          <w:szCs w:val="22"/>
        </w:rPr>
        <w:t xml:space="preserve"> companies’ perceptions of the overall cost-benefit of accreditation</w:t>
      </w:r>
      <w:r w:rsidR="0090460E">
        <w:rPr>
          <w:rFonts w:ascii="Arial" w:hAnsi="Arial" w:cs="Arial"/>
          <w:sz w:val="22"/>
          <w:szCs w:val="22"/>
        </w:rPr>
        <w:t xml:space="preserve">, its </w:t>
      </w:r>
      <w:r>
        <w:rPr>
          <w:rFonts w:ascii="Arial" w:hAnsi="Arial" w:cs="Arial"/>
          <w:sz w:val="22"/>
          <w:szCs w:val="22"/>
        </w:rPr>
        <w:t xml:space="preserve">value for money. Overall, </w:t>
      </w:r>
      <w:r w:rsidR="00FC5E95" w:rsidRPr="00E8527C">
        <w:rPr>
          <w:rFonts w:ascii="Arial" w:hAnsi="Arial"/>
          <w:sz w:val="22"/>
          <w:szCs w:val="20"/>
          <w:lang w:eastAsia="en-US"/>
        </w:rPr>
        <w:t>63</w:t>
      </w:r>
      <w:r w:rsidR="00FC5E95">
        <w:rPr>
          <w:rFonts w:ascii="Arial" w:hAnsi="Arial"/>
          <w:sz w:val="22"/>
          <w:szCs w:val="20"/>
          <w:lang w:eastAsia="en-US"/>
        </w:rPr>
        <w:t xml:space="preserve"> per cent </w:t>
      </w:r>
      <w:r w:rsidR="00FC5E95" w:rsidRPr="00E8527C">
        <w:rPr>
          <w:rFonts w:ascii="Arial" w:hAnsi="Arial"/>
          <w:sz w:val="22"/>
          <w:szCs w:val="20"/>
          <w:lang w:eastAsia="en-US"/>
        </w:rPr>
        <w:t xml:space="preserve">of companies </w:t>
      </w:r>
      <w:r w:rsidR="001634CF">
        <w:rPr>
          <w:rFonts w:ascii="Arial" w:hAnsi="Arial"/>
          <w:sz w:val="22"/>
          <w:szCs w:val="20"/>
          <w:lang w:eastAsia="en-US"/>
        </w:rPr>
        <w:t xml:space="preserve">responding in the Survey </w:t>
      </w:r>
      <w:r w:rsidR="00FC5E95" w:rsidRPr="00E8527C">
        <w:rPr>
          <w:rFonts w:ascii="Arial" w:hAnsi="Arial"/>
          <w:sz w:val="22"/>
          <w:szCs w:val="20"/>
          <w:lang w:eastAsia="en-US"/>
        </w:rPr>
        <w:t>consider Scheme accreditation represents value for money</w:t>
      </w:r>
      <w:r>
        <w:rPr>
          <w:rFonts w:ascii="Arial" w:hAnsi="Arial"/>
          <w:sz w:val="22"/>
          <w:szCs w:val="20"/>
          <w:lang w:eastAsia="en-US"/>
        </w:rPr>
        <w:t xml:space="preserve">. </w:t>
      </w:r>
    </w:p>
    <w:p w:rsidR="00CE0E95" w:rsidRDefault="00CE0E95" w:rsidP="00FC5E95">
      <w:pPr>
        <w:rPr>
          <w:rFonts w:ascii="Arial" w:hAnsi="Arial"/>
          <w:sz w:val="22"/>
          <w:szCs w:val="20"/>
          <w:lang w:eastAsia="en-US"/>
        </w:rPr>
      </w:pPr>
    </w:p>
    <w:p w:rsidR="00CE0E95" w:rsidRPr="006C7809" w:rsidRDefault="00CE0E95" w:rsidP="00C03719">
      <w:pPr>
        <w:rPr>
          <w:rFonts w:ascii="Arial" w:hAnsi="Arial" w:cs="Arial"/>
          <w:b/>
          <w:sz w:val="22"/>
          <w:szCs w:val="22"/>
        </w:rPr>
      </w:pPr>
      <w:r w:rsidRPr="006C7809">
        <w:rPr>
          <w:rFonts w:ascii="Arial" w:hAnsi="Arial" w:cs="Arial"/>
          <w:b/>
          <w:sz w:val="22"/>
          <w:szCs w:val="22"/>
        </w:rPr>
        <w:t xml:space="preserve">Table </w:t>
      </w:r>
      <w:r w:rsidR="001634CF" w:rsidRPr="006C7809">
        <w:rPr>
          <w:rFonts w:ascii="Arial" w:hAnsi="Arial" w:cs="Arial"/>
          <w:b/>
          <w:sz w:val="22"/>
          <w:szCs w:val="22"/>
        </w:rPr>
        <w:t>3</w:t>
      </w:r>
      <w:r w:rsidRPr="006C7809">
        <w:rPr>
          <w:rFonts w:ascii="Arial" w:hAnsi="Arial" w:cs="Arial"/>
          <w:b/>
          <w:sz w:val="22"/>
          <w:szCs w:val="22"/>
        </w:rPr>
        <w:t>:</w:t>
      </w:r>
      <w:r w:rsidR="001634CF" w:rsidRPr="006C7809">
        <w:rPr>
          <w:rFonts w:ascii="Arial" w:hAnsi="Arial" w:cs="Arial"/>
          <w:b/>
          <w:sz w:val="22"/>
          <w:szCs w:val="22"/>
        </w:rPr>
        <w:t xml:space="preserve"> Accreditation as Value-for-money</w:t>
      </w:r>
    </w:p>
    <w:p w:rsidR="00C03719" w:rsidRPr="00C03719" w:rsidRDefault="00C03719" w:rsidP="00C03719">
      <w:pPr>
        <w:rPr>
          <w:rFonts w:ascii="Arial" w:hAnsi="Arial" w:cs="Arial"/>
          <w:sz w:val="22"/>
          <w:szCs w:val="22"/>
        </w:rPr>
      </w:pPr>
    </w:p>
    <w:p w:rsidR="00CE0E95" w:rsidRDefault="00CE0E95" w:rsidP="00CE0E95">
      <w:pPr>
        <w:rPr>
          <w:rFonts w:ascii="Arial" w:hAnsi="Arial" w:cs="Arial"/>
          <w:sz w:val="22"/>
          <w:szCs w:val="22"/>
        </w:rPr>
      </w:pPr>
      <w:r>
        <w:rPr>
          <w:noProof/>
        </w:rPr>
        <w:drawing>
          <wp:inline distT="0" distB="0" distL="0" distR="0" wp14:anchorId="41902DB2" wp14:editId="5335D5C3">
            <wp:extent cx="5943600" cy="3267075"/>
            <wp:effectExtent l="0" t="0" r="19050" b="9525"/>
            <wp:docPr id="7" name="Chart 7" descr="Bar graph depicting the percentage that responded yes to Scheme accreditation being value for money. &#10;The y axis represents the percentage and x axis the size, construction type and length of accreditation of companies.&#10;- one to 19 employees: 41.18%&#10;- 20 to 199 employees: 63.64%&#10;- 200+ employees: 70.73%&#10;- Civil construction: 71.64%&#10;- Commercial construction: 56.47%&#10;- Residential construction: 53.57%&#10;- Accredited for less than one year: 80.00%&#10;- Accredited for one to three years: 57.50%&#10;- Accredited for three to five years: 66.70%&#10;- Accredited more than five years: 55.90%&#10;- All respondents: 62.90% &#10;" title="Accreditation as value-for-money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0E95" w:rsidRDefault="00CE0E95" w:rsidP="00CE0E95">
      <w:pPr>
        <w:rPr>
          <w:rFonts w:ascii="Arial" w:hAnsi="Arial" w:cs="Arial"/>
          <w:sz w:val="22"/>
          <w:szCs w:val="22"/>
        </w:rPr>
      </w:pPr>
    </w:p>
    <w:p w:rsidR="00131F34" w:rsidRDefault="00131F34">
      <w:pPr>
        <w:rPr>
          <w:rFonts w:ascii="Arial" w:hAnsi="Arial"/>
          <w:sz w:val="22"/>
          <w:szCs w:val="20"/>
          <w:lang w:eastAsia="en-US"/>
        </w:rPr>
      </w:pPr>
      <w:r>
        <w:rPr>
          <w:rFonts w:ascii="Arial" w:hAnsi="Arial"/>
          <w:sz w:val="22"/>
          <w:szCs w:val="20"/>
          <w:lang w:eastAsia="en-US"/>
        </w:rPr>
        <w:br w:type="page"/>
      </w:r>
    </w:p>
    <w:p w:rsidR="00A27E82" w:rsidRPr="00A27E82" w:rsidRDefault="002B165F" w:rsidP="00A27E82">
      <w:pPr>
        <w:rPr>
          <w:rFonts w:ascii="Arial" w:hAnsi="Arial"/>
          <w:sz w:val="22"/>
          <w:szCs w:val="20"/>
          <w:lang w:eastAsia="en-US"/>
        </w:rPr>
      </w:pPr>
      <w:r>
        <w:rPr>
          <w:rFonts w:ascii="Arial" w:hAnsi="Arial"/>
          <w:sz w:val="22"/>
          <w:szCs w:val="20"/>
          <w:lang w:eastAsia="en-US"/>
        </w:rPr>
        <w:t>T</w:t>
      </w:r>
      <w:r w:rsidR="00A27E82" w:rsidRPr="00A27E82">
        <w:rPr>
          <w:rFonts w:ascii="Arial" w:hAnsi="Arial"/>
          <w:sz w:val="22"/>
          <w:szCs w:val="20"/>
          <w:lang w:eastAsia="en-US"/>
        </w:rPr>
        <w:t>here are “point in time” and other factors evident</w:t>
      </w:r>
      <w:r w:rsidR="00B44A42">
        <w:rPr>
          <w:rFonts w:ascii="Arial" w:hAnsi="Arial"/>
          <w:sz w:val="22"/>
          <w:szCs w:val="20"/>
          <w:lang w:eastAsia="en-US"/>
        </w:rPr>
        <w:t xml:space="preserve"> in the above data</w:t>
      </w:r>
      <w:r w:rsidR="00927940">
        <w:rPr>
          <w:rFonts w:ascii="Arial" w:hAnsi="Arial"/>
          <w:sz w:val="22"/>
          <w:szCs w:val="20"/>
          <w:lang w:eastAsia="en-US"/>
        </w:rPr>
        <w:t xml:space="preserve">. </w:t>
      </w:r>
      <w:r w:rsidR="00A27E82" w:rsidRPr="00A27E82">
        <w:rPr>
          <w:rFonts w:ascii="Arial" w:hAnsi="Arial"/>
          <w:sz w:val="22"/>
          <w:szCs w:val="20"/>
          <w:lang w:eastAsia="en-US"/>
        </w:rPr>
        <w:t>On 1 January 2013 the OFSC introduced a greatly streamlined accreditation process. Eighty</w:t>
      </w:r>
      <w:r w:rsidR="002F2530">
        <w:rPr>
          <w:rFonts w:ascii="Arial" w:hAnsi="Arial"/>
          <w:sz w:val="22"/>
          <w:szCs w:val="20"/>
          <w:lang w:eastAsia="en-US"/>
        </w:rPr>
        <w:t> </w:t>
      </w:r>
      <w:r w:rsidR="00A27E82" w:rsidRPr="00A27E82">
        <w:rPr>
          <w:rFonts w:ascii="Arial" w:hAnsi="Arial"/>
          <w:sz w:val="22"/>
          <w:szCs w:val="20"/>
          <w:lang w:eastAsia="en-US"/>
        </w:rPr>
        <w:t>per cent of companies that had become accredited in the last year (i.e</w:t>
      </w:r>
      <w:r w:rsidR="00EB414D">
        <w:rPr>
          <w:rFonts w:ascii="Arial" w:hAnsi="Arial"/>
          <w:sz w:val="22"/>
          <w:szCs w:val="20"/>
          <w:lang w:eastAsia="en-US"/>
        </w:rPr>
        <w:t>.,</w:t>
      </w:r>
      <w:r w:rsidR="00A27E82" w:rsidRPr="00A27E82">
        <w:rPr>
          <w:rFonts w:ascii="Arial" w:hAnsi="Arial"/>
          <w:sz w:val="22"/>
          <w:szCs w:val="20"/>
          <w:lang w:eastAsia="en-US"/>
        </w:rPr>
        <w:t xml:space="preserve"> since the streamlining) believed that the Scheme represents value for money, compared with just 55.9</w:t>
      </w:r>
      <w:r w:rsidR="002F2530">
        <w:rPr>
          <w:rFonts w:ascii="Arial" w:hAnsi="Arial"/>
          <w:sz w:val="22"/>
          <w:szCs w:val="20"/>
          <w:lang w:eastAsia="en-US"/>
        </w:rPr>
        <w:t> </w:t>
      </w:r>
      <w:r w:rsidR="00A27E82" w:rsidRPr="00A27E82">
        <w:rPr>
          <w:rFonts w:ascii="Arial" w:hAnsi="Arial"/>
          <w:sz w:val="22"/>
          <w:szCs w:val="20"/>
          <w:lang w:eastAsia="en-US"/>
        </w:rPr>
        <w:t>per cent of those accredited in the early days of the Scheme (5 or more years ago).</w:t>
      </w:r>
    </w:p>
    <w:p w:rsidR="00A27E82" w:rsidRPr="00A27E82" w:rsidRDefault="00A27E82" w:rsidP="00A27E82">
      <w:pPr>
        <w:rPr>
          <w:rFonts w:ascii="Arial" w:hAnsi="Arial"/>
          <w:sz w:val="22"/>
          <w:szCs w:val="20"/>
          <w:lang w:eastAsia="en-US"/>
        </w:rPr>
      </w:pPr>
    </w:p>
    <w:p w:rsidR="00A27E82" w:rsidRPr="00A27E82" w:rsidRDefault="00A27E82" w:rsidP="00A27E82">
      <w:pPr>
        <w:rPr>
          <w:rFonts w:ascii="Arial" w:hAnsi="Arial"/>
          <w:sz w:val="22"/>
          <w:szCs w:val="20"/>
          <w:lang w:eastAsia="en-US"/>
        </w:rPr>
      </w:pPr>
      <w:r w:rsidRPr="00A27E82">
        <w:rPr>
          <w:rFonts w:ascii="Arial" w:hAnsi="Arial"/>
          <w:sz w:val="22"/>
          <w:szCs w:val="20"/>
          <w:lang w:eastAsia="en-US"/>
        </w:rPr>
        <w:t>Twenty nine per</w:t>
      </w:r>
      <w:r>
        <w:rPr>
          <w:rFonts w:ascii="Arial" w:hAnsi="Arial"/>
          <w:sz w:val="22"/>
          <w:szCs w:val="20"/>
          <w:lang w:eastAsia="en-US"/>
        </w:rPr>
        <w:t xml:space="preserve"> </w:t>
      </w:r>
      <w:r w:rsidRPr="00A27E82">
        <w:rPr>
          <w:rFonts w:ascii="Arial" w:hAnsi="Arial"/>
          <w:sz w:val="22"/>
          <w:szCs w:val="20"/>
          <w:lang w:eastAsia="en-US"/>
        </w:rPr>
        <w:t>cent of companies have become accredited but have not undertaken any projects requiring accreditation, thereby producing no direct financial benefit, which may influence perceived value for money.</w:t>
      </w:r>
    </w:p>
    <w:p w:rsidR="00A27E82" w:rsidRPr="00A27E82" w:rsidRDefault="00A27E82" w:rsidP="00A27E82">
      <w:pPr>
        <w:rPr>
          <w:rFonts w:ascii="Arial" w:hAnsi="Arial"/>
          <w:sz w:val="22"/>
          <w:szCs w:val="20"/>
          <w:lang w:eastAsia="en-US"/>
        </w:rPr>
      </w:pPr>
    </w:p>
    <w:p w:rsidR="00A27E82" w:rsidRPr="00A27E82" w:rsidRDefault="00A27E82" w:rsidP="00A27E82">
      <w:pPr>
        <w:rPr>
          <w:rFonts w:ascii="Arial" w:hAnsi="Arial"/>
          <w:sz w:val="22"/>
          <w:szCs w:val="20"/>
          <w:lang w:eastAsia="en-US"/>
        </w:rPr>
      </w:pPr>
      <w:r w:rsidRPr="00A27E82">
        <w:rPr>
          <w:rFonts w:ascii="Arial" w:hAnsi="Arial"/>
          <w:sz w:val="22"/>
          <w:szCs w:val="20"/>
          <w:lang w:eastAsia="en-US"/>
        </w:rPr>
        <w:t>Just 41.2 per cent of small companies consider</w:t>
      </w:r>
      <w:r w:rsidR="00B44A42">
        <w:rPr>
          <w:rFonts w:ascii="Arial" w:hAnsi="Arial"/>
          <w:sz w:val="22"/>
          <w:szCs w:val="20"/>
          <w:lang w:eastAsia="en-US"/>
        </w:rPr>
        <w:t>ed</w:t>
      </w:r>
      <w:r w:rsidRPr="00A27E82">
        <w:rPr>
          <w:rFonts w:ascii="Arial" w:hAnsi="Arial"/>
          <w:sz w:val="22"/>
          <w:szCs w:val="20"/>
          <w:lang w:eastAsia="en-US"/>
        </w:rPr>
        <w:t xml:space="preserve"> accreditation </w:t>
      </w:r>
      <w:r w:rsidR="00B44A42">
        <w:rPr>
          <w:rFonts w:ascii="Arial" w:hAnsi="Arial"/>
          <w:sz w:val="22"/>
          <w:szCs w:val="20"/>
          <w:lang w:eastAsia="en-US"/>
        </w:rPr>
        <w:t xml:space="preserve">to </w:t>
      </w:r>
      <w:r w:rsidRPr="00A27E82">
        <w:rPr>
          <w:rFonts w:ascii="Arial" w:hAnsi="Arial"/>
          <w:sz w:val="22"/>
          <w:szCs w:val="20"/>
          <w:lang w:eastAsia="en-US"/>
        </w:rPr>
        <w:t>represent value for money, compared with 63.6 per cent of medium companies and 70 per cent of large companies, while nearly all small companies (94.5 per cent) sa</w:t>
      </w:r>
      <w:r w:rsidR="00B44A42">
        <w:rPr>
          <w:rFonts w:ascii="Arial" w:hAnsi="Arial"/>
          <w:sz w:val="22"/>
          <w:szCs w:val="20"/>
          <w:lang w:eastAsia="en-US"/>
        </w:rPr>
        <w:t>id</w:t>
      </w:r>
      <w:r w:rsidRPr="00A27E82">
        <w:rPr>
          <w:rFonts w:ascii="Arial" w:hAnsi="Arial"/>
          <w:sz w:val="22"/>
          <w:szCs w:val="20"/>
          <w:lang w:eastAsia="en-US"/>
        </w:rPr>
        <w:t xml:space="preserve"> it ha</w:t>
      </w:r>
      <w:r w:rsidR="00B44A42">
        <w:rPr>
          <w:rFonts w:ascii="Arial" w:hAnsi="Arial"/>
          <w:sz w:val="22"/>
          <w:szCs w:val="20"/>
          <w:lang w:eastAsia="en-US"/>
        </w:rPr>
        <w:t>d</w:t>
      </w:r>
      <w:r w:rsidRPr="00A27E82">
        <w:rPr>
          <w:rFonts w:ascii="Arial" w:hAnsi="Arial"/>
          <w:sz w:val="22"/>
          <w:szCs w:val="20"/>
          <w:lang w:eastAsia="en-US"/>
        </w:rPr>
        <w:t xml:space="preserve"> improved safety. The value perception of small companies responding to the survey may </w:t>
      </w:r>
      <w:r w:rsidR="00B44A42">
        <w:rPr>
          <w:rFonts w:ascii="Arial" w:hAnsi="Arial"/>
          <w:sz w:val="22"/>
          <w:szCs w:val="20"/>
          <w:lang w:eastAsia="en-US"/>
        </w:rPr>
        <w:t xml:space="preserve">have been </w:t>
      </w:r>
      <w:r w:rsidRPr="00A27E82">
        <w:rPr>
          <w:rFonts w:ascii="Arial" w:hAnsi="Arial"/>
          <w:sz w:val="22"/>
          <w:szCs w:val="20"/>
          <w:lang w:eastAsia="en-US"/>
        </w:rPr>
        <w:t>impa</w:t>
      </w:r>
      <w:r w:rsidR="00667C8F">
        <w:rPr>
          <w:rFonts w:ascii="Arial" w:hAnsi="Arial"/>
          <w:sz w:val="22"/>
          <w:szCs w:val="20"/>
          <w:lang w:eastAsia="en-US"/>
        </w:rPr>
        <w:t>cted by the fact that just 55.6</w:t>
      </w:r>
      <w:r w:rsidR="002F2530">
        <w:rPr>
          <w:rFonts w:ascii="Arial" w:hAnsi="Arial"/>
          <w:sz w:val="22"/>
          <w:szCs w:val="20"/>
          <w:lang w:eastAsia="en-US"/>
        </w:rPr>
        <w:t> </w:t>
      </w:r>
      <w:r w:rsidR="00667C8F">
        <w:rPr>
          <w:rFonts w:ascii="Arial" w:hAnsi="Arial"/>
          <w:sz w:val="22"/>
          <w:szCs w:val="20"/>
          <w:lang w:eastAsia="en-US"/>
        </w:rPr>
        <w:t>p</w:t>
      </w:r>
      <w:r w:rsidRPr="00A27E82">
        <w:rPr>
          <w:rFonts w:ascii="Arial" w:hAnsi="Arial"/>
          <w:sz w:val="22"/>
          <w:szCs w:val="20"/>
          <w:lang w:eastAsia="en-US"/>
        </w:rPr>
        <w:t>er cent of small company respondents had undertaken a Scheme project, compared with 68.7 per cent of medium companies and 82.9 per cent of large companies.</w:t>
      </w:r>
    </w:p>
    <w:p w:rsidR="00A27E82" w:rsidRDefault="00A27E82" w:rsidP="00FC5E95">
      <w:pPr>
        <w:rPr>
          <w:rFonts w:ascii="Arial" w:hAnsi="Arial"/>
          <w:sz w:val="22"/>
          <w:szCs w:val="20"/>
          <w:lang w:eastAsia="en-US"/>
        </w:rPr>
      </w:pPr>
    </w:p>
    <w:p w:rsidR="00BA08FC" w:rsidRDefault="00CE0E95" w:rsidP="00BA08FC">
      <w:pPr>
        <w:rPr>
          <w:rFonts w:ascii="Arial" w:hAnsi="Arial" w:cs="Arial"/>
          <w:sz w:val="22"/>
          <w:szCs w:val="22"/>
        </w:rPr>
      </w:pPr>
      <w:r>
        <w:rPr>
          <w:rFonts w:ascii="Arial" w:hAnsi="Arial" w:cs="Arial"/>
          <w:sz w:val="22"/>
          <w:szCs w:val="22"/>
        </w:rPr>
        <w:t xml:space="preserve">As well as the self-assessment by accredited companies, submissions and Advisory Panel </w:t>
      </w:r>
      <w:r w:rsidR="00113A65">
        <w:rPr>
          <w:rFonts w:ascii="Arial" w:hAnsi="Arial" w:cs="Arial"/>
          <w:sz w:val="22"/>
          <w:szCs w:val="22"/>
        </w:rPr>
        <w:t xml:space="preserve">members raised a range of other points related to </w:t>
      </w:r>
      <w:r w:rsidR="005D2CF6">
        <w:rPr>
          <w:rFonts w:ascii="Arial" w:hAnsi="Arial" w:cs="Arial"/>
          <w:sz w:val="22"/>
          <w:szCs w:val="22"/>
        </w:rPr>
        <w:t xml:space="preserve">the </w:t>
      </w:r>
      <w:r w:rsidR="00113A65">
        <w:rPr>
          <w:rFonts w:ascii="Arial" w:hAnsi="Arial" w:cs="Arial"/>
          <w:sz w:val="22"/>
          <w:szCs w:val="22"/>
        </w:rPr>
        <w:t>cost-benefit</w:t>
      </w:r>
      <w:r w:rsidR="005D2CF6">
        <w:rPr>
          <w:rFonts w:ascii="Arial" w:hAnsi="Arial" w:cs="Arial"/>
          <w:sz w:val="22"/>
          <w:szCs w:val="22"/>
        </w:rPr>
        <w:t xml:space="preserve"> of the Scheme</w:t>
      </w:r>
      <w:r w:rsidR="00113A65">
        <w:rPr>
          <w:rFonts w:ascii="Arial" w:hAnsi="Arial" w:cs="Arial"/>
          <w:sz w:val="22"/>
          <w:szCs w:val="22"/>
        </w:rPr>
        <w:t>.</w:t>
      </w:r>
      <w:r w:rsidR="001804DB" w:rsidRPr="001804DB">
        <w:rPr>
          <w:rFonts w:ascii="Arial" w:hAnsi="Arial" w:cs="Arial"/>
          <w:sz w:val="22"/>
          <w:szCs w:val="22"/>
        </w:rPr>
        <w:t xml:space="preserve"> </w:t>
      </w:r>
      <w:r w:rsidR="001804DB">
        <w:rPr>
          <w:rFonts w:ascii="Arial" w:hAnsi="Arial" w:cs="Arial"/>
          <w:sz w:val="22"/>
          <w:szCs w:val="22"/>
        </w:rPr>
        <w:t>It is important to balance individual views and experiences of companies against a broader industry perspective.</w:t>
      </w:r>
    </w:p>
    <w:p w:rsidR="00113A65" w:rsidRDefault="00113A65" w:rsidP="00BA08FC">
      <w:pPr>
        <w:rPr>
          <w:rFonts w:ascii="Arial" w:hAnsi="Arial" w:cs="Arial"/>
          <w:sz w:val="22"/>
          <w:szCs w:val="22"/>
        </w:rPr>
      </w:pPr>
    </w:p>
    <w:p w:rsidR="001804DB" w:rsidRDefault="001804DB" w:rsidP="001804DB">
      <w:pPr>
        <w:rPr>
          <w:rFonts w:ascii="Arial" w:hAnsi="Arial" w:cs="Arial"/>
          <w:sz w:val="22"/>
          <w:szCs w:val="22"/>
        </w:rPr>
      </w:pPr>
      <w:r w:rsidRPr="00927940">
        <w:rPr>
          <w:rFonts w:ascii="Arial" w:hAnsi="Arial" w:cs="Arial"/>
          <w:sz w:val="22"/>
          <w:szCs w:val="22"/>
        </w:rPr>
        <w:t>Industry representatives on the Advisory Panel agreed that many companies, particularly small to medium</w:t>
      </w:r>
      <w:r w:rsidR="0048442C" w:rsidRPr="00927940">
        <w:rPr>
          <w:rFonts w:ascii="Arial" w:hAnsi="Arial" w:cs="Arial"/>
          <w:sz w:val="22"/>
          <w:szCs w:val="22"/>
        </w:rPr>
        <w:t>-</w:t>
      </w:r>
      <w:r w:rsidRPr="00927940">
        <w:rPr>
          <w:rFonts w:ascii="Arial" w:hAnsi="Arial" w:cs="Arial"/>
          <w:sz w:val="22"/>
          <w:szCs w:val="22"/>
        </w:rPr>
        <w:t xml:space="preserve">sized firms that have not experienced a fatality or major safety incident, may have limited awareness of the true cost of </w:t>
      </w:r>
      <w:r w:rsidR="005D2CF6" w:rsidRPr="00927940">
        <w:rPr>
          <w:rFonts w:ascii="Arial" w:hAnsi="Arial" w:cs="Arial"/>
          <w:sz w:val="22"/>
          <w:szCs w:val="22"/>
        </w:rPr>
        <w:t>such an incident</w:t>
      </w:r>
      <w:r w:rsidRPr="00927940">
        <w:rPr>
          <w:rFonts w:ascii="Arial" w:hAnsi="Arial" w:cs="Arial"/>
          <w:sz w:val="22"/>
          <w:szCs w:val="22"/>
        </w:rPr>
        <w:t xml:space="preserve">. The view was </w:t>
      </w:r>
      <w:r w:rsidR="001D07CC" w:rsidRPr="00927940">
        <w:rPr>
          <w:rFonts w:ascii="Arial" w:hAnsi="Arial" w:cs="Arial"/>
          <w:sz w:val="22"/>
          <w:szCs w:val="22"/>
        </w:rPr>
        <w:t>expressed</w:t>
      </w:r>
      <w:r w:rsidRPr="00927940">
        <w:rPr>
          <w:rFonts w:ascii="Arial" w:hAnsi="Arial" w:cs="Arial"/>
          <w:sz w:val="22"/>
          <w:szCs w:val="22"/>
        </w:rPr>
        <w:t xml:space="preserve"> that many smaller businesses do not survive a major safety incident, and that further work should be undertaken to </w:t>
      </w:r>
      <w:r w:rsidR="001D07CC" w:rsidRPr="00927940">
        <w:rPr>
          <w:rFonts w:ascii="Arial" w:hAnsi="Arial" w:cs="Arial"/>
          <w:sz w:val="22"/>
          <w:szCs w:val="22"/>
        </w:rPr>
        <w:t xml:space="preserve">market </w:t>
      </w:r>
      <w:r w:rsidRPr="00927940">
        <w:rPr>
          <w:rFonts w:ascii="Arial" w:hAnsi="Arial" w:cs="Arial"/>
          <w:sz w:val="22"/>
          <w:szCs w:val="22"/>
        </w:rPr>
        <w:t>the benefits of the Scheme’s systematic approach to minimising those risks.</w:t>
      </w:r>
      <w:r>
        <w:rPr>
          <w:rFonts w:ascii="Arial" w:hAnsi="Arial" w:cs="Arial"/>
          <w:sz w:val="22"/>
          <w:szCs w:val="22"/>
        </w:rPr>
        <w:t xml:space="preserve"> </w:t>
      </w:r>
    </w:p>
    <w:p w:rsidR="001804DB" w:rsidRDefault="001804DB" w:rsidP="001804DB">
      <w:pPr>
        <w:rPr>
          <w:rFonts w:ascii="Arial" w:hAnsi="Arial" w:cs="Arial"/>
          <w:sz w:val="22"/>
          <w:szCs w:val="22"/>
        </w:rPr>
      </w:pPr>
    </w:p>
    <w:p w:rsidR="00F8568C" w:rsidRDefault="0048442C" w:rsidP="00F8568C">
      <w:pPr>
        <w:rPr>
          <w:rFonts w:ascii="Arial" w:hAnsi="Arial" w:cs="Arial"/>
          <w:sz w:val="22"/>
          <w:szCs w:val="22"/>
        </w:rPr>
      </w:pPr>
      <w:r>
        <w:rPr>
          <w:rFonts w:ascii="Arial" w:hAnsi="Arial" w:cs="Arial"/>
          <w:sz w:val="22"/>
          <w:szCs w:val="22"/>
        </w:rPr>
        <w:t>ACA</w:t>
      </w:r>
      <w:r w:rsidR="00F8568C">
        <w:rPr>
          <w:rFonts w:ascii="Arial" w:hAnsi="Arial" w:cs="Arial"/>
          <w:sz w:val="22"/>
          <w:szCs w:val="22"/>
        </w:rPr>
        <w:t xml:space="preserve"> stated </w:t>
      </w:r>
      <w:r w:rsidR="00F8568C" w:rsidRPr="00024016">
        <w:rPr>
          <w:rFonts w:ascii="Arial" w:hAnsi="Arial" w:cs="Arial"/>
          <w:sz w:val="22"/>
          <w:szCs w:val="22"/>
        </w:rPr>
        <w:t xml:space="preserve">that </w:t>
      </w:r>
      <w:r w:rsidR="00F8568C">
        <w:rPr>
          <w:rFonts w:ascii="Arial" w:hAnsi="Arial" w:cs="Arial"/>
          <w:sz w:val="22"/>
          <w:szCs w:val="22"/>
        </w:rPr>
        <w:t xml:space="preserve">the </w:t>
      </w:r>
      <w:r w:rsidR="00F8568C" w:rsidRPr="00024016">
        <w:rPr>
          <w:rFonts w:ascii="Arial" w:hAnsi="Arial" w:cs="Arial"/>
          <w:sz w:val="22"/>
          <w:szCs w:val="22"/>
        </w:rPr>
        <w:t xml:space="preserve">costs </w:t>
      </w:r>
      <w:r w:rsidR="00F8568C">
        <w:rPr>
          <w:rFonts w:ascii="Arial" w:hAnsi="Arial" w:cs="Arial"/>
          <w:sz w:val="22"/>
          <w:szCs w:val="22"/>
        </w:rPr>
        <w:t xml:space="preserve">of gaining accreditation </w:t>
      </w:r>
      <w:r w:rsidR="00F8568C" w:rsidRPr="00024016">
        <w:rPr>
          <w:rFonts w:ascii="Arial" w:hAnsi="Arial" w:cs="Arial"/>
          <w:sz w:val="22"/>
          <w:szCs w:val="22"/>
        </w:rPr>
        <w:t>were not excessive or disproportionate to benefits gained</w:t>
      </w:r>
      <w:r w:rsidR="00F8568C">
        <w:rPr>
          <w:rFonts w:ascii="Arial" w:hAnsi="Arial" w:cs="Arial"/>
          <w:sz w:val="22"/>
          <w:szCs w:val="22"/>
        </w:rPr>
        <w:t xml:space="preserve">, although welcomed streamlining improvements. ACA indicated that the lost productivity from reducing, or not further improving, safety across the industry would have a far greater cost to the economy. </w:t>
      </w:r>
    </w:p>
    <w:p w:rsidR="00F8568C" w:rsidRDefault="00F8568C" w:rsidP="00F8568C">
      <w:pPr>
        <w:rPr>
          <w:rFonts w:ascii="Arial" w:hAnsi="Arial" w:cs="Arial"/>
          <w:sz w:val="22"/>
          <w:szCs w:val="22"/>
        </w:rPr>
      </w:pPr>
    </w:p>
    <w:p w:rsidR="00F8568C" w:rsidRDefault="0048442C" w:rsidP="00F8568C">
      <w:pPr>
        <w:rPr>
          <w:rFonts w:ascii="Arial" w:hAnsi="Arial" w:cs="Arial"/>
          <w:sz w:val="22"/>
          <w:szCs w:val="22"/>
        </w:rPr>
      </w:pPr>
      <w:r>
        <w:rPr>
          <w:rFonts w:ascii="Arial" w:hAnsi="Arial" w:cs="Arial"/>
          <w:sz w:val="22"/>
          <w:szCs w:val="22"/>
        </w:rPr>
        <w:t>MBA</w:t>
      </w:r>
      <w:r w:rsidR="00F8568C" w:rsidRPr="00024016">
        <w:rPr>
          <w:rFonts w:ascii="Arial" w:hAnsi="Arial" w:cs="Arial"/>
          <w:sz w:val="22"/>
          <w:szCs w:val="22"/>
        </w:rPr>
        <w:t xml:space="preserve"> </w:t>
      </w:r>
      <w:r w:rsidR="003755E9">
        <w:rPr>
          <w:rFonts w:ascii="Arial" w:hAnsi="Arial" w:cs="Arial"/>
          <w:sz w:val="22"/>
          <w:szCs w:val="22"/>
        </w:rPr>
        <w:t>reported</w:t>
      </w:r>
      <w:r w:rsidR="00F8568C" w:rsidRPr="00024016">
        <w:rPr>
          <w:rFonts w:ascii="Arial" w:hAnsi="Arial" w:cs="Arial"/>
          <w:sz w:val="22"/>
          <w:szCs w:val="22"/>
        </w:rPr>
        <w:t xml:space="preserve"> differing views among </w:t>
      </w:r>
      <w:r w:rsidR="001E799C">
        <w:rPr>
          <w:rFonts w:ascii="Arial" w:hAnsi="Arial" w:cs="Arial"/>
          <w:sz w:val="22"/>
          <w:szCs w:val="22"/>
        </w:rPr>
        <w:t xml:space="preserve">its </w:t>
      </w:r>
      <w:r w:rsidR="00F8568C" w:rsidRPr="00024016">
        <w:rPr>
          <w:rFonts w:ascii="Arial" w:hAnsi="Arial" w:cs="Arial"/>
          <w:sz w:val="22"/>
          <w:szCs w:val="22"/>
        </w:rPr>
        <w:t>members</w:t>
      </w:r>
      <w:r w:rsidR="003755E9">
        <w:rPr>
          <w:rFonts w:ascii="Arial" w:hAnsi="Arial" w:cs="Arial"/>
          <w:sz w:val="22"/>
          <w:szCs w:val="22"/>
        </w:rPr>
        <w:t>. H</w:t>
      </w:r>
      <w:r w:rsidR="00F8568C">
        <w:rPr>
          <w:rFonts w:ascii="Arial" w:hAnsi="Arial" w:cs="Arial"/>
          <w:sz w:val="22"/>
          <w:szCs w:val="22"/>
        </w:rPr>
        <w:t>owever</w:t>
      </w:r>
      <w:r w:rsidR="003755E9">
        <w:rPr>
          <w:rFonts w:ascii="Arial" w:hAnsi="Arial" w:cs="Arial"/>
          <w:sz w:val="22"/>
          <w:szCs w:val="22"/>
        </w:rPr>
        <w:t>,</w:t>
      </w:r>
      <w:r w:rsidR="00F8568C">
        <w:rPr>
          <w:rFonts w:ascii="Arial" w:hAnsi="Arial" w:cs="Arial"/>
          <w:sz w:val="22"/>
          <w:szCs w:val="22"/>
        </w:rPr>
        <w:t xml:space="preserve"> reducing compliance costs and barriers to entry for small companies was seen as a critical issue.</w:t>
      </w:r>
    </w:p>
    <w:p w:rsidR="00F8568C" w:rsidRDefault="00F8568C" w:rsidP="00F8568C">
      <w:pPr>
        <w:rPr>
          <w:rFonts w:ascii="Arial" w:hAnsi="Arial" w:cs="Arial"/>
          <w:sz w:val="22"/>
          <w:szCs w:val="22"/>
        </w:rPr>
      </w:pPr>
    </w:p>
    <w:p w:rsidR="0048442C" w:rsidRDefault="00F160F7" w:rsidP="00F160F7">
      <w:pPr>
        <w:rPr>
          <w:rFonts w:ascii="Arial" w:hAnsi="Arial" w:cs="Arial"/>
          <w:sz w:val="22"/>
          <w:szCs w:val="22"/>
        </w:rPr>
      </w:pPr>
      <w:r>
        <w:rPr>
          <w:rFonts w:ascii="Arial" w:hAnsi="Arial" w:cs="Arial"/>
          <w:sz w:val="22"/>
          <w:szCs w:val="22"/>
        </w:rPr>
        <w:t xml:space="preserve">It was </w:t>
      </w:r>
      <w:r w:rsidR="00F8568C">
        <w:rPr>
          <w:rFonts w:ascii="Arial" w:hAnsi="Arial" w:cs="Arial"/>
          <w:sz w:val="22"/>
          <w:szCs w:val="22"/>
        </w:rPr>
        <w:t xml:space="preserve">also </w:t>
      </w:r>
      <w:r>
        <w:rPr>
          <w:rFonts w:ascii="Arial" w:hAnsi="Arial" w:cs="Arial"/>
          <w:sz w:val="22"/>
          <w:szCs w:val="22"/>
        </w:rPr>
        <w:t xml:space="preserve">apparent that there is </w:t>
      </w:r>
      <w:r w:rsidR="00F8568C">
        <w:rPr>
          <w:rFonts w:ascii="Arial" w:hAnsi="Arial" w:cs="Arial"/>
          <w:sz w:val="22"/>
          <w:szCs w:val="22"/>
        </w:rPr>
        <w:t xml:space="preserve">some </w:t>
      </w:r>
      <w:r>
        <w:rPr>
          <w:rFonts w:ascii="Arial" w:hAnsi="Arial" w:cs="Arial"/>
          <w:sz w:val="22"/>
          <w:szCs w:val="22"/>
        </w:rPr>
        <w:t>mis</w:t>
      </w:r>
      <w:r w:rsidR="00F8568C">
        <w:rPr>
          <w:rFonts w:ascii="Arial" w:hAnsi="Arial" w:cs="Arial"/>
          <w:sz w:val="22"/>
          <w:szCs w:val="22"/>
        </w:rPr>
        <w:t xml:space="preserve">understanding in the industry </w:t>
      </w:r>
      <w:r>
        <w:rPr>
          <w:rFonts w:ascii="Arial" w:hAnsi="Arial" w:cs="Arial"/>
          <w:sz w:val="22"/>
          <w:szCs w:val="22"/>
        </w:rPr>
        <w:t xml:space="preserve">about what is required to become accredited, particularly </w:t>
      </w:r>
      <w:r w:rsidR="007478B6">
        <w:rPr>
          <w:rFonts w:ascii="Arial" w:hAnsi="Arial" w:cs="Arial"/>
          <w:sz w:val="22"/>
          <w:szCs w:val="22"/>
        </w:rPr>
        <w:t>in</w:t>
      </w:r>
      <w:r>
        <w:rPr>
          <w:rFonts w:ascii="Arial" w:hAnsi="Arial" w:cs="Arial"/>
          <w:sz w:val="22"/>
          <w:szCs w:val="22"/>
        </w:rPr>
        <w:t xml:space="preserve"> companies that have not </w:t>
      </w:r>
      <w:r w:rsidR="00F8568C">
        <w:rPr>
          <w:rFonts w:ascii="Arial" w:hAnsi="Arial" w:cs="Arial"/>
          <w:sz w:val="22"/>
          <w:szCs w:val="22"/>
        </w:rPr>
        <w:t xml:space="preserve">pursued </w:t>
      </w:r>
      <w:r>
        <w:rPr>
          <w:rFonts w:ascii="Arial" w:hAnsi="Arial" w:cs="Arial"/>
          <w:sz w:val="22"/>
          <w:szCs w:val="22"/>
        </w:rPr>
        <w:t xml:space="preserve">accreditation. </w:t>
      </w:r>
      <w:r w:rsidR="00F8568C">
        <w:rPr>
          <w:rFonts w:ascii="Arial" w:hAnsi="Arial" w:cs="Arial"/>
          <w:sz w:val="22"/>
          <w:szCs w:val="22"/>
        </w:rPr>
        <w:t>For example, f</w:t>
      </w:r>
      <w:r>
        <w:rPr>
          <w:rFonts w:ascii="Arial" w:hAnsi="Arial" w:cs="Arial"/>
          <w:sz w:val="22"/>
          <w:szCs w:val="22"/>
        </w:rPr>
        <w:t xml:space="preserve">eedback through the </w:t>
      </w:r>
      <w:r w:rsidR="006111DA">
        <w:rPr>
          <w:rFonts w:ascii="Arial" w:hAnsi="Arial" w:cs="Arial"/>
          <w:sz w:val="22"/>
          <w:szCs w:val="22"/>
        </w:rPr>
        <w:t>R</w:t>
      </w:r>
      <w:r>
        <w:rPr>
          <w:rFonts w:ascii="Arial" w:hAnsi="Arial" w:cs="Arial"/>
          <w:sz w:val="22"/>
          <w:szCs w:val="22"/>
        </w:rPr>
        <w:t>eview process suggests that many companies consider that engaging consultants, or full</w:t>
      </w:r>
      <w:r w:rsidR="006111DA">
        <w:rPr>
          <w:rFonts w:ascii="Arial" w:hAnsi="Arial" w:cs="Arial"/>
          <w:sz w:val="22"/>
          <w:szCs w:val="22"/>
        </w:rPr>
        <w:t>-</w:t>
      </w:r>
      <w:r>
        <w:rPr>
          <w:rFonts w:ascii="Arial" w:hAnsi="Arial" w:cs="Arial"/>
          <w:sz w:val="22"/>
          <w:szCs w:val="22"/>
        </w:rPr>
        <w:t xml:space="preserve">time safety system personnel, is required to become accredited. It may be that consulting firms are contributing to this perception for commercial reasons. While for many larger companies this </w:t>
      </w:r>
      <w:r w:rsidR="00F8568C">
        <w:rPr>
          <w:rFonts w:ascii="Arial" w:hAnsi="Arial" w:cs="Arial"/>
          <w:sz w:val="22"/>
          <w:szCs w:val="22"/>
        </w:rPr>
        <w:t xml:space="preserve">investment </w:t>
      </w:r>
      <w:r>
        <w:rPr>
          <w:rFonts w:ascii="Arial" w:hAnsi="Arial" w:cs="Arial"/>
          <w:sz w:val="22"/>
          <w:szCs w:val="22"/>
        </w:rPr>
        <w:t>would be justified</w:t>
      </w:r>
      <w:r w:rsidR="00F8568C">
        <w:rPr>
          <w:rFonts w:ascii="Arial" w:hAnsi="Arial" w:cs="Arial"/>
          <w:sz w:val="22"/>
          <w:szCs w:val="22"/>
        </w:rPr>
        <w:t xml:space="preserve">, </w:t>
      </w:r>
      <w:r>
        <w:rPr>
          <w:rFonts w:ascii="Arial" w:hAnsi="Arial" w:cs="Arial"/>
          <w:sz w:val="22"/>
          <w:szCs w:val="22"/>
        </w:rPr>
        <w:t xml:space="preserve">there are many examples of smaller firms becoming accredited without incurring these additional costs. </w:t>
      </w:r>
    </w:p>
    <w:p w:rsidR="0048442C" w:rsidRDefault="0048442C" w:rsidP="00F160F7">
      <w:pPr>
        <w:rPr>
          <w:rFonts w:ascii="Arial" w:hAnsi="Arial" w:cs="Arial"/>
          <w:sz w:val="22"/>
          <w:szCs w:val="22"/>
        </w:rPr>
      </w:pPr>
    </w:p>
    <w:p w:rsidR="00F160F7" w:rsidRDefault="00F8568C" w:rsidP="00F160F7">
      <w:pPr>
        <w:rPr>
          <w:rFonts w:ascii="Arial" w:hAnsi="Arial" w:cs="Arial"/>
          <w:sz w:val="22"/>
          <w:szCs w:val="22"/>
        </w:rPr>
      </w:pPr>
      <w:r>
        <w:rPr>
          <w:rFonts w:ascii="Arial" w:hAnsi="Arial" w:cs="Arial"/>
          <w:sz w:val="22"/>
          <w:szCs w:val="22"/>
        </w:rPr>
        <w:t xml:space="preserve">The Advisory Panel and </w:t>
      </w:r>
      <w:r w:rsidR="00F160F7">
        <w:rPr>
          <w:rFonts w:ascii="Arial" w:hAnsi="Arial" w:cs="Arial"/>
          <w:sz w:val="22"/>
          <w:szCs w:val="22"/>
        </w:rPr>
        <w:t xml:space="preserve">stakeholders agreed that the OFSC needs to devote more resources and effort </w:t>
      </w:r>
      <w:r>
        <w:rPr>
          <w:rFonts w:ascii="Arial" w:hAnsi="Arial" w:cs="Arial"/>
          <w:sz w:val="22"/>
          <w:szCs w:val="22"/>
        </w:rPr>
        <w:t>to dispelling negative perceptions and misinformation</w:t>
      </w:r>
      <w:r w:rsidR="00F160F7">
        <w:rPr>
          <w:rFonts w:ascii="Arial" w:hAnsi="Arial" w:cs="Arial"/>
          <w:sz w:val="22"/>
          <w:szCs w:val="22"/>
        </w:rPr>
        <w:t xml:space="preserve">, including </w:t>
      </w:r>
      <w:r>
        <w:rPr>
          <w:rFonts w:ascii="Arial" w:hAnsi="Arial" w:cs="Arial"/>
          <w:sz w:val="22"/>
          <w:szCs w:val="22"/>
        </w:rPr>
        <w:t xml:space="preserve">through </w:t>
      </w:r>
      <w:r w:rsidR="00F160F7">
        <w:rPr>
          <w:rFonts w:ascii="Arial" w:hAnsi="Arial" w:cs="Arial"/>
          <w:sz w:val="22"/>
          <w:szCs w:val="22"/>
        </w:rPr>
        <w:t xml:space="preserve">case studies and other </w:t>
      </w:r>
      <w:r>
        <w:rPr>
          <w:rFonts w:ascii="Arial" w:hAnsi="Arial" w:cs="Arial"/>
          <w:sz w:val="22"/>
          <w:szCs w:val="22"/>
        </w:rPr>
        <w:t xml:space="preserve">communication </w:t>
      </w:r>
      <w:r w:rsidR="00F160F7">
        <w:rPr>
          <w:rFonts w:ascii="Arial" w:hAnsi="Arial" w:cs="Arial"/>
          <w:sz w:val="22"/>
          <w:szCs w:val="22"/>
        </w:rPr>
        <w:t xml:space="preserve">material to show real examples of </w:t>
      </w:r>
      <w:r w:rsidR="0048442C">
        <w:rPr>
          <w:rFonts w:ascii="Arial" w:hAnsi="Arial" w:cs="Arial"/>
          <w:sz w:val="22"/>
          <w:szCs w:val="22"/>
        </w:rPr>
        <w:t>companies</w:t>
      </w:r>
      <w:r>
        <w:rPr>
          <w:rFonts w:ascii="Arial" w:hAnsi="Arial" w:cs="Arial"/>
          <w:sz w:val="22"/>
          <w:szCs w:val="22"/>
        </w:rPr>
        <w:t>’ experiences</w:t>
      </w:r>
      <w:r w:rsidR="00F160F7">
        <w:rPr>
          <w:rFonts w:ascii="Arial" w:hAnsi="Arial" w:cs="Arial"/>
          <w:sz w:val="22"/>
          <w:szCs w:val="22"/>
        </w:rPr>
        <w:t>.</w:t>
      </w:r>
    </w:p>
    <w:p w:rsidR="00927940" w:rsidRDefault="00927940" w:rsidP="003005B9">
      <w:pPr>
        <w:pStyle w:val="Heading2"/>
      </w:pPr>
      <w:bookmarkStart w:id="11" w:name="_Toc390429507"/>
    </w:p>
    <w:p w:rsidR="005D2CF6" w:rsidRDefault="001D07CC" w:rsidP="003005B9">
      <w:pPr>
        <w:pStyle w:val="Heading2"/>
      </w:pPr>
      <w:r w:rsidRPr="00AA5BB8">
        <w:t>Conclusion</w:t>
      </w:r>
      <w:bookmarkEnd w:id="11"/>
    </w:p>
    <w:p w:rsidR="00927940" w:rsidRPr="00927940" w:rsidRDefault="00927940" w:rsidP="00927940"/>
    <w:p w:rsidR="006111DA" w:rsidRDefault="001D07CC" w:rsidP="00BA08FC">
      <w:pPr>
        <w:rPr>
          <w:rFonts w:ascii="Arial" w:hAnsi="Arial" w:cs="Arial"/>
          <w:sz w:val="22"/>
          <w:szCs w:val="22"/>
        </w:rPr>
      </w:pPr>
      <w:r>
        <w:rPr>
          <w:rFonts w:ascii="Arial" w:hAnsi="Arial" w:cs="Arial"/>
          <w:sz w:val="22"/>
          <w:szCs w:val="22"/>
        </w:rPr>
        <w:t xml:space="preserve">There is strong support from industry associations and other key stakeholders for the benefits that the Scheme provides, both at the individual </w:t>
      </w:r>
      <w:r w:rsidR="003755E9">
        <w:rPr>
          <w:rFonts w:ascii="Arial" w:hAnsi="Arial" w:cs="Arial"/>
          <w:sz w:val="22"/>
          <w:szCs w:val="22"/>
        </w:rPr>
        <w:t>company</w:t>
      </w:r>
      <w:r>
        <w:rPr>
          <w:rFonts w:ascii="Arial" w:hAnsi="Arial" w:cs="Arial"/>
          <w:sz w:val="22"/>
          <w:szCs w:val="22"/>
        </w:rPr>
        <w:t xml:space="preserve"> </w:t>
      </w:r>
      <w:r w:rsidR="00634A78">
        <w:rPr>
          <w:rFonts w:ascii="Arial" w:hAnsi="Arial" w:cs="Arial"/>
          <w:sz w:val="22"/>
          <w:szCs w:val="22"/>
        </w:rPr>
        <w:t xml:space="preserve">and worker </w:t>
      </w:r>
      <w:r>
        <w:rPr>
          <w:rFonts w:ascii="Arial" w:hAnsi="Arial" w:cs="Arial"/>
          <w:sz w:val="22"/>
          <w:szCs w:val="22"/>
        </w:rPr>
        <w:t xml:space="preserve">level, and for the industry more broadly. </w:t>
      </w:r>
    </w:p>
    <w:p w:rsidR="006111DA" w:rsidRDefault="006111DA" w:rsidP="00BA08FC">
      <w:pPr>
        <w:rPr>
          <w:rFonts w:ascii="Arial" w:hAnsi="Arial" w:cs="Arial"/>
          <w:sz w:val="22"/>
          <w:szCs w:val="22"/>
        </w:rPr>
      </w:pPr>
    </w:p>
    <w:p w:rsidR="00634A78" w:rsidRDefault="001D07CC" w:rsidP="00BA08FC">
      <w:pPr>
        <w:rPr>
          <w:rFonts w:ascii="Arial" w:hAnsi="Arial" w:cs="Arial"/>
          <w:sz w:val="22"/>
          <w:szCs w:val="22"/>
        </w:rPr>
      </w:pPr>
      <w:r>
        <w:rPr>
          <w:rFonts w:ascii="Arial" w:hAnsi="Arial" w:cs="Arial"/>
          <w:sz w:val="22"/>
          <w:szCs w:val="22"/>
        </w:rPr>
        <w:t>Achieving accreditation does involve costs</w:t>
      </w:r>
      <w:r w:rsidR="0090460E">
        <w:rPr>
          <w:rFonts w:ascii="Arial" w:hAnsi="Arial" w:cs="Arial"/>
          <w:sz w:val="22"/>
          <w:szCs w:val="22"/>
        </w:rPr>
        <w:t>,</w:t>
      </w:r>
      <w:r>
        <w:rPr>
          <w:rFonts w:ascii="Arial" w:hAnsi="Arial" w:cs="Arial"/>
          <w:sz w:val="22"/>
          <w:szCs w:val="22"/>
        </w:rPr>
        <w:t xml:space="preserve"> as companies are required to implement higher quality safety systems and processes tha</w:t>
      </w:r>
      <w:r w:rsidR="00634A78">
        <w:rPr>
          <w:rFonts w:ascii="Arial" w:hAnsi="Arial" w:cs="Arial"/>
          <w:sz w:val="22"/>
          <w:szCs w:val="22"/>
        </w:rPr>
        <w:t xml:space="preserve">n they might </w:t>
      </w:r>
      <w:r>
        <w:rPr>
          <w:rFonts w:ascii="Arial" w:hAnsi="Arial" w:cs="Arial"/>
          <w:sz w:val="22"/>
          <w:szCs w:val="22"/>
        </w:rPr>
        <w:t xml:space="preserve">otherwise </w:t>
      </w:r>
      <w:r w:rsidR="00634A78">
        <w:rPr>
          <w:rFonts w:ascii="Arial" w:hAnsi="Arial" w:cs="Arial"/>
          <w:sz w:val="22"/>
          <w:szCs w:val="22"/>
        </w:rPr>
        <w:t xml:space="preserve">have </w:t>
      </w:r>
      <w:r>
        <w:rPr>
          <w:rFonts w:ascii="Arial" w:hAnsi="Arial" w:cs="Arial"/>
          <w:sz w:val="22"/>
          <w:szCs w:val="22"/>
        </w:rPr>
        <w:t>had. There is strong agreement that the process of becoming and remaining accredited can and should be streamlined to reduce costs and barriers to entry, particular</w:t>
      </w:r>
      <w:r w:rsidR="00634A78">
        <w:rPr>
          <w:rFonts w:ascii="Arial" w:hAnsi="Arial" w:cs="Arial"/>
          <w:sz w:val="22"/>
          <w:szCs w:val="22"/>
        </w:rPr>
        <w:t>l</w:t>
      </w:r>
      <w:r>
        <w:rPr>
          <w:rFonts w:ascii="Arial" w:hAnsi="Arial" w:cs="Arial"/>
          <w:sz w:val="22"/>
          <w:szCs w:val="22"/>
        </w:rPr>
        <w:t>y for small and medium</w:t>
      </w:r>
      <w:r w:rsidR="0090460E">
        <w:rPr>
          <w:rFonts w:ascii="Arial" w:hAnsi="Arial" w:cs="Arial"/>
          <w:sz w:val="22"/>
          <w:szCs w:val="22"/>
        </w:rPr>
        <w:t>-</w:t>
      </w:r>
      <w:r>
        <w:rPr>
          <w:rFonts w:ascii="Arial" w:hAnsi="Arial" w:cs="Arial"/>
          <w:sz w:val="22"/>
          <w:szCs w:val="22"/>
        </w:rPr>
        <w:t>sized builders.</w:t>
      </w:r>
    </w:p>
    <w:p w:rsidR="00634A78" w:rsidRDefault="00634A78" w:rsidP="00BA08FC">
      <w:pPr>
        <w:rPr>
          <w:rFonts w:ascii="Arial" w:hAnsi="Arial" w:cs="Arial"/>
          <w:sz w:val="22"/>
          <w:szCs w:val="22"/>
        </w:rPr>
      </w:pPr>
    </w:p>
    <w:p w:rsidR="002D6CEC" w:rsidRDefault="002D6CEC" w:rsidP="002D6CEC">
      <w:pPr>
        <w:rPr>
          <w:rFonts w:ascii="Arial" w:hAnsi="Arial" w:cs="Arial"/>
          <w:sz w:val="22"/>
          <w:szCs w:val="22"/>
        </w:rPr>
      </w:pPr>
      <w:r>
        <w:rPr>
          <w:rFonts w:ascii="Arial" w:hAnsi="Arial" w:cs="Arial"/>
          <w:sz w:val="22"/>
          <w:szCs w:val="22"/>
        </w:rPr>
        <w:t>The following sections of the report make a range of recommendations to address costs and barriers, both actual and perceived, while preserving and improving the safety outcomes.</w:t>
      </w:r>
    </w:p>
    <w:p w:rsidR="00042404" w:rsidRDefault="00042404">
      <w:pPr>
        <w:rPr>
          <w:rFonts w:ascii="Arial" w:hAnsi="Arial" w:cs="Arial"/>
          <w:sz w:val="22"/>
          <w:szCs w:val="22"/>
        </w:rPr>
      </w:pPr>
    </w:p>
    <w:p w:rsidR="007B5A3A" w:rsidRPr="00793E83" w:rsidRDefault="008F48B3" w:rsidP="00B01E1D">
      <w:pPr>
        <w:pStyle w:val="Heading1"/>
      </w:pPr>
      <w:bookmarkStart w:id="12" w:name="_Toc390429508"/>
      <w:r w:rsidRPr="00793E83">
        <w:t>Co</w:t>
      </w:r>
      <w:r w:rsidR="007B5A3A" w:rsidRPr="00793E83">
        <w:t>verage of the Scheme</w:t>
      </w:r>
      <w:bookmarkEnd w:id="5"/>
      <w:bookmarkEnd w:id="12"/>
    </w:p>
    <w:p w:rsidR="00E44B15" w:rsidRPr="00E44B15" w:rsidRDefault="00E44B15" w:rsidP="00E44B15">
      <w:pPr>
        <w:rPr>
          <w:rFonts w:ascii="Arial" w:hAnsi="Arial" w:cs="Arial"/>
          <w:sz w:val="22"/>
          <w:szCs w:val="22"/>
        </w:rPr>
      </w:pPr>
    </w:p>
    <w:p w:rsidR="0090460E" w:rsidRDefault="00FB51B7" w:rsidP="000C6988">
      <w:pPr>
        <w:spacing w:after="120"/>
        <w:rPr>
          <w:rFonts w:ascii="Arial" w:hAnsi="Arial" w:cs="Arial"/>
          <w:sz w:val="22"/>
          <w:szCs w:val="22"/>
        </w:rPr>
      </w:pPr>
      <w:r>
        <w:rPr>
          <w:rFonts w:ascii="Arial" w:hAnsi="Arial" w:cs="Arial"/>
          <w:sz w:val="22"/>
          <w:szCs w:val="22"/>
        </w:rPr>
        <w:t>A</w:t>
      </w:r>
      <w:r w:rsidR="005A56D3" w:rsidRPr="00A672CE">
        <w:rPr>
          <w:rFonts w:ascii="Arial" w:hAnsi="Arial" w:cs="Arial"/>
          <w:sz w:val="22"/>
          <w:szCs w:val="22"/>
        </w:rPr>
        <w:t xml:space="preserve">djusting the coverage of the Scheme is one way in which red tape reductions can be </w:t>
      </w:r>
      <w:r w:rsidR="00F8568C">
        <w:rPr>
          <w:rFonts w:ascii="Arial" w:hAnsi="Arial" w:cs="Arial"/>
          <w:sz w:val="22"/>
          <w:szCs w:val="22"/>
        </w:rPr>
        <w:t>made. Coverage of the Scheme is established primarily through</w:t>
      </w:r>
      <w:r w:rsidR="00651E5A">
        <w:rPr>
          <w:rFonts w:ascii="Arial" w:hAnsi="Arial" w:cs="Arial"/>
          <w:sz w:val="22"/>
          <w:szCs w:val="22"/>
        </w:rPr>
        <w:t>:</w:t>
      </w:r>
      <w:r w:rsidR="00F8568C">
        <w:rPr>
          <w:rFonts w:ascii="Arial" w:hAnsi="Arial" w:cs="Arial"/>
          <w:sz w:val="22"/>
          <w:szCs w:val="22"/>
        </w:rPr>
        <w:t xml:space="preserve"> </w:t>
      </w:r>
    </w:p>
    <w:p w:rsidR="0090460E" w:rsidRPr="009B20EF" w:rsidRDefault="00F8568C" w:rsidP="008C1B31">
      <w:pPr>
        <w:pStyle w:val="ListParagraph"/>
        <w:numPr>
          <w:ilvl w:val="0"/>
          <w:numId w:val="16"/>
        </w:numPr>
        <w:rPr>
          <w:rFonts w:ascii="Arial" w:hAnsi="Arial" w:cs="Arial"/>
        </w:rPr>
      </w:pPr>
      <w:r w:rsidRPr="009B20EF">
        <w:rPr>
          <w:rFonts w:ascii="Arial" w:hAnsi="Arial" w:cs="Arial"/>
        </w:rPr>
        <w:t xml:space="preserve">the financial </w:t>
      </w:r>
      <w:r w:rsidR="005A56D3" w:rsidRPr="009B20EF">
        <w:rPr>
          <w:rFonts w:ascii="Arial" w:hAnsi="Arial" w:cs="Arial"/>
        </w:rPr>
        <w:t>thresholds</w:t>
      </w:r>
      <w:r w:rsidRPr="009B20EF">
        <w:rPr>
          <w:rFonts w:ascii="Arial" w:hAnsi="Arial" w:cs="Arial"/>
        </w:rPr>
        <w:t xml:space="preserve"> at which </w:t>
      </w:r>
      <w:r w:rsidR="00A170A6" w:rsidRPr="009B20EF">
        <w:rPr>
          <w:rFonts w:ascii="Arial" w:hAnsi="Arial" w:cs="Arial"/>
        </w:rPr>
        <w:t xml:space="preserve">Commonwealth </w:t>
      </w:r>
      <w:r w:rsidR="00FC1DCE" w:rsidRPr="009B20EF">
        <w:rPr>
          <w:rFonts w:ascii="Arial" w:hAnsi="Arial" w:cs="Arial"/>
        </w:rPr>
        <w:t>G</w:t>
      </w:r>
      <w:r w:rsidRPr="009B20EF">
        <w:rPr>
          <w:rFonts w:ascii="Arial" w:hAnsi="Arial" w:cs="Arial"/>
        </w:rPr>
        <w:t>overnment funded projects trigger the accreditation requirements and</w:t>
      </w:r>
      <w:r w:rsidR="005A56D3" w:rsidRPr="009B20EF">
        <w:rPr>
          <w:rFonts w:ascii="Arial" w:hAnsi="Arial" w:cs="Arial"/>
        </w:rPr>
        <w:t xml:space="preserve"> </w:t>
      </w:r>
    </w:p>
    <w:p w:rsidR="0090460E" w:rsidRPr="009B20EF" w:rsidRDefault="005A56D3" w:rsidP="008C1B31">
      <w:pPr>
        <w:pStyle w:val="ListParagraph"/>
        <w:numPr>
          <w:ilvl w:val="0"/>
          <w:numId w:val="16"/>
        </w:numPr>
        <w:rPr>
          <w:rFonts w:ascii="Arial" w:hAnsi="Arial" w:cs="Arial"/>
        </w:rPr>
      </w:pPr>
      <w:r w:rsidRPr="009B20EF">
        <w:rPr>
          <w:rFonts w:ascii="Arial" w:hAnsi="Arial" w:cs="Arial"/>
        </w:rPr>
        <w:t>the definition of building work</w:t>
      </w:r>
      <w:r w:rsidR="00F8568C" w:rsidRPr="009B20EF">
        <w:rPr>
          <w:rFonts w:ascii="Arial" w:hAnsi="Arial" w:cs="Arial"/>
        </w:rPr>
        <w:t xml:space="preserve"> to which the Scheme applies. </w:t>
      </w:r>
    </w:p>
    <w:p w:rsidR="005A56D3" w:rsidRPr="00042404" w:rsidRDefault="00F8568C" w:rsidP="0090460E">
      <w:pPr>
        <w:rPr>
          <w:rFonts w:ascii="Arial" w:hAnsi="Arial" w:cs="Arial"/>
          <w:sz w:val="22"/>
          <w:szCs w:val="22"/>
        </w:rPr>
      </w:pPr>
      <w:r w:rsidRPr="00042404">
        <w:rPr>
          <w:rFonts w:ascii="Arial" w:hAnsi="Arial" w:cs="Arial"/>
          <w:sz w:val="22"/>
          <w:szCs w:val="22"/>
        </w:rPr>
        <w:t xml:space="preserve">A further consideration, canvassed in the Discussion Paper, is </w:t>
      </w:r>
      <w:r w:rsidR="005A56D3" w:rsidRPr="00042404">
        <w:rPr>
          <w:rFonts w:ascii="Arial" w:hAnsi="Arial" w:cs="Arial"/>
          <w:sz w:val="22"/>
          <w:szCs w:val="22"/>
        </w:rPr>
        <w:t xml:space="preserve">whether </w:t>
      </w:r>
      <w:r w:rsidRPr="00042404">
        <w:rPr>
          <w:rFonts w:ascii="Arial" w:hAnsi="Arial" w:cs="Arial"/>
          <w:sz w:val="22"/>
          <w:szCs w:val="22"/>
        </w:rPr>
        <w:t xml:space="preserve">there is a case for any individual </w:t>
      </w:r>
      <w:r w:rsidR="005A56D3" w:rsidRPr="00042404">
        <w:rPr>
          <w:rFonts w:ascii="Arial" w:hAnsi="Arial" w:cs="Arial"/>
          <w:sz w:val="22"/>
          <w:szCs w:val="22"/>
        </w:rPr>
        <w:t>exemptions</w:t>
      </w:r>
      <w:r w:rsidR="00B0300A">
        <w:rPr>
          <w:rFonts w:ascii="Arial" w:hAnsi="Arial" w:cs="Arial"/>
          <w:sz w:val="22"/>
          <w:szCs w:val="22"/>
        </w:rPr>
        <w:t>, for example,</w:t>
      </w:r>
      <w:r w:rsidRPr="00042404">
        <w:rPr>
          <w:rFonts w:ascii="Arial" w:hAnsi="Arial" w:cs="Arial"/>
          <w:sz w:val="22"/>
          <w:szCs w:val="22"/>
        </w:rPr>
        <w:t xml:space="preserve"> </w:t>
      </w:r>
      <w:r w:rsidR="00B0300A">
        <w:rPr>
          <w:rFonts w:ascii="Arial" w:hAnsi="Arial" w:cs="Arial"/>
          <w:sz w:val="22"/>
          <w:szCs w:val="22"/>
        </w:rPr>
        <w:t xml:space="preserve">for </w:t>
      </w:r>
      <w:r w:rsidRPr="00042404">
        <w:rPr>
          <w:rFonts w:ascii="Arial" w:hAnsi="Arial" w:cs="Arial"/>
          <w:sz w:val="22"/>
          <w:szCs w:val="22"/>
        </w:rPr>
        <w:t xml:space="preserve">specific projects, </w:t>
      </w:r>
      <w:r w:rsidR="0090460E" w:rsidRPr="00042404">
        <w:rPr>
          <w:rFonts w:ascii="Arial" w:hAnsi="Arial" w:cs="Arial"/>
          <w:sz w:val="22"/>
          <w:szCs w:val="22"/>
        </w:rPr>
        <w:t xml:space="preserve">circumstances or </w:t>
      </w:r>
      <w:r w:rsidRPr="00042404">
        <w:rPr>
          <w:rFonts w:ascii="Arial" w:hAnsi="Arial" w:cs="Arial"/>
          <w:sz w:val="22"/>
          <w:szCs w:val="22"/>
        </w:rPr>
        <w:t>regions</w:t>
      </w:r>
      <w:r w:rsidR="005A56D3" w:rsidRPr="00042404">
        <w:rPr>
          <w:rFonts w:ascii="Arial" w:hAnsi="Arial" w:cs="Arial"/>
          <w:sz w:val="22"/>
          <w:szCs w:val="22"/>
        </w:rPr>
        <w:t xml:space="preserve">. </w:t>
      </w:r>
    </w:p>
    <w:p w:rsidR="005A56D3" w:rsidRDefault="005A56D3" w:rsidP="00E44B15">
      <w:pPr>
        <w:rPr>
          <w:rFonts w:ascii="Arial" w:hAnsi="Arial" w:cs="Arial"/>
          <w:sz w:val="22"/>
          <w:szCs w:val="22"/>
        </w:rPr>
      </w:pPr>
    </w:p>
    <w:p w:rsidR="007B5A3A" w:rsidRDefault="008A7DC5" w:rsidP="003005B9">
      <w:pPr>
        <w:pStyle w:val="Heading2"/>
      </w:pPr>
      <w:bookmarkStart w:id="13" w:name="_Toc382816464"/>
      <w:bookmarkStart w:id="14" w:name="_Toc390429509"/>
      <w:r>
        <w:t>T</w:t>
      </w:r>
      <w:r w:rsidR="007B5A3A" w:rsidRPr="007B5A3A">
        <w:t>hresholds</w:t>
      </w:r>
      <w:bookmarkEnd w:id="13"/>
      <w:bookmarkEnd w:id="14"/>
      <w:r w:rsidR="007B5A3A" w:rsidRPr="007B5A3A">
        <w:t xml:space="preserve"> </w:t>
      </w:r>
    </w:p>
    <w:p w:rsidR="009300A8" w:rsidRDefault="009300A8" w:rsidP="009300A8"/>
    <w:p w:rsidR="00933835" w:rsidRPr="00E44B15" w:rsidRDefault="00933835" w:rsidP="00933835">
      <w:pPr>
        <w:rPr>
          <w:rFonts w:ascii="Arial" w:hAnsi="Arial" w:cs="Arial"/>
          <w:sz w:val="22"/>
          <w:szCs w:val="22"/>
        </w:rPr>
      </w:pPr>
      <w:r w:rsidRPr="00E44B15">
        <w:rPr>
          <w:rFonts w:ascii="Arial" w:hAnsi="Arial" w:cs="Arial"/>
          <w:sz w:val="22"/>
          <w:szCs w:val="22"/>
        </w:rPr>
        <w:t>The Scheme operates s</w:t>
      </w:r>
      <w:r w:rsidR="00B0300A">
        <w:rPr>
          <w:rFonts w:ascii="Arial" w:hAnsi="Arial" w:cs="Arial"/>
          <w:sz w:val="22"/>
          <w:szCs w:val="22"/>
        </w:rPr>
        <w:t>o</w:t>
      </w:r>
      <w:r w:rsidRPr="00E44B15">
        <w:rPr>
          <w:rFonts w:ascii="Arial" w:hAnsi="Arial" w:cs="Arial"/>
          <w:sz w:val="22"/>
          <w:szCs w:val="22"/>
        </w:rPr>
        <w:t xml:space="preserve"> that, subject to certain thresholds, only </w:t>
      </w:r>
      <w:r w:rsidR="00A9765D">
        <w:rPr>
          <w:rFonts w:ascii="Arial" w:hAnsi="Arial" w:cs="Arial"/>
          <w:sz w:val="22"/>
          <w:szCs w:val="22"/>
        </w:rPr>
        <w:t>principal</w:t>
      </w:r>
      <w:r w:rsidRPr="00E44B15">
        <w:rPr>
          <w:rFonts w:ascii="Arial" w:hAnsi="Arial" w:cs="Arial"/>
          <w:sz w:val="22"/>
          <w:szCs w:val="22"/>
        </w:rPr>
        <w:t xml:space="preserve"> contractors who are accredited under the Scheme can enter into contracts for building work that is funded directly or indirectly by the </w:t>
      </w:r>
      <w:r w:rsidR="0038397F">
        <w:rPr>
          <w:rFonts w:ascii="Arial" w:hAnsi="Arial" w:cs="Arial"/>
          <w:sz w:val="22"/>
          <w:szCs w:val="22"/>
        </w:rPr>
        <w:t>Commonwealth</w:t>
      </w:r>
      <w:r w:rsidRPr="00E44B15">
        <w:rPr>
          <w:rFonts w:ascii="Arial" w:hAnsi="Arial" w:cs="Arial"/>
          <w:sz w:val="22"/>
          <w:szCs w:val="22"/>
        </w:rPr>
        <w:t xml:space="preserve"> Government. </w:t>
      </w:r>
    </w:p>
    <w:p w:rsidR="00933835" w:rsidRDefault="00933835" w:rsidP="00E301E3">
      <w:pPr>
        <w:rPr>
          <w:rFonts w:ascii="Arial" w:hAnsi="Arial" w:cs="Arial"/>
          <w:sz w:val="22"/>
          <w:szCs w:val="22"/>
        </w:rPr>
      </w:pPr>
    </w:p>
    <w:p w:rsidR="00E301E3" w:rsidRDefault="00E301E3" w:rsidP="00E301E3">
      <w:pPr>
        <w:rPr>
          <w:rFonts w:ascii="Arial" w:hAnsi="Arial" w:cs="Arial"/>
          <w:sz w:val="22"/>
          <w:szCs w:val="22"/>
        </w:rPr>
      </w:pPr>
      <w:r w:rsidRPr="009300A8">
        <w:rPr>
          <w:rFonts w:ascii="Arial" w:hAnsi="Arial" w:cs="Arial"/>
          <w:sz w:val="22"/>
          <w:szCs w:val="22"/>
        </w:rPr>
        <w:t xml:space="preserve">The current thresholds applying to the Scheme were introduced in 2007, when the thresholds for direct funding were lowered from their original level of $6 million and thresholds were introduced for indirect funding. </w:t>
      </w:r>
    </w:p>
    <w:p w:rsidR="004E3C0B" w:rsidRDefault="004E3C0B" w:rsidP="009300A8">
      <w:pPr>
        <w:rPr>
          <w:rFonts w:ascii="Arial" w:hAnsi="Arial" w:cs="Arial"/>
          <w:sz w:val="22"/>
          <w:szCs w:val="22"/>
        </w:rPr>
      </w:pPr>
    </w:p>
    <w:p w:rsidR="004E3C0B" w:rsidRPr="00042404" w:rsidRDefault="004E3C0B" w:rsidP="005F4928">
      <w:pPr>
        <w:pStyle w:val="Heading3"/>
      </w:pPr>
      <w:bookmarkStart w:id="15" w:name="_Toc377032027"/>
      <w:r w:rsidRPr="00042404">
        <w:t>Directly</w:t>
      </w:r>
      <w:r w:rsidR="00042404">
        <w:t>-</w:t>
      </w:r>
      <w:r w:rsidRPr="00042404">
        <w:t>funded building work</w:t>
      </w:r>
      <w:bookmarkEnd w:id="15"/>
    </w:p>
    <w:p w:rsidR="004E3C0B" w:rsidRPr="004E3C0B" w:rsidRDefault="004E3C0B" w:rsidP="004E3C0B">
      <w:pPr>
        <w:rPr>
          <w:rFonts w:ascii="Arial" w:hAnsi="Arial" w:cs="Arial"/>
          <w:sz w:val="22"/>
          <w:szCs w:val="22"/>
        </w:rPr>
      </w:pPr>
    </w:p>
    <w:p w:rsidR="00DF2549" w:rsidRPr="004E3C0B" w:rsidRDefault="00DF2549" w:rsidP="00042404">
      <w:pPr>
        <w:contextualSpacing/>
        <w:rPr>
          <w:rFonts w:ascii="Arial" w:hAnsi="Arial" w:cs="Arial"/>
          <w:sz w:val="22"/>
          <w:szCs w:val="22"/>
        </w:rPr>
      </w:pPr>
      <w:r w:rsidRPr="004E3C0B">
        <w:rPr>
          <w:rFonts w:ascii="Arial" w:hAnsi="Arial" w:cs="Arial"/>
          <w:sz w:val="22"/>
          <w:szCs w:val="22"/>
        </w:rPr>
        <w:t>The Scheme applie</w:t>
      </w:r>
      <w:r w:rsidR="00504603">
        <w:rPr>
          <w:rFonts w:ascii="Arial" w:hAnsi="Arial" w:cs="Arial"/>
          <w:sz w:val="22"/>
          <w:szCs w:val="22"/>
        </w:rPr>
        <w:t>s</w:t>
      </w:r>
      <w:r w:rsidRPr="004E3C0B">
        <w:rPr>
          <w:rFonts w:ascii="Arial" w:hAnsi="Arial" w:cs="Arial"/>
          <w:sz w:val="22"/>
          <w:szCs w:val="22"/>
        </w:rPr>
        <w:t xml:space="preserve"> </w:t>
      </w:r>
      <w:r w:rsidR="00504603">
        <w:rPr>
          <w:rFonts w:ascii="Arial" w:hAnsi="Arial" w:cs="Arial"/>
          <w:sz w:val="22"/>
          <w:szCs w:val="22"/>
        </w:rPr>
        <w:t xml:space="preserve">currently </w:t>
      </w:r>
      <w:r w:rsidRPr="004E3C0B">
        <w:rPr>
          <w:rFonts w:ascii="Arial" w:hAnsi="Arial" w:cs="Arial"/>
          <w:sz w:val="22"/>
          <w:szCs w:val="22"/>
        </w:rPr>
        <w:t>to all directly funded head contracts for building work with a value of $3 million and above (including GST).</w:t>
      </w:r>
    </w:p>
    <w:p w:rsidR="00DF2549" w:rsidRDefault="00DF2549" w:rsidP="004E3C0B">
      <w:pPr>
        <w:rPr>
          <w:rFonts w:ascii="Arial" w:hAnsi="Arial" w:cs="Arial"/>
          <w:sz w:val="22"/>
          <w:szCs w:val="22"/>
        </w:rPr>
      </w:pPr>
    </w:p>
    <w:p w:rsidR="004E3C0B" w:rsidRDefault="004E3C0B" w:rsidP="004E3C0B">
      <w:pPr>
        <w:rPr>
          <w:rFonts w:ascii="Arial" w:hAnsi="Arial" w:cs="Arial"/>
          <w:sz w:val="22"/>
          <w:szCs w:val="22"/>
        </w:rPr>
      </w:pPr>
      <w:r w:rsidRPr="004E3C0B">
        <w:rPr>
          <w:rFonts w:ascii="Arial" w:hAnsi="Arial" w:cs="Arial"/>
          <w:sz w:val="22"/>
          <w:szCs w:val="22"/>
        </w:rPr>
        <w:t>Projects are considered to be directly funded where a</w:t>
      </w:r>
      <w:r w:rsidR="00504603">
        <w:rPr>
          <w:rFonts w:ascii="Arial" w:hAnsi="Arial" w:cs="Arial"/>
          <w:sz w:val="22"/>
          <w:szCs w:val="22"/>
        </w:rPr>
        <w:t>n Australian</w:t>
      </w:r>
      <w:r w:rsidRPr="004E3C0B">
        <w:rPr>
          <w:rFonts w:ascii="Arial" w:hAnsi="Arial" w:cs="Arial"/>
          <w:sz w:val="22"/>
          <w:szCs w:val="22"/>
        </w:rPr>
        <w:t xml:space="preserve"> Government agency is the client. This includes pre-commitment leases and similar arrangements. Typical examples of directly funded projects are the Department of Defence constructing a new military facility or an agency arranging for the construction of a new office or a fit</w:t>
      </w:r>
      <w:r w:rsidR="00B0300A">
        <w:rPr>
          <w:rFonts w:ascii="Arial" w:hAnsi="Arial" w:cs="Arial"/>
          <w:sz w:val="22"/>
          <w:szCs w:val="22"/>
        </w:rPr>
        <w:t>-</w:t>
      </w:r>
      <w:r w:rsidRPr="004E3C0B">
        <w:rPr>
          <w:rFonts w:ascii="Arial" w:hAnsi="Arial" w:cs="Arial"/>
          <w:sz w:val="22"/>
          <w:szCs w:val="22"/>
        </w:rPr>
        <w:t>out of an existing building.</w:t>
      </w:r>
    </w:p>
    <w:p w:rsidR="00640841" w:rsidRDefault="00640841">
      <w:pPr>
        <w:rPr>
          <w:rFonts w:ascii="Arial" w:hAnsi="Arial" w:cs="Arial"/>
          <w:sz w:val="22"/>
          <w:szCs w:val="22"/>
          <w:u w:val="single"/>
        </w:rPr>
      </w:pPr>
      <w:bookmarkStart w:id="16" w:name="_Toc377032028"/>
    </w:p>
    <w:p w:rsidR="004E3C0B" w:rsidRPr="00042404" w:rsidRDefault="004E3C0B" w:rsidP="005F4928">
      <w:pPr>
        <w:pStyle w:val="Heading3"/>
      </w:pPr>
      <w:r w:rsidRPr="00042404">
        <w:t>Indirectly</w:t>
      </w:r>
      <w:r w:rsidR="00042404">
        <w:t>-</w:t>
      </w:r>
      <w:r w:rsidRPr="00042404">
        <w:t>funded building work</w:t>
      </w:r>
      <w:bookmarkEnd w:id="16"/>
    </w:p>
    <w:p w:rsidR="004E3C0B" w:rsidRPr="004E3C0B" w:rsidRDefault="004E3C0B" w:rsidP="004E3C0B">
      <w:pPr>
        <w:rPr>
          <w:rFonts w:ascii="Arial" w:hAnsi="Arial" w:cs="Arial"/>
          <w:sz w:val="22"/>
          <w:szCs w:val="22"/>
        </w:rPr>
      </w:pPr>
    </w:p>
    <w:p w:rsidR="00DF2549" w:rsidRPr="004E3C0B" w:rsidRDefault="00DF2549" w:rsidP="00DF2549">
      <w:pPr>
        <w:rPr>
          <w:rFonts w:ascii="Arial" w:hAnsi="Arial" w:cs="Arial"/>
          <w:sz w:val="22"/>
          <w:szCs w:val="22"/>
        </w:rPr>
      </w:pPr>
      <w:r w:rsidRPr="004E3C0B">
        <w:rPr>
          <w:rFonts w:ascii="Arial" w:hAnsi="Arial" w:cs="Arial"/>
          <w:sz w:val="22"/>
          <w:szCs w:val="22"/>
        </w:rPr>
        <w:t xml:space="preserve">The Scheme applies </w:t>
      </w:r>
      <w:r w:rsidR="00504603">
        <w:rPr>
          <w:rFonts w:ascii="Arial" w:hAnsi="Arial" w:cs="Arial"/>
          <w:sz w:val="22"/>
          <w:szCs w:val="22"/>
        </w:rPr>
        <w:t xml:space="preserve">currently </w:t>
      </w:r>
      <w:r w:rsidRPr="004E3C0B">
        <w:rPr>
          <w:rFonts w:ascii="Arial" w:hAnsi="Arial" w:cs="Arial"/>
          <w:sz w:val="22"/>
          <w:szCs w:val="22"/>
        </w:rPr>
        <w:t xml:space="preserve">where the </w:t>
      </w:r>
      <w:r w:rsidR="00CC7C8F">
        <w:rPr>
          <w:rFonts w:ascii="Arial" w:hAnsi="Arial" w:cs="Arial"/>
          <w:sz w:val="22"/>
          <w:szCs w:val="22"/>
        </w:rPr>
        <w:t>Government</w:t>
      </w:r>
      <w:r w:rsidRPr="004E3C0B">
        <w:rPr>
          <w:rFonts w:ascii="Arial" w:hAnsi="Arial" w:cs="Arial"/>
          <w:sz w:val="22"/>
          <w:szCs w:val="22"/>
        </w:rPr>
        <w:t xml:space="preserve"> contribution to the project is: </w:t>
      </w:r>
    </w:p>
    <w:p w:rsidR="00DF2549" w:rsidRPr="004E3C0B" w:rsidRDefault="00DF2549" w:rsidP="00DF2549">
      <w:pPr>
        <w:rPr>
          <w:rFonts w:ascii="Arial" w:hAnsi="Arial" w:cs="Arial"/>
          <w:sz w:val="22"/>
          <w:szCs w:val="22"/>
        </w:rPr>
      </w:pPr>
    </w:p>
    <w:p w:rsidR="00504603" w:rsidRDefault="00DF2549" w:rsidP="000C6988">
      <w:pPr>
        <w:numPr>
          <w:ilvl w:val="0"/>
          <w:numId w:val="2"/>
        </w:numPr>
        <w:spacing w:after="60"/>
        <w:ind w:left="567" w:hanging="283"/>
        <w:contextualSpacing/>
        <w:rPr>
          <w:rFonts w:ascii="Arial" w:hAnsi="Arial" w:cs="Arial"/>
          <w:sz w:val="22"/>
          <w:szCs w:val="22"/>
        </w:rPr>
      </w:pPr>
      <w:r w:rsidRPr="00504603">
        <w:rPr>
          <w:rFonts w:ascii="Arial" w:hAnsi="Arial" w:cs="Arial"/>
          <w:sz w:val="22"/>
          <w:szCs w:val="22"/>
        </w:rPr>
        <w:t>at least $5 million and represents at least 50 per cent of the total project value; or</w:t>
      </w:r>
      <w:r w:rsidR="00504603">
        <w:rPr>
          <w:rFonts w:ascii="Arial" w:hAnsi="Arial" w:cs="Arial"/>
          <w:sz w:val="22"/>
          <w:szCs w:val="22"/>
        </w:rPr>
        <w:t xml:space="preserve"> </w:t>
      </w:r>
    </w:p>
    <w:p w:rsidR="00504603" w:rsidRDefault="00DF2549" w:rsidP="000C6988">
      <w:pPr>
        <w:numPr>
          <w:ilvl w:val="0"/>
          <w:numId w:val="2"/>
        </w:numPr>
        <w:spacing w:after="60"/>
        <w:ind w:left="567" w:hanging="283"/>
        <w:contextualSpacing/>
        <w:rPr>
          <w:rFonts w:ascii="Arial" w:hAnsi="Arial" w:cs="Arial"/>
          <w:sz w:val="22"/>
          <w:szCs w:val="22"/>
        </w:rPr>
      </w:pPr>
      <w:r w:rsidRPr="00504603">
        <w:rPr>
          <w:rFonts w:ascii="Arial" w:hAnsi="Arial" w:cs="Arial"/>
          <w:sz w:val="22"/>
          <w:szCs w:val="22"/>
        </w:rPr>
        <w:t xml:space="preserve">$10 million, irrespective of the overall proportion and </w:t>
      </w:r>
    </w:p>
    <w:p w:rsidR="00DF2549" w:rsidRPr="00504603" w:rsidRDefault="00DF2549" w:rsidP="000C6988">
      <w:pPr>
        <w:numPr>
          <w:ilvl w:val="0"/>
          <w:numId w:val="2"/>
        </w:numPr>
        <w:spacing w:after="60"/>
        <w:ind w:left="567" w:hanging="283"/>
        <w:contextualSpacing/>
        <w:rPr>
          <w:rFonts w:ascii="Arial" w:hAnsi="Arial" w:cs="Arial"/>
          <w:sz w:val="22"/>
          <w:szCs w:val="22"/>
        </w:rPr>
      </w:pPr>
      <w:r w:rsidRPr="00504603">
        <w:rPr>
          <w:rFonts w:ascii="Arial" w:hAnsi="Arial" w:cs="Arial"/>
          <w:sz w:val="22"/>
          <w:szCs w:val="22"/>
        </w:rPr>
        <w:t>the value of the head contract for building work is $3 million and above.</w:t>
      </w:r>
    </w:p>
    <w:p w:rsidR="00DF2549" w:rsidRDefault="00DF2549" w:rsidP="000C6988">
      <w:pPr>
        <w:rPr>
          <w:rFonts w:ascii="Arial" w:hAnsi="Arial" w:cs="Arial"/>
          <w:sz w:val="22"/>
          <w:szCs w:val="22"/>
        </w:rPr>
      </w:pPr>
    </w:p>
    <w:p w:rsidR="004E3C0B" w:rsidRPr="004E3C0B" w:rsidRDefault="004E3C0B" w:rsidP="004E3C0B">
      <w:pPr>
        <w:rPr>
          <w:rFonts w:ascii="Arial" w:hAnsi="Arial" w:cs="Arial"/>
          <w:sz w:val="22"/>
          <w:szCs w:val="22"/>
        </w:rPr>
      </w:pPr>
      <w:r w:rsidRPr="004E3C0B">
        <w:rPr>
          <w:rFonts w:ascii="Arial" w:hAnsi="Arial" w:cs="Arial"/>
          <w:sz w:val="22"/>
          <w:szCs w:val="22"/>
        </w:rPr>
        <w:t>Projects are considered indirectly</w:t>
      </w:r>
      <w:r w:rsidR="000C6988">
        <w:rPr>
          <w:rFonts w:ascii="Arial" w:hAnsi="Arial" w:cs="Arial"/>
          <w:sz w:val="22"/>
          <w:szCs w:val="22"/>
        </w:rPr>
        <w:t>-</w:t>
      </w:r>
      <w:r w:rsidRPr="004E3C0B">
        <w:rPr>
          <w:rFonts w:ascii="Arial" w:hAnsi="Arial" w:cs="Arial"/>
          <w:sz w:val="22"/>
          <w:szCs w:val="22"/>
        </w:rPr>
        <w:t xml:space="preserve">funded where the </w:t>
      </w:r>
      <w:r w:rsidR="00CC7C8F">
        <w:rPr>
          <w:rFonts w:ascii="Arial" w:hAnsi="Arial" w:cs="Arial"/>
          <w:sz w:val="22"/>
          <w:szCs w:val="22"/>
        </w:rPr>
        <w:t>Government</w:t>
      </w:r>
      <w:r w:rsidRPr="004E3C0B">
        <w:rPr>
          <w:rFonts w:ascii="Arial" w:hAnsi="Arial" w:cs="Arial"/>
          <w:sz w:val="22"/>
          <w:szCs w:val="22"/>
        </w:rPr>
        <w:t xml:space="preserve"> contributes funding through a third party, such as a state government. Some typical examples of indirectly</w:t>
      </w:r>
      <w:r w:rsidR="000C6988">
        <w:rPr>
          <w:rFonts w:ascii="Arial" w:hAnsi="Arial" w:cs="Arial"/>
          <w:sz w:val="22"/>
          <w:szCs w:val="22"/>
        </w:rPr>
        <w:t>-</w:t>
      </w:r>
      <w:r w:rsidRPr="004E3C0B">
        <w:rPr>
          <w:rFonts w:ascii="Arial" w:hAnsi="Arial" w:cs="Arial"/>
          <w:sz w:val="22"/>
          <w:szCs w:val="22"/>
        </w:rPr>
        <w:t xml:space="preserve">funded building work are where the </w:t>
      </w:r>
      <w:r w:rsidR="00CC7C8F">
        <w:rPr>
          <w:rFonts w:ascii="Arial" w:hAnsi="Arial" w:cs="Arial"/>
          <w:sz w:val="22"/>
          <w:szCs w:val="22"/>
        </w:rPr>
        <w:t>Government</w:t>
      </w:r>
      <w:r w:rsidRPr="004E3C0B">
        <w:rPr>
          <w:rFonts w:ascii="Arial" w:hAnsi="Arial" w:cs="Arial"/>
          <w:sz w:val="22"/>
          <w:szCs w:val="22"/>
        </w:rPr>
        <w:t xml:space="preserve"> provides funding for a state government to construct a road, or where the </w:t>
      </w:r>
      <w:r w:rsidR="00CC7C8F">
        <w:rPr>
          <w:rFonts w:ascii="Arial" w:hAnsi="Arial" w:cs="Arial"/>
          <w:sz w:val="22"/>
          <w:szCs w:val="22"/>
        </w:rPr>
        <w:t>Government</w:t>
      </w:r>
      <w:r w:rsidRPr="004E3C0B">
        <w:rPr>
          <w:rFonts w:ascii="Arial" w:hAnsi="Arial" w:cs="Arial"/>
          <w:sz w:val="22"/>
          <w:szCs w:val="22"/>
        </w:rPr>
        <w:t xml:space="preserve"> provides funding to a university to construct a research facility.</w:t>
      </w:r>
    </w:p>
    <w:p w:rsidR="004E3C0B" w:rsidRDefault="004E3C0B" w:rsidP="004E3C0B">
      <w:pPr>
        <w:rPr>
          <w:rFonts w:ascii="Arial" w:hAnsi="Arial" w:cs="Arial"/>
          <w:sz w:val="22"/>
          <w:szCs w:val="22"/>
        </w:rPr>
      </w:pPr>
    </w:p>
    <w:p w:rsidR="0006688F" w:rsidRDefault="0006688F" w:rsidP="008A7DC5">
      <w:pPr>
        <w:pStyle w:val="Heading3"/>
      </w:pPr>
      <w:r>
        <w:br w:type="page"/>
      </w:r>
    </w:p>
    <w:p w:rsidR="00933835" w:rsidRPr="00A9765D" w:rsidRDefault="00933835" w:rsidP="008A7DC5">
      <w:pPr>
        <w:pStyle w:val="Heading3"/>
      </w:pPr>
      <w:r w:rsidRPr="00A9765D">
        <w:t>Change the thresholds?</w:t>
      </w:r>
    </w:p>
    <w:p w:rsidR="00933835" w:rsidRDefault="00933835" w:rsidP="008A3975">
      <w:pPr>
        <w:rPr>
          <w:rFonts w:ascii="Arial" w:hAnsi="Arial" w:cs="Arial"/>
          <w:sz w:val="22"/>
          <w:szCs w:val="22"/>
        </w:rPr>
      </w:pPr>
    </w:p>
    <w:p w:rsidR="00933835" w:rsidRDefault="00933835" w:rsidP="00933835">
      <w:pPr>
        <w:rPr>
          <w:rFonts w:ascii="Arial" w:hAnsi="Arial" w:cs="Arial"/>
          <w:sz w:val="22"/>
          <w:szCs w:val="22"/>
        </w:rPr>
      </w:pPr>
      <w:r>
        <w:rPr>
          <w:rFonts w:ascii="Arial" w:hAnsi="Arial" w:cs="Arial"/>
          <w:sz w:val="22"/>
          <w:szCs w:val="22"/>
        </w:rPr>
        <w:t xml:space="preserve">The Discussion Paper canvassed options to lower or remove the thresholds, leave the thresholds at the current level or raise the thresholds. </w:t>
      </w:r>
    </w:p>
    <w:p w:rsidR="00933835" w:rsidRDefault="00933835" w:rsidP="00933835">
      <w:pPr>
        <w:rPr>
          <w:rFonts w:ascii="Arial" w:hAnsi="Arial" w:cs="Arial"/>
          <w:sz w:val="22"/>
          <w:szCs w:val="22"/>
        </w:rPr>
      </w:pPr>
    </w:p>
    <w:p w:rsidR="00DB15BA" w:rsidRDefault="00B84E45" w:rsidP="008A3975">
      <w:pPr>
        <w:rPr>
          <w:rFonts w:ascii="Arial" w:hAnsi="Arial" w:cs="Arial"/>
          <w:sz w:val="22"/>
          <w:szCs w:val="22"/>
        </w:rPr>
      </w:pPr>
      <w:r>
        <w:rPr>
          <w:rFonts w:ascii="Arial" w:hAnsi="Arial" w:cs="Arial"/>
          <w:sz w:val="22"/>
          <w:szCs w:val="22"/>
        </w:rPr>
        <w:t>Some of the</w:t>
      </w:r>
      <w:r w:rsidR="006362FD">
        <w:rPr>
          <w:rFonts w:ascii="Arial" w:hAnsi="Arial" w:cs="Arial"/>
          <w:sz w:val="22"/>
          <w:szCs w:val="22"/>
        </w:rPr>
        <w:t xml:space="preserve"> discussion around thresholds</w:t>
      </w:r>
      <w:r>
        <w:rPr>
          <w:rFonts w:ascii="Arial" w:hAnsi="Arial" w:cs="Arial"/>
          <w:sz w:val="22"/>
          <w:szCs w:val="22"/>
        </w:rPr>
        <w:t>, particularly from a number of members</w:t>
      </w:r>
      <w:r w:rsidR="001E799C" w:rsidRPr="001E799C">
        <w:rPr>
          <w:rFonts w:ascii="Arial" w:hAnsi="Arial" w:cs="Arial"/>
          <w:sz w:val="22"/>
          <w:szCs w:val="22"/>
        </w:rPr>
        <w:t xml:space="preserve"> </w:t>
      </w:r>
      <w:r w:rsidR="001E799C">
        <w:rPr>
          <w:rFonts w:ascii="Arial" w:hAnsi="Arial" w:cs="Arial"/>
          <w:sz w:val="22"/>
          <w:szCs w:val="22"/>
        </w:rPr>
        <w:t>o</w:t>
      </w:r>
      <w:r w:rsidR="006111DA">
        <w:rPr>
          <w:rFonts w:ascii="Arial" w:hAnsi="Arial" w:cs="Arial"/>
          <w:sz w:val="22"/>
          <w:szCs w:val="22"/>
        </w:rPr>
        <w:t>f</w:t>
      </w:r>
      <w:r w:rsidR="00CC14DA">
        <w:rPr>
          <w:rFonts w:ascii="Arial" w:hAnsi="Arial" w:cs="Arial"/>
          <w:sz w:val="22"/>
          <w:szCs w:val="22"/>
        </w:rPr>
        <w:t xml:space="preserve"> </w:t>
      </w:r>
      <w:r w:rsidR="008D7BD9">
        <w:rPr>
          <w:rFonts w:ascii="Arial" w:hAnsi="Arial" w:cs="Arial"/>
          <w:sz w:val="22"/>
          <w:szCs w:val="22"/>
        </w:rPr>
        <w:t>the AGARG</w:t>
      </w:r>
      <w:r>
        <w:rPr>
          <w:rFonts w:ascii="Arial" w:hAnsi="Arial" w:cs="Arial"/>
          <w:sz w:val="22"/>
          <w:szCs w:val="22"/>
        </w:rPr>
        <w:t>, unions and a number of accredited companies,</w:t>
      </w:r>
      <w:r w:rsidR="006362FD">
        <w:rPr>
          <w:rFonts w:ascii="Arial" w:hAnsi="Arial" w:cs="Arial"/>
          <w:sz w:val="22"/>
          <w:szCs w:val="22"/>
        </w:rPr>
        <w:t xml:space="preserve"> agreed that</w:t>
      </w:r>
      <w:r w:rsidR="008F48B3">
        <w:rPr>
          <w:rFonts w:ascii="Arial" w:hAnsi="Arial" w:cs="Arial"/>
          <w:sz w:val="22"/>
          <w:szCs w:val="22"/>
        </w:rPr>
        <w:t xml:space="preserve"> it would be appropriate </w:t>
      </w:r>
      <w:r w:rsidR="00504603">
        <w:rPr>
          <w:rFonts w:ascii="Arial" w:hAnsi="Arial" w:cs="Arial"/>
          <w:sz w:val="22"/>
          <w:szCs w:val="22"/>
        </w:rPr>
        <w:t xml:space="preserve">philosophically </w:t>
      </w:r>
      <w:r w:rsidR="008F48B3">
        <w:rPr>
          <w:rFonts w:ascii="Arial" w:hAnsi="Arial" w:cs="Arial"/>
          <w:sz w:val="22"/>
          <w:szCs w:val="22"/>
        </w:rPr>
        <w:t xml:space="preserve">for </w:t>
      </w:r>
      <w:r w:rsidR="006362FD">
        <w:rPr>
          <w:rFonts w:ascii="Arial" w:hAnsi="Arial" w:cs="Arial"/>
          <w:sz w:val="22"/>
          <w:szCs w:val="22"/>
        </w:rPr>
        <w:t xml:space="preserve">any building work undertaken by the </w:t>
      </w:r>
      <w:r w:rsidR="00CC7C8F">
        <w:rPr>
          <w:rFonts w:ascii="Arial" w:hAnsi="Arial" w:cs="Arial"/>
          <w:sz w:val="22"/>
          <w:szCs w:val="22"/>
        </w:rPr>
        <w:t>Government</w:t>
      </w:r>
      <w:r w:rsidR="006362FD">
        <w:rPr>
          <w:rFonts w:ascii="Arial" w:hAnsi="Arial" w:cs="Arial"/>
          <w:sz w:val="22"/>
          <w:szCs w:val="22"/>
        </w:rPr>
        <w:t xml:space="preserve"> </w:t>
      </w:r>
      <w:r w:rsidR="008F48B3">
        <w:rPr>
          <w:rFonts w:ascii="Arial" w:hAnsi="Arial" w:cs="Arial"/>
          <w:sz w:val="22"/>
          <w:szCs w:val="22"/>
        </w:rPr>
        <w:t>to</w:t>
      </w:r>
      <w:r w:rsidR="00BB4DD6">
        <w:rPr>
          <w:rFonts w:ascii="Arial" w:hAnsi="Arial" w:cs="Arial"/>
          <w:sz w:val="22"/>
          <w:szCs w:val="22"/>
        </w:rPr>
        <w:t xml:space="preserve"> be subject to the highest safety standards. </w:t>
      </w:r>
    </w:p>
    <w:p w:rsidR="0038397F" w:rsidRDefault="0038397F" w:rsidP="00277542">
      <w:pPr>
        <w:rPr>
          <w:rFonts w:ascii="Arial" w:hAnsi="Arial" w:cs="Arial"/>
          <w:sz w:val="22"/>
          <w:szCs w:val="22"/>
        </w:rPr>
      </w:pPr>
    </w:p>
    <w:p w:rsidR="00A864E7" w:rsidRDefault="008A3975" w:rsidP="00277542">
      <w:pPr>
        <w:rPr>
          <w:rFonts w:ascii="Arial" w:hAnsi="Arial" w:cs="Arial"/>
          <w:sz w:val="22"/>
          <w:szCs w:val="22"/>
        </w:rPr>
      </w:pPr>
      <w:r>
        <w:rPr>
          <w:rFonts w:ascii="Arial" w:hAnsi="Arial" w:cs="Arial"/>
          <w:sz w:val="22"/>
          <w:szCs w:val="22"/>
        </w:rPr>
        <w:t xml:space="preserve">Some submissions, including </w:t>
      </w:r>
      <w:r w:rsidR="00A9765D">
        <w:rPr>
          <w:rFonts w:ascii="Arial" w:hAnsi="Arial" w:cs="Arial"/>
          <w:sz w:val="22"/>
          <w:szCs w:val="22"/>
        </w:rPr>
        <w:t xml:space="preserve">from </w:t>
      </w:r>
      <w:r>
        <w:rPr>
          <w:rFonts w:ascii="Arial" w:hAnsi="Arial" w:cs="Arial"/>
          <w:sz w:val="22"/>
          <w:szCs w:val="22"/>
        </w:rPr>
        <w:t>u</w:t>
      </w:r>
      <w:r w:rsidRPr="0087546B">
        <w:rPr>
          <w:rFonts w:ascii="Arial" w:hAnsi="Arial" w:cs="Arial"/>
          <w:sz w:val="22"/>
          <w:szCs w:val="22"/>
        </w:rPr>
        <w:t>nions and many accredited companies</w:t>
      </w:r>
      <w:r w:rsidR="00A9765D">
        <w:rPr>
          <w:rFonts w:ascii="Arial" w:hAnsi="Arial" w:cs="Arial"/>
          <w:sz w:val="22"/>
          <w:szCs w:val="22"/>
        </w:rPr>
        <w:t>,</w:t>
      </w:r>
      <w:r w:rsidRPr="0087546B">
        <w:rPr>
          <w:rFonts w:ascii="Arial" w:hAnsi="Arial" w:cs="Arial"/>
          <w:sz w:val="22"/>
          <w:szCs w:val="22"/>
        </w:rPr>
        <w:t xml:space="preserve"> consider</w:t>
      </w:r>
      <w:r w:rsidR="00504603">
        <w:rPr>
          <w:rFonts w:ascii="Arial" w:hAnsi="Arial" w:cs="Arial"/>
          <w:sz w:val="22"/>
          <w:szCs w:val="22"/>
        </w:rPr>
        <w:t>ed</w:t>
      </w:r>
      <w:r w:rsidRPr="0087546B">
        <w:rPr>
          <w:rFonts w:ascii="Arial" w:hAnsi="Arial" w:cs="Arial"/>
          <w:sz w:val="22"/>
          <w:szCs w:val="22"/>
        </w:rPr>
        <w:t xml:space="preserve"> the thresholds </w:t>
      </w:r>
      <w:r w:rsidR="006E6B00">
        <w:rPr>
          <w:rFonts w:ascii="Arial" w:hAnsi="Arial" w:cs="Arial"/>
          <w:sz w:val="22"/>
          <w:szCs w:val="22"/>
        </w:rPr>
        <w:t xml:space="preserve">should be </w:t>
      </w:r>
      <w:r w:rsidR="00C2209D">
        <w:rPr>
          <w:rFonts w:ascii="Arial" w:hAnsi="Arial" w:cs="Arial"/>
          <w:sz w:val="22"/>
          <w:szCs w:val="22"/>
        </w:rPr>
        <w:t xml:space="preserve">reduced </w:t>
      </w:r>
      <w:r w:rsidR="00B84E45">
        <w:rPr>
          <w:rFonts w:ascii="Arial" w:hAnsi="Arial" w:cs="Arial"/>
          <w:sz w:val="22"/>
          <w:szCs w:val="22"/>
        </w:rPr>
        <w:t xml:space="preserve">or lowered </w:t>
      </w:r>
      <w:r w:rsidR="00C2209D">
        <w:rPr>
          <w:rFonts w:ascii="Arial" w:hAnsi="Arial" w:cs="Arial"/>
          <w:sz w:val="22"/>
          <w:szCs w:val="22"/>
        </w:rPr>
        <w:t>in order to increase coverage of the Scheme by capturing a greater number of projects</w:t>
      </w:r>
      <w:r w:rsidR="00A203F1">
        <w:rPr>
          <w:rFonts w:ascii="Arial" w:hAnsi="Arial" w:cs="Arial"/>
          <w:sz w:val="22"/>
          <w:szCs w:val="22"/>
        </w:rPr>
        <w:t>.</w:t>
      </w:r>
      <w:r w:rsidR="00C2209D">
        <w:rPr>
          <w:rFonts w:ascii="Arial" w:hAnsi="Arial" w:cs="Arial"/>
          <w:sz w:val="22"/>
          <w:szCs w:val="22"/>
        </w:rPr>
        <w:t xml:space="preserve"> </w:t>
      </w:r>
      <w:r w:rsidR="00277542">
        <w:rPr>
          <w:rFonts w:ascii="Arial" w:hAnsi="Arial" w:cs="Arial"/>
          <w:sz w:val="22"/>
          <w:szCs w:val="22"/>
        </w:rPr>
        <w:t xml:space="preserve">According to the </w:t>
      </w:r>
      <w:r w:rsidR="00933835">
        <w:rPr>
          <w:rFonts w:ascii="Arial" w:hAnsi="Arial" w:cs="Arial"/>
          <w:sz w:val="22"/>
          <w:szCs w:val="22"/>
        </w:rPr>
        <w:t>ACTU</w:t>
      </w:r>
    </w:p>
    <w:p w:rsidR="00A864E7" w:rsidRDefault="00A864E7" w:rsidP="00277542">
      <w:pPr>
        <w:rPr>
          <w:rFonts w:ascii="Arial" w:hAnsi="Arial" w:cs="Arial"/>
          <w:sz w:val="22"/>
          <w:szCs w:val="22"/>
        </w:rPr>
      </w:pPr>
    </w:p>
    <w:p w:rsidR="006E6B00" w:rsidRDefault="00277542" w:rsidP="00042404">
      <w:pPr>
        <w:ind w:left="567"/>
        <w:rPr>
          <w:rFonts w:ascii="Arial" w:hAnsi="Arial" w:cs="Arial"/>
          <w:sz w:val="22"/>
          <w:szCs w:val="22"/>
        </w:rPr>
      </w:pPr>
      <w:r>
        <w:rPr>
          <w:rFonts w:ascii="Arial" w:hAnsi="Arial" w:cs="Arial"/>
          <w:sz w:val="22"/>
          <w:szCs w:val="22"/>
        </w:rPr>
        <w:t>“</w:t>
      </w:r>
      <w:r w:rsidRPr="00277542">
        <w:rPr>
          <w:rFonts w:ascii="Arial" w:hAnsi="Arial" w:cs="Arial"/>
          <w:i/>
          <w:sz w:val="22"/>
          <w:szCs w:val="22"/>
        </w:rPr>
        <w:t>The scheme should be able to be applied to all projects funded either directly or indirectly by the Commonwealth Government. This would likely affect further improvements in health and safety outcomes.”</w:t>
      </w:r>
      <w:r w:rsidR="00EA3946">
        <w:rPr>
          <w:rFonts w:ascii="Arial" w:hAnsi="Arial" w:cs="Arial"/>
          <w:sz w:val="22"/>
          <w:szCs w:val="22"/>
        </w:rPr>
        <w:t xml:space="preserve"> </w:t>
      </w:r>
    </w:p>
    <w:p w:rsidR="00A864E7" w:rsidRDefault="00A864E7" w:rsidP="00A864E7">
      <w:pPr>
        <w:ind w:left="720"/>
        <w:rPr>
          <w:rFonts w:ascii="Arial" w:hAnsi="Arial" w:cs="Arial"/>
          <w:sz w:val="22"/>
          <w:szCs w:val="22"/>
        </w:rPr>
      </w:pPr>
    </w:p>
    <w:p w:rsidR="00A864E7" w:rsidRDefault="00DB15BA" w:rsidP="00DB15BA">
      <w:pPr>
        <w:rPr>
          <w:rFonts w:ascii="Arial" w:hAnsi="Arial" w:cs="Arial"/>
          <w:sz w:val="22"/>
          <w:szCs w:val="22"/>
        </w:rPr>
      </w:pPr>
      <w:r w:rsidRPr="00230C27">
        <w:rPr>
          <w:rFonts w:ascii="Arial" w:hAnsi="Arial" w:cs="Arial"/>
          <w:sz w:val="22"/>
          <w:szCs w:val="22"/>
        </w:rPr>
        <w:t xml:space="preserve">In line with </w:t>
      </w:r>
      <w:r w:rsidR="00DB5BAA">
        <w:rPr>
          <w:rFonts w:ascii="Arial" w:hAnsi="Arial" w:cs="Arial"/>
          <w:sz w:val="22"/>
          <w:szCs w:val="22"/>
        </w:rPr>
        <w:t>its</w:t>
      </w:r>
      <w:r w:rsidRPr="00230C27">
        <w:rPr>
          <w:rFonts w:ascii="Arial" w:hAnsi="Arial" w:cs="Arial"/>
          <w:sz w:val="22"/>
          <w:szCs w:val="22"/>
        </w:rPr>
        <w:t xml:space="preserve"> general submission that civil construction is inherently less risky than other types of construction, CCF</w:t>
      </w:r>
      <w:r w:rsidR="00277542">
        <w:rPr>
          <w:rFonts w:ascii="Arial" w:hAnsi="Arial" w:cs="Arial"/>
          <w:sz w:val="22"/>
          <w:szCs w:val="22"/>
        </w:rPr>
        <w:t xml:space="preserve"> </w:t>
      </w:r>
      <w:r w:rsidRPr="00230C27">
        <w:rPr>
          <w:rFonts w:ascii="Arial" w:hAnsi="Arial" w:cs="Arial"/>
          <w:sz w:val="22"/>
          <w:szCs w:val="22"/>
        </w:rPr>
        <w:t xml:space="preserve">proposed that thresholds be raised to $20 million and $25 million respectively for civil projects and $9 million for building projects. </w:t>
      </w:r>
      <w:r>
        <w:rPr>
          <w:rFonts w:ascii="Arial" w:hAnsi="Arial" w:cs="Arial"/>
          <w:sz w:val="22"/>
          <w:szCs w:val="22"/>
        </w:rPr>
        <w:t>This would effectively provide an exemption for a significant proportion of civil projects</w:t>
      </w:r>
      <w:r w:rsidR="00DB5BAA">
        <w:rPr>
          <w:rFonts w:ascii="Arial" w:hAnsi="Arial" w:cs="Arial"/>
          <w:sz w:val="22"/>
          <w:szCs w:val="22"/>
        </w:rPr>
        <w:t xml:space="preserve">. In fact, </w:t>
      </w:r>
      <w:r w:rsidR="00F86139">
        <w:rPr>
          <w:rFonts w:ascii="Arial" w:hAnsi="Arial" w:cs="Arial"/>
          <w:sz w:val="22"/>
          <w:szCs w:val="22"/>
        </w:rPr>
        <w:t xml:space="preserve">almost 90 per cent of directly funded and almost half of indirectly funded civil </w:t>
      </w:r>
      <w:r w:rsidR="00933835">
        <w:rPr>
          <w:rFonts w:ascii="Arial" w:hAnsi="Arial" w:cs="Arial"/>
          <w:sz w:val="22"/>
          <w:szCs w:val="22"/>
        </w:rPr>
        <w:t xml:space="preserve">Scheme </w:t>
      </w:r>
      <w:r w:rsidR="00F86139">
        <w:rPr>
          <w:rFonts w:ascii="Arial" w:hAnsi="Arial" w:cs="Arial"/>
          <w:sz w:val="22"/>
          <w:szCs w:val="22"/>
        </w:rPr>
        <w:t xml:space="preserve">projects </w:t>
      </w:r>
      <w:r>
        <w:rPr>
          <w:rFonts w:ascii="Arial" w:hAnsi="Arial" w:cs="Arial"/>
          <w:sz w:val="22"/>
          <w:szCs w:val="22"/>
        </w:rPr>
        <w:t xml:space="preserve">would not have been captured </w:t>
      </w:r>
      <w:r w:rsidR="00DB5BAA">
        <w:rPr>
          <w:rFonts w:ascii="Arial" w:hAnsi="Arial" w:cs="Arial"/>
          <w:sz w:val="22"/>
          <w:szCs w:val="22"/>
        </w:rPr>
        <w:t xml:space="preserve">by the Scheme </w:t>
      </w:r>
      <w:r>
        <w:rPr>
          <w:rFonts w:ascii="Arial" w:hAnsi="Arial" w:cs="Arial"/>
          <w:sz w:val="22"/>
          <w:szCs w:val="22"/>
        </w:rPr>
        <w:t xml:space="preserve">if the thresholds were at these levels. </w:t>
      </w:r>
      <w:r w:rsidR="00127904">
        <w:rPr>
          <w:rFonts w:ascii="Arial" w:hAnsi="Arial" w:cs="Arial"/>
          <w:sz w:val="22"/>
          <w:szCs w:val="22"/>
        </w:rPr>
        <w:t xml:space="preserve">A number of other civil constructors </w:t>
      </w:r>
      <w:r w:rsidR="00A203F1">
        <w:rPr>
          <w:rFonts w:ascii="Arial" w:hAnsi="Arial" w:cs="Arial"/>
          <w:sz w:val="22"/>
          <w:szCs w:val="22"/>
        </w:rPr>
        <w:t xml:space="preserve">also </w:t>
      </w:r>
      <w:r w:rsidR="00127904">
        <w:rPr>
          <w:rFonts w:ascii="Arial" w:hAnsi="Arial" w:cs="Arial"/>
          <w:sz w:val="22"/>
          <w:szCs w:val="22"/>
        </w:rPr>
        <w:t xml:space="preserve">supported an increase in the thresholds but to a lesser </w:t>
      </w:r>
      <w:r w:rsidR="00872CEF">
        <w:rPr>
          <w:rFonts w:ascii="Arial" w:hAnsi="Arial" w:cs="Arial"/>
          <w:sz w:val="22"/>
          <w:szCs w:val="22"/>
        </w:rPr>
        <w:t xml:space="preserve">dollar </w:t>
      </w:r>
      <w:r w:rsidR="00A203F1">
        <w:rPr>
          <w:rFonts w:ascii="Arial" w:hAnsi="Arial" w:cs="Arial"/>
          <w:sz w:val="22"/>
          <w:szCs w:val="22"/>
        </w:rPr>
        <w:t>amount</w:t>
      </w:r>
      <w:r w:rsidR="00127904">
        <w:rPr>
          <w:rFonts w:ascii="Arial" w:hAnsi="Arial" w:cs="Arial"/>
          <w:sz w:val="22"/>
          <w:szCs w:val="22"/>
        </w:rPr>
        <w:t xml:space="preserve">. </w:t>
      </w:r>
    </w:p>
    <w:p w:rsidR="000B34CA" w:rsidRDefault="000B34CA" w:rsidP="00DB15BA">
      <w:pPr>
        <w:rPr>
          <w:rFonts w:ascii="Arial" w:hAnsi="Arial" w:cs="Arial"/>
          <w:sz w:val="22"/>
          <w:szCs w:val="22"/>
        </w:rPr>
      </w:pPr>
    </w:p>
    <w:p w:rsidR="00A864E7" w:rsidRDefault="00A864E7" w:rsidP="00A864E7">
      <w:pPr>
        <w:rPr>
          <w:rFonts w:ascii="Arial" w:hAnsi="Arial" w:cs="Arial"/>
          <w:sz w:val="22"/>
          <w:szCs w:val="22"/>
        </w:rPr>
      </w:pPr>
      <w:r>
        <w:rPr>
          <w:rFonts w:ascii="Arial" w:hAnsi="Arial" w:cs="Arial"/>
          <w:sz w:val="22"/>
          <w:szCs w:val="22"/>
        </w:rPr>
        <w:t>The majority of submissions</w:t>
      </w:r>
      <w:r w:rsidR="00795B78">
        <w:rPr>
          <w:rFonts w:ascii="Arial" w:hAnsi="Arial" w:cs="Arial"/>
          <w:sz w:val="22"/>
          <w:szCs w:val="22"/>
        </w:rPr>
        <w:t>, including MBA</w:t>
      </w:r>
      <w:r w:rsidR="00A9765D">
        <w:rPr>
          <w:rFonts w:ascii="Arial" w:hAnsi="Arial" w:cs="Arial"/>
          <w:sz w:val="22"/>
          <w:szCs w:val="22"/>
        </w:rPr>
        <w:t>’s</w:t>
      </w:r>
      <w:r w:rsidR="00795B78">
        <w:rPr>
          <w:rFonts w:ascii="Arial" w:hAnsi="Arial" w:cs="Arial"/>
          <w:sz w:val="22"/>
          <w:szCs w:val="22"/>
        </w:rPr>
        <w:t xml:space="preserve">, </w:t>
      </w:r>
      <w:r>
        <w:rPr>
          <w:rFonts w:ascii="Arial" w:hAnsi="Arial" w:cs="Arial"/>
          <w:sz w:val="22"/>
          <w:szCs w:val="22"/>
        </w:rPr>
        <w:t xml:space="preserve">suggested that the thresholds are </w:t>
      </w:r>
      <w:r w:rsidR="00A9765D">
        <w:rPr>
          <w:rFonts w:ascii="Arial" w:hAnsi="Arial" w:cs="Arial"/>
          <w:sz w:val="22"/>
          <w:szCs w:val="22"/>
        </w:rPr>
        <w:t>“</w:t>
      </w:r>
      <w:r>
        <w:rPr>
          <w:rFonts w:ascii="Arial" w:hAnsi="Arial" w:cs="Arial"/>
          <w:sz w:val="22"/>
          <w:szCs w:val="22"/>
        </w:rPr>
        <w:t>about right</w:t>
      </w:r>
      <w:r w:rsidR="00A9765D">
        <w:rPr>
          <w:rFonts w:ascii="Arial" w:hAnsi="Arial" w:cs="Arial"/>
          <w:sz w:val="22"/>
          <w:szCs w:val="22"/>
        </w:rPr>
        <w:t>”</w:t>
      </w:r>
      <w:r>
        <w:rPr>
          <w:rFonts w:ascii="Arial" w:hAnsi="Arial" w:cs="Arial"/>
          <w:sz w:val="22"/>
          <w:szCs w:val="22"/>
        </w:rPr>
        <w:t>, reflecting an appropriate balance between capturing suitable projects without overburdening those contractors only interested in small projects.</w:t>
      </w:r>
      <w:r w:rsidR="00E301E3">
        <w:rPr>
          <w:rFonts w:ascii="Arial" w:hAnsi="Arial" w:cs="Arial"/>
          <w:sz w:val="22"/>
          <w:szCs w:val="22"/>
        </w:rPr>
        <w:t xml:space="preserve"> Some accredited companies opposed the increase or removal of thresholds, as it would undermine their investment in </w:t>
      </w:r>
      <w:r w:rsidR="00B44A42">
        <w:rPr>
          <w:rFonts w:ascii="Arial" w:hAnsi="Arial" w:cs="Arial"/>
          <w:sz w:val="22"/>
          <w:szCs w:val="22"/>
        </w:rPr>
        <w:t>WHS</w:t>
      </w:r>
      <w:r w:rsidR="00E301E3">
        <w:rPr>
          <w:rFonts w:ascii="Arial" w:hAnsi="Arial" w:cs="Arial"/>
          <w:sz w:val="22"/>
          <w:szCs w:val="22"/>
        </w:rPr>
        <w:t xml:space="preserve"> accreditation and would create an un</w:t>
      </w:r>
      <w:r w:rsidR="00A203F1">
        <w:rPr>
          <w:rFonts w:ascii="Arial" w:hAnsi="Arial" w:cs="Arial"/>
          <w:sz w:val="22"/>
          <w:szCs w:val="22"/>
        </w:rPr>
        <w:t>even</w:t>
      </w:r>
      <w:r w:rsidR="00E301E3">
        <w:rPr>
          <w:rFonts w:ascii="Arial" w:hAnsi="Arial" w:cs="Arial"/>
          <w:sz w:val="22"/>
          <w:szCs w:val="22"/>
        </w:rPr>
        <w:t xml:space="preserve"> playing field in tendering for Government contracts. </w:t>
      </w:r>
      <w:r>
        <w:rPr>
          <w:rFonts w:ascii="Arial" w:hAnsi="Arial" w:cs="Arial"/>
          <w:sz w:val="22"/>
          <w:szCs w:val="22"/>
        </w:rPr>
        <w:t>An accredited company noted that:</w:t>
      </w:r>
    </w:p>
    <w:p w:rsidR="00A864E7" w:rsidRDefault="00A864E7" w:rsidP="00A864E7">
      <w:pPr>
        <w:rPr>
          <w:rFonts w:ascii="Arial" w:hAnsi="Arial" w:cs="Arial"/>
          <w:sz w:val="22"/>
          <w:szCs w:val="22"/>
        </w:rPr>
      </w:pPr>
    </w:p>
    <w:p w:rsidR="000B34CA" w:rsidRPr="00A864E7" w:rsidRDefault="00A864E7" w:rsidP="006111DA">
      <w:pPr>
        <w:ind w:left="567"/>
        <w:rPr>
          <w:rFonts w:ascii="Arial" w:hAnsi="Arial" w:cs="Arial"/>
          <w:i/>
          <w:sz w:val="22"/>
          <w:szCs w:val="22"/>
          <w:lang w:val="en-US"/>
        </w:rPr>
      </w:pPr>
      <w:r>
        <w:rPr>
          <w:rFonts w:ascii="Arial" w:hAnsi="Arial" w:cs="Arial"/>
          <w:i/>
          <w:sz w:val="22"/>
          <w:szCs w:val="22"/>
          <w:lang w:val="en-US"/>
        </w:rPr>
        <w:t>“</w:t>
      </w:r>
      <w:r w:rsidR="000B34CA" w:rsidRPr="00A864E7">
        <w:rPr>
          <w:rFonts w:ascii="Arial" w:hAnsi="Arial" w:cs="Arial"/>
          <w:i/>
          <w:sz w:val="22"/>
          <w:szCs w:val="22"/>
          <w:lang w:val="en-US"/>
        </w:rPr>
        <w:t>There has been considerable investment by our company to comply with the</w:t>
      </w:r>
    </w:p>
    <w:p w:rsidR="000B34CA" w:rsidRPr="00A864E7" w:rsidRDefault="000B34CA" w:rsidP="006111DA">
      <w:pPr>
        <w:ind w:left="567"/>
        <w:rPr>
          <w:rFonts w:ascii="Arial" w:hAnsi="Arial" w:cs="Arial"/>
          <w:i/>
          <w:sz w:val="22"/>
          <w:szCs w:val="22"/>
          <w:lang w:val="en-US"/>
        </w:rPr>
      </w:pPr>
      <w:r w:rsidRPr="00A864E7">
        <w:rPr>
          <w:rFonts w:ascii="Arial" w:hAnsi="Arial" w:cs="Arial"/>
          <w:i/>
          <w:sz w:val="22"/>
          <w:szCs w:val="22"/>
          <w:lang w:val="en-US"/>
        </w:rPr>
        <w:t>scheme and to increase the threshold would diminish that investment considerably. To</w:t>
      </w:r>
    </w:p>
    <w:p w:rsidR="000B34CA" w:rsidRDefault="000B34CA" w:rsidP="006111DA">
      <w:pPr>
        <w:ind w:left="567"/>
        <w:rPr>
          <w:rFonts w:ascii="Arial" w:hAnsi="Arial" w:cs="Arial"/>
          <w:i/>
          <w:sz w:val="22"/>
          <w:szCs w:val="22"/>
          <w:lang w:val="en-US"/>
        </w:rPr>
      </w:pPr>
      <w:r w:rsidRPr="00A864E7">
        <w:rPr>
          <w:rFonts w:ascii="Arial" w:hAnsi="Arial" w:cs="Arial"/>
          <w:i/>
          <w:sz w:val="22"/>
          <w:szCs w:val="22"/>
          <w:lang w:val="en-US"/>
        </w:rPr>
        <w:t>remove the threshold will also allow competitors who do not have the same OHS</w:t>
      </w:r>
      <w:r w:rsidR="000C6988">
        <w:rPr>
          <w:rFonts w:ascii="Arial" w:hAnsi="Arial" w:cs="Arial"/>
          <w:i/>
          <w:sz w:val="22"/>
          <w:szCs w:val="22"/>
          <w:lang w:val="en-US"/>
        </w:rPr>
        <w:t xml:space="preserve"> </w:t>
      </w:r>
      <w:r w:rsidR="00B44A42">
        <w:rPr>
          <w:rFonts w:ascii="Arial" w:hAnsi="Arial" w:cs="Arial"/>
          <w:i/>
          <w:sz w:val="22"/>
          <w:szCs w:val="22"/>
          <w:lang w:val="en-US"/>
        </w:rPr>
        <w:t>[WHS]</w:t>
      </w:r>
      <w:r w:rsidRPr="00A864E7">
        <w:rPr>
          <w:rFonts w:ascii="Arial" w:hAnsi="Arial" w:cs="Arial"/>
          <w:i/>
          <w:sz w:val="22"/>
          <w:szCs w:val="22"/>
          <w:lang w:val="en-US"/>
        </w:rPr>
        <w:t xml:space="preserve"> commitment</w:t>
      </w:r>
      <w:r w:rsidR="00A864E7">
        <w:rPr>
          <w:rFonts w:ascii="Arial" w:hAnsi="Arial" w:cs="Arial"/>
          <w:i/>
          <w:sz w:val="22"/>
          <w:szCs w:val="22"/>
          <w:lang w:val="en-US"/>
        </w:rPr>
        <w:t xml:space="preserve"> </w:t>
      </w:r>
      <w:r w:rsidRPr="00A864E7">
        <w:rPr>
          <w:rFonts w:ascii="Arial" w:hAnsi="Arial" w:cs="Arial"/>
          <w:i/>
          <w:sz w:val="22"/>
          <w:szCs w:val="22"/>
          <w:lang w:val="en-US"/>
        </w:rPr>
        <w:t>to provide a cheaper price and a quicker build, thus making us uncompetitive</w:t>
      </w:r>
      <w:r w:rsidR="00A864E7">
        <w:rPr>
          <w:rFonts w:ascii="Arial" w:hAnsi="Arial" w:cs="Arial"/>
          <w:i/>
          <w:sz w:val="22"/>
          <w:szCs w:val="22"/>
          <w:lang w:val="en-US"/>
        </w:rPr>
        <w:t>”</w:t>
      </w:r>
      <w:r w:rsidRPr="00A864E7">
        <w:rPr>
          <w:rFonts w:ascii="Arial" w:hAnsi="Arial" w:cs="Arial"/>
          <w:i/>
          <w:sz w:val="22"/>
          <w:szCs w:val="22"/>
          <w:lang w:val="en-US"/>
        </w:rPr>
        <w:t>.</w:t>
      </w:r>
    </w:p>
    <w:p w:rsidR="00127904" w:rsidRDefault="00127904" w:rsidP="00A864E7">
      <w:pPr>
        <w:ind w:left="720"/>
        <w:rPr>
          <w:rFonts w:ascii="Arial" w:hAnsi="Arial" w:cs="Arial"/>
          <w:i/>
          <w:sz w:val="22"/>
          <w:szCs w:val="22"/>
          <w:lang w:val="en-US"/>
        </w:rPr>
      </w:pPr>
    </w:p>
    <w:p w:rsidR="00127904" w:rsidRDefault="00127904" w:rsidP="00127904">
      <w:pPr>
        <w:rPr>
          <w:rFonts w:ascii="Arial" w:hAnsi="Arial" w:cs="Arial"/>
          <w:sz w:val="22"/>
          <w:szCs w:val="22"/>
        </w:rPr>
      </w:pPr>
      <w:r>
        <w:rPr>
          <w:rFonts w:ascii="Arial" w:hAnsi="Arial" w:cs="Arial"/>
          <w:sz w:val="22"/>
          <w:szCs w:val="22"/>
        </w:rPr>
        <w:t xml:space="preserve">Another submission noted: </w:t>
      </w:r>
    </w:p>
    <w:p w:rsidR="00127904" w:rsidRDefault="00127904" w:rsidP="00127904">
      <w:pPr>
        <w:rPr>
          <w:rFonts w:ascii="Arial" w:hAnsi="Arial" w:cs="Arial"/>
          <w:sz w:val="22"/>
          <w:szCs w:val="22"/>
        </w:rPr>
      </w:pPr>
    </w:p>
    <w:p w:rsidR="00127904" w:rsidRPr="00A864E7" w:rsidRDefault="00127904" w:rsidP="006111DA">
      <w:pPr>
        <w:ind w:left="567"/>
        <w:rPr>
          <w:rFonts w:ascii="Arial" w:hAnsi="Arial" w:cs="Arial"/>
          <w:i/>
          <w:sz w:val="22"/>
          <w:szCs w:val="22"/>
        </w:rPr>
      </w:pPr>
      <w:r>
        <w:rPr>
          <w:rFonts w:ascii="Arial" w:hAnsi="Arial" w:cs="Arial"/>
          <w:i/>
          <w:sz w:val="22"/>
          <w:szCs w:val="22"/>
        </w:rPr>
        <w:t>“</w:t>
      </w:r>
      <w:r w:rsidRPr="00A864E7">
        <w:rPr>
          <w:rFonts w:ascii="Arial" w:hAnsi="Arial" w:cs="Arial"/>
          <w:i/>
          <w:sz w:val="22"/>
          <w:szCs w:val="22"/>
        </w:rPr>
        <w:t>It is important that the funding thresholds for scheme projects supports a level playing field for tendering for government funded construction projects. If the scheme does not capture a substantial proportion of available projects, then companies that achieve accreditation will be disadvantaged by carrying the additional scheme compliance costs when competing with non-accredited contrac</w:t>
      </w:r>
      <w:r w:rsidR="00A672CE">
        <w:rPr>
          <w:rFonts w:ascii="Arial" w:hAnsi="Arial" w:cs="Arial"/>
          <w:i/>
          <w:sz w:val="22"/>
          <w:szCs w:val="22"/>
        </w:rPr>
        <w:t>tors when tendering for projects</w:t>
      </w:r>
      <w:r w:rsidRPr="00A864E7">
        <w:rPr>
          <w:rFonts w:ascii="Arial" w:hAnsi="Arial" w:cs="Arial"/>
          <w:i/>
          <w:sz w:val="22"/>
          <w:szCs w:val="22"/>
        </w:rPr>
        <w:t xml:space="preserve"> that are below the t</w:t>
      </w:r>
      <w:r>
        <w:rPr>
          <w:rFonts w:ascii="Arial" w:hAnsi="Arial" w:cs="Arial"/>
          <w:i/>
          <w:sz w:val="22"/>
          <w:szCs w:val="22"/>
        </w:rPr>
        <w:t>hreshold.”</w:t>
      </w:r>
      <w:r w:rsidR="00EA3946">
        <w:rPr>
          <w:rFonts w:ascii="Arial" w:hAnsi="Arial" w:cs="Arial"/>
          <w:i/>
          <w:sz w:val="22"/>
          <w:szCs w:val="22"/>
        </w:rPr>
        <w:t xml:space="preserve"> </w:t>
      </w:r>
    </w:p>
    <w:p w:rsidR="00846C41" w:rsidRDefault="00846C41" w:rsidP="006111DA">
      <w:pPr>
        <w:ind w:left="567"/>
        <w:rPr>
          <w:rFonts w:ascii="Arial" w:hAnsi="Arial" w:cs="Arial"/>
          <w:sz w:val="22"/>
          <w:szCs w:val="22"/>
        </w:rPr>
      </w:pPr>
    </w:p>
    <w:p w:rsidR="003B4116" w:rsidRPr="00927940" w:rsidRDefault="002763B2" w:rsidP="00CE6734">
      <w:pPr>
        <w:rPr>
          <w:rFonts w:ascii="Arial" w:hAnsi="Arial" w:cs="Arial"/>
          <w:sz w:val="22"/>
          <w:szCs w:val="22"/>
        </w:rPr>
      </w:pPr>
      <w:r>
        <w:rPr>
          <w:rFonts w:ascii="Arial" w:hAnsi="Arial" w:cs="Arial"/>
          <w:sz w:val="22"/>
          <w:szCs w:val="22"/>
        </w:rPr>
        <w:t xml:space="preserve">In summary, </w:t>
      </w:r>
      <w:r w:rsidR="00E43832">
        <w:rPr>
          <w:rFonts w:ascii="Arial" w:hAnsi="Arial" w:cs="Arial"/>
          <w:sz w:val="22"/>
          <w:szCs w:val="22"/>
        </w:rPr>
        <w:t xml:space="preserve">some </w:t>
      </w:r>
      <w:r>
        <w:rPr>
          <w:rFonts w:ascii="Arial" w:hAnsi="Arial" w:cs="Arial"/>
          <w:sz w:val="22"/>
          <w:szCs w:val="22"/>
        </w:rPr>
        <w:t>submissions</w:t>
      </w:r>
      <w:r w:rsidR="00E43832">
        <w:rPr>
          <w:rFonts w:ascii="Arial" w:hAnsi="Arial" w:cs="Arial"/>
          <w:sz w:val="22"/>
          <w:szCs w:val="22"/>
        </w:rPr>
        <w:t xml:space="preserve">, and some </w:t>
      </w:r>
      <w:r w:rsidR="00DB5BAA">
        <w:rPr>
          <w:rFonts w:ascii="Arial" w:hAnsi="Arial" w:cs="Arial"/>
          <w:sz w:val="22"/>
          <w:szCs w:val="22"/>
        </w:rPr>
        <w:t>G</w:t>
      </w:r>
      <w:r w:rsidR="00E43832">
        <w:rPr>
          <w:rFonts w:ascii="Arial" w:hAnsi="Arial" w:cs="Arial"/>
          <w:sz w:val="22"/>
          <w:szCs w:val="22"/>
        </w:rPr>
        <w:t xml:space="preserve">overnment agencies, </w:t>
      </w:r>
      <w:r>
        <w:rPr>
          <w:rFonts w:ascii="Arial" w:hAnsi="Arial" w:cs="Arial"/>
          <w:sz w:val="22"/>
          <w:szCs w:val="22"/>
        </w:rPr>
        <w:t xml:space="preserve">argued that lowering the threshold is philosophically right because it means the Government is </w:t>
      </w:r>
      <w:r w:rsidR="00C938A8">
        <w:rPr>
          <w:rFonts w:ascii="Arial" w:hAnsi="Arial" w:cs="Arial"/>
          <w:sz w:val="22"/>
          <w:szCs w:val="22"/>
        </w:rPr>
        <w:t xml:space="preserve">applying </w:t>
      </w:r>
      <w:r>
        <w:rPr>
          <w:rFonts w:ascii="Arial" w:hAnsi="Arial" w:cs="Arial"/>
          <w:sz w:val="22"/>
          <w:szCs w:val="22"/>
        </w:rPr>
        <w:t>the highest safety standard</w:t>
      </w:r>
      <w:r w:rsidR="00C938A8">
        <w:rPr>
          <w:rFonts w:ascii="Arial" w:hAnsi="Arial" w:cs="Arial"/>
          <w:sz w:val="22"/>
          <w:szCs w:val="22"/>
        </w:rPr>
        <w:t xml:space="preserve"> to every Commonwealth Government funded project</w:t>
      </w:r>
      <w:r>
        <w:rPr>
          <w:rFonts w:ascii="Arial" w:hAnsi="Arial" w:cs="Arial"/>
          <w:sz w:val="22"/>
          <w:szCs w:val="22"/>
        </w:rPr>
        <w:t xml:space="preserve">. It also ensures a level playing field </w:t>
      </w:r>
      <w:r w:rsidR="003C2319">
        <w:rPr>
          <w:rFonts w:ascii="Arial" w:hAnsi="Arial" w:cs="Arial"/>
          <w:sz w:val="22"/>
          <w:szCs w:val="22"/>
        </w:rPr>
        <w:t xml:space="preserve">for companies </w:t>
      </w:r>
      <w:r>
        <w:rPr>
          <w:rFonts w:ascii="Arial" w:hAnsi="Arial" w:cs="Arial"/>
          <w:sz w:val="22"/>
          <w:szCs w:val="22"/>
        </w:rPr>
        <w:t xml:space="preserve">in competition for </w:t>
      </w:r>
      <w:r w:rsidR="00DB5BAA">
        <w:rPr>
          <w:rFonts w:ascii="Arial" w:hAnsi="Arial" w:cs="Arial"/>
          <w:sz w:val="22"/>
          <w:szCs w:val="22"/>
        </w:rPr>
        <w:t>G</w:t>
      </w:r>
      <w:r>
        <w:rPr>
          <w:rFonts w:ascii="Arial" w:hAnsi="Arial" w:cs="Arial"/>
          <w:sz w:val="22"/>
          <w:szCs w:val="22"/>
        </w:rPr>
        <w:t xml:space="preserve">overnment </w:t>
      </w:r>
      <w:r w:rsidRPr="00927940">
        <w:rPr>
          <w:rFonts w:ascii="Arial" w:hAnsi="Arial" w:cs="Arial"/>
          <w:sz w:val="22"/>
          <w:szCs w:val="22"/>
        </w:rPr>
        <w:t xml:space="preserve">contracts. </w:t>
      </w:r>
      <w:r w:rsidR="00E43832" w:rsidRPr="00927940">
        <w:rPr>
          <w:rFonts w:ascii="Arial" w:hAnsi="Arial" w:cs="Arial"/>
          <w:sz w:val="22"/>
          <w:szCs w:val="22"/>
        </w:rPr>
        <w:t>Most stakeholders recognise that this would create significant practical and resourcing difficulties</w:t>
      </w:r>
      <w:r w:rsidR="00795B78" w:rsidRPr="00927940">
        <w:rPr>
          <w:rFonts w:ascii="Arial" w:hAnsi="Arial" w:cs="Arial"/>
          <w:sz w:val="22"/>
          <w:szCs w:val="22"/>
        </w:rPr>
        <w:t xml:space="preserve">. </w:t>
      </w:r>
      <w:r w:rsidR="00933835" w:rsidRPr="00927940">
        <w:rPr>
          <w:rFonts w:ascii="Arial" w:hAnsi="Arial" w:cs="Arial"/>
          <w:sz w:val="22"/>
          <w:szCs w:val="22"/>
        </w:rPr>
        <w:t>In addition</w:t>
      </w:r>
      <w:r w:rsidR="006111DA" w:rsidRPr="00927940">
        <w:rPr>
          <w:rFonts w:ascii="Arial" w:hAnsi="Arial" w:cs="Arial"/>
          <w:sz w:val="22"/>
          <w:szCs w:val="22"/>
        </w:rPr>
        <w:t>, i</w:t>
      </w:r>
      <w:r w:rsidR="00795B78" w:rsidRPr="00927940">
        <w:rPr>
          <w:rFonts w:ascii="Arial" w:hAnsi="Arial" w:cs="Arial"/>
          <w:sz w:val="22"/>
          <w:szCs w:val="22"/>
        </w:rPr>
        <w:t xml:space="preserve">t is </w:t>
      </w:r>
      <w:r w:rsidR="00E43832" w:rsidRPr="00927940">
        <w:rPr>
          <w:rFonts w:ascii="Arial" w:hAnsi="Arial" w:cs="Arial"/>
          <w:sz w:val="22"/>
          <w:szCs w:val="22"/>
        </w:rPr>
        <w:t>important to note that the Scheme is not intended to replace the prim</w:t>
      </w:r>
      <w:r w:rsidR="00141884" w:rsidRPr="00927940">
        <w:rPr>
          <w:rFonts w:ascii="Arial" w:hAnsi="Arial" w:cs="Arial"/>
          <w:sz w:val="22"/>
          <w:szCs w:val="22"/>
        </w:rPr>
        <w:t xml:space="preserve">ary </w:t>
      </w:r>
      <w:r w:rsidR="00E43832" w:rsidRPr="00927940">
        <w:rPr>
          <w:rFonts w:ascii="Arial" w:hAnsi="Arial" w:cs="Arial"/>
          <w:sz w:val="22"/>
          <w:szCs w:val="22"/>
        </w:rPr>
        <w:t>role of state and territory regulators in ensuring all builders adhere to minimum legislative standards.</w:t>
      </w:r>
    </w:p>
    <w:p w:rsidR="000C6988" w:rsidRDefault="00E43832" w:rsidP="00CE6734">
      <w:pPr>
        <w:rPr>
          <w:rFonts w:ascii="Arial" w:hAnsi="Arial" w:cs="Arial"/>
          <w:sz w:val="22"/>
          <w:szCs w:val="22"/>
        </w:rPr>
      </w:pPr>
      <w:r>
        <w:rPr>
          <w:rFonts w:ascii="Arial" w:hAnsi="Arial" w:cs="Arial"/>
          <w:sz w:val="22"/>
          <w:szCs w:val="22"/>
        </w:rPr>
        <w:t xml:space="preserve">Removing </w:t>
      </w:r>
      <w:r w:rsidR="002763B2">
        <w:rPr>
          <w:rFonts w:ascii="Arial" w:hAnsi="Arial" w:cs="Arial"/>
          <w:sz w:val="22"/>
          <w:szCs w:val="22"/>
        </w:rPr>
        <w:t xml:space="preserve">the thresholds would result in an additional 3000 </w:t>
      </w:r>
      <w:r>
        <w:rPr>
          <w:rFonts w:ascii="Arial" w:hAnsi="Arial" w:cs="Arial"/>
          <w:sz w:val="22"/>
          <w:szCs w:val="22"/>
        </w:rPr>
        <w:t xml:space="preserve">or more </w:t>
      </w:r>
      <w:r w:rsidR="002763B2">
        <w:rPr>
          <w:rFonts w:ascii="Arial" w:hAnsi="Arial" w:cs="Arial"/>
          <w:sz w:val="22"/>
          <w:szCs w:val="22"/>
        </w:rPr>
        <w:t>projects being captured</w:t>
      </w:r>
      <w:r>
        <w:rPr>
          <w:rFonts w:ascii="Arial" w:hAnsi="Arial" w:cs="Arial"/>
          <w:sz w:val="22"/>
          <w:szCs w:val="22"/>
        </w:rPr>
        <w:t xml:space="preserve"> annually</w:t>
      </w:r>
      <w:r w:rsidR="002763B2">
        <w:rPr>
          <w:rFonts w:ascii="Arial" w:hAnsi="Arial" w:cs="Arial"/>
          <w:sz w:val="22"/>
          <w:szCs w:val="22"/>
        </w:rPr>
        <w:t>, with</w:t>
      </w:r>
      <w:r w:rsidR="00CE6734">
        <w:rPr>
          <w:rFonts w:ascii="Arial" w:hAnsi="Arial" w:cs="Arial"/>
          <w:sz w:val="22"/>
          <w:szCs w:val="22"/>
        </w:rPr>
        <w:t xml:space="preserve"> significant impact</w:t>
      </w:r>
      <w:r w:rsidR="002763B2">
        <w:rPr>
          <w:rFonts w:ascii="Arial" w:hAnsi="Arial" w:cs="Arial"/>
          <w:sz w:val="22"/>
          <w:szCs w:val="22"/>
        </w:rPr>
        <w:t>s</w:t>
      </w:r>
      <w:r w:rsidR="00CE6734">
        <w:rPr>
          <w:rFonts w:ascii="Arial" w:hAnsi="Arial" w:cs="Arial"/>
          <w:sz w:val="22"/>
          <w:szCs w:val="22"/>
        </w:rPr>
        <w:t xml:space="preserve"> on funding agency budgets and the introduction of a new level of complexity and red tape </w:t>
      </w:r>
      <w:r>
        <w:rPr>
          <w:rFonts w:ascii="Arial" w:hAnsi="Arial" w:cs="Arial"/>
          <w:sz w:val="22"/>
          <w:szCs w:val="22"/>
        </w:rPr>
        <w:t xml:space="preserve">for </w:t>
      </w:r>
      <w:r w:rsidR="00CE6734">
        <w:rPr>
          <w:rFonts w:ascii="Arial" w:hAnsi="Arial" w:cs="Arial"/>
          <w:sz w:val="22"/>
          <w:szCs w:val="22"/>
        </w:rPr>
        <w:t xml:space="preserve">all builders wishing to undertake any </w:t>
      </w:r>
      <w:r w:rsidR="0038397F">
        <w:rPr>
          <w:rFonts w:ascii="Arial" w:hAnsi="Arial" w:cs="Arial"/>
          <w:sz w:val="22"/>
          <w:szCs w:val="22"/>
        </w:rPr>
        <w:t xml:space="preserve">Commonwealth </w:t>
      </w:r>
      <w:r w:rsidR="00DB5BAA">
        <w:rPr>
          <w:rFonts w:ascii="Arial" w:hAnsi="Arial" w:cs="Arial"/>
          <w:sz w:val="22"/>
          <w:szCs w:val="22"/>
        </w:rPr>
        <w:t>G</w:t>
      </w:r>
      <w:r w:rsidR="00CE6734">
        <w:rPr>
          <w:rFonts w:ascii="Arial" w:hAnsi="Arial" w:cs="Arial"/>
          <w:sz w:val="22"/>
          <w:szCs w:val="22"/>
        </w:rPr>
        <w:t>overnment</w:t>
      </w:r>
      <w:r w:rsidR="0038397F">
        <w:rPr>
          <w:rFonts w:ascii="Arial" w:hAnsi="Arial" w:cs="Arial"/>
          <w:sz w:val="22"/>
          <w:szCs w:val="22"/>
        </w:rPr>
        <w:t xml:space="preserve"> </w:t>
      </w:r>
      <w:r w:rsidR="00CE6734">
        <w:rPr>
          <w:rFonts w:ascii="Arial" w:hAnsi="Arial" w:cs="Arial"/>
          <w:sz w:val="22"/>
          <w:szCs w:val="22"/>
        </w:rPr>
        <w:t>funded work</w:t>
      </w:r>
      <w:r w:rsidR="002763B2">
        <w:rPr>
          <w:rFonts w:ascii="Arial" w:hAnsi="Arial" w:cs="Arial"/>
          <w:sz w:val="22"/>
          <w:szCs w:val="22"/>
        </w:rPr>
        <w:t xml:space="preserve">, including works of a very minor nature. </w:t>
      </w:r>
    </w:p>
    <w:p w:rsidR="000C6988" w:rsidRDefault="000C6988" w:rsidP="00CE6734">
      <w:pPr>
        <w:rPr>
          <w:rFonts w:ascii="Arial" w:hAnsi="Arial" w:cs="Arial"/>
          <w:sz w:val="22"/>
          <w:szCs w:val="22"/>
        </w:rPr>
      </w:pPr>
    </w:p>
    <w:p w:rsidR="00CE6734" w:rsidRDefault="00CE6734" w:rsidP="00CE6734">
      <w:pPr>
        <w:rPr>
          <w:rFonts w:ascii="Arial" w:hAnsi="Arial" w:cs="Arial"/>
          <w:sz w:val="22"/>
          <w:szCs w:val="22"/>
        </w:rPr>
      </w:pPr>
      <w:r>
        <w:rPr>
          <w:rFonts w:ascii="Arial" w:hAnsi="Arial" w:cs="Arial"/>
          <w:sz w:val="22"/>
          <w:szCs w:val="22"/>
        </w:rPr>
        <w:t xml:space="preserve">While lowering the threshold would capture more projects, more small builders would need to be accredited which would act as a barrier to small businesses competing for Government contracts and </w:t>
      </w:r>
      <w:r w:rsidR="003C2319">
        <w:rPr>
          <w:rFonts w:ascii="Arial" w:hAnsi="Arial" w:cs="Arial"/>
          <w:sz w:val="22"/>
          <w:szCs w:val="22"/>
        </w:rPr>
        <w:t>would most likely</w:t>
      </w:r>
      <w:r>
        <w:rPr>
          <w:rFonts w:ascii="Arial" w:hAnsi="Arial" w:cs="Arial"/>
          <w:sz w:val="22"/>
          <w:szCs w:val="22"/>
        </w:rPr>
        <w:t xml:space="preserve"> lead to increased costs and </w:t>
      </w:r>
      <w:r w:rsidR="00933835">
        <w:rPr>
          <w:rFonts w:ascii="Arial" w:hAnsi="Arial" w:cs="Arial"/>
          <w:sz w:val="22"/>
          <w:szCs w:val="22"/>
        </w:rPr>
        <w:t>an increased regulatory burden for more companies</w:t>
      </w:r>
      <w:r>
        <w:rPr>
          <w:rFonts w:ascii="Arial" w:hAnsi="Arial" w:cs="Arial"/>
          <w:sz w:val="22"/>
          <w:szCs w:val="22"/>
        </w:rPr>
        <w:t xml:space="preserve">. </w:t>
      </w:r>
    </w:p>
    <w:p w:rsidR="00CE6734" w:rsidRDefault="00CE6734" w:rsidP="009300A8">
      <w:pPr>
        <w:rPr>
          <w:rFonts w:ascii="Arial" w:hAnsi="Arial" w:cs="Arial"/>
          <w:sz w:val="22"/>
          <w:szCs w:val="22"/>
        </w:rPr>
      </w:pPr>
    </w:p>
    <w:p w:rsidR="002763B2" w:rsidRDefault="00CE6734" w:rsidP="006F4F1A">
      <w:pPr>
        <w:rPr>
          <w:rFonts w:ascii="Arial" w:hAnsi="Arial" w:cs="Arial"/>
          <w:sz w:val="22"/>
          <w:szCs w:val="22"/>
        </w:rPr>
      </w:pPr>
      <w:r>
        <w:rPr>
          <w:rFonts w:ascii="Arial" w:hAnsi="Arial" w:cs="Arial"/>
          <w:sz w:val="22"/>
          <w:szCs w:val="22"/>
        </w:rPr>
        <w:t>Conversely, a significant increase in the thresholds</w:t>
      </w:r>
      <w:r w:rsidR="00DB5BAA">
        <w:rPr>
          <w:rFonts w:ascii="Arial" w:hAnsi="Arial" w:cs="Arial"/>
          <w:sz w:val="22"/>
          <w:szCs w:val="22"/>
        </w:rPr>
        <w:t>,</w:t>
      </w:r>
      <w:r>
        <w:rPr>
          <w:rFonts w:ascii="Arial" w:hAnsi="Arial" w:cs="Arial"/>
          <w:sz w:val="22"/>
          <w:szCs w:val="22"/>
        </w:rPr>
        <w:t xml:space="preserve"> such as that </w:t>
      </w:r>
      <w:r w:rsidR="00DB5BAA">
        <w:rPr>
          <w:rFonts w:ascii="Arial" w:hAnsi="Arial" w:cs="Arial"/>
          <w:sz w:val="22"/>
          <w:szCs w:val="22"/>
        </w:rPr>
        <w:t>proposed</w:t>
      </w:r>
      <w:r>
        <w:rPr>
          <w:rFonts w:ascii="Arial" w:hAnsi="Arial" w:cs="Arial"/>
          <w:sz w:val="22"/>
          <w:szCs w:val="22"/>
        </w:rPr>
        <w:t xml:space="preserve"> by CCF</w:t>
      </w:r>
      <w:r w:rsidR="00A864E7">
        <w:rPr>
          <w:rFonts w:ascii="Arial" w:hAnsi="Arial" w:cs="Arial"/>
          <w:sz w:val="22"/>
          <w:szCs w:val="22"/>
        </w:rPr>
        <w:t>, D</w:t>
      </w:r>
      <w:r w:rsidR="00DF09A0">
        <w:rPr>
          <w:rFonts w:ascii="Arial" w:hAnsi="Arial" w:cs="Arial"/>
          <w:sz w:val="22"/>
          <w:szCs w:val="22"/>
        </w:rPr>
        <w:t>efence Housing Authority (D</w:t>
      </w:r>
      <w:r w:rsidR="00A864E7">
        <w:rPr>
          <w:rFonts w:ascii="Arial" w:hAnsi="Arial" w:cs="Arial"/>
          <w:sz w:val="22"/>
          <w:szCs w:val="22"/>
        </w:rPr>
        <w:t>HA</w:t>
      </w:r>
      <w:r w:rsidR="00DF09A0">
        <w:rPr>
          <w:rFonts w:ascii="Arial" w:hAnsi="Arial" w:cs="Arial"/>
          <w:sz w:val="22"/>
          <w:szCs w:val="22"/>
        </w:rPr>
        <w:t>)</w:t>
      </w:r>
      <w:r w:rsidR="00A864E7">
        <w:rPr>
          <w:rFonts w:ascii="Arial" w:hAnsi="Arial" w:cs="Arial"/>
          <w:sz w:val="22"/>
          <w:szCs w:val="22"/>
        </w:rPr>
        <w:t>, H</w:t>
      </w:r>
      <w:r w:rsidR="00DF09A0">
        <w:rPr>
          <w:rFonts w:ascii="Arial" w:hAnsi="Arial" w:cs="Arial"/>
          <w:sz w:val="22"/>
          <w:szCs w:val="22"/>
        </w:rPr>
        <w:t>ousing Industry Association (HIA)</w:t>
      </w:r>
      <w:r w:rsidR="00A864E7">
        <w:rPr>
          <w:rFonts w:ascii="Arial" w:hAnsi="Arial" w:cs="Arial"/>
          <w:sz w:val="22"/>
          <w:szCs w:val="22"/>
        </w:rPr>
        <w:t xml:space="preserve"> and </w:t>
      </w:r>
      <w:r>
        <w:rPr>
          <w:rFonts w:ascii="Arial" w:hAnsi="Arial" w:cs="Arial"/>
          <w:sz w:val="22"/>
          <w:szCs w:val="22"/>
        </w:rPr>
        <w:t>others</w:t>
      </w:r>
      <w:r w:rsidR="00DB5BAA">
        <w:rPr>
          <w:rFonts w:ascii="Arial" w:hAnsi="Arial" w:cs="Arial"/>
          <w:sz w:val="22"/>
          <w:szCs w:val="22"/>
        </w:rPr>
        <w:t>,</w:t>
      </w:r>
      <w:r>
        <w:rPr>
          <w:rFonts w:ascii="Arial" w:hAnsi="Arial" w:cs="Arial"/>
          <w:sz w:val="22"/>
          <w:szCs w:val="22"/>
        </w:rPr>
        <w:t xml:space="preserve"> would result in a significant number of </w:t>
      </w:r>
      <w:r w:rsidR="00CC7C8F">
        <w:rPr>
          <w:rFonts w:ascii="Arial" w:hAnsi="Arial" w:cs="Arial"/>
          <w:sz w:val="22"/>
          <w:szCs w:val="22"/>
        </w:rPr>
        <w:t>Commonwealth</w:t>
      </w:r>
      <w:r w:rsidR="00520A2F">
        <w:rPr>
          <w:rFonts w:ascii="Arial" w:hAnsi="Arial" w:cs="Arial"/>
          <w:sz w:val="22"/>
          <w:szCs w:val="22"/>
        </w:rPr>
        <w:t xml:space="preserve"> </w:t>
      </w:r>
      <w:r>
        <w:rPr>
          <w:rFonts w:ascii="Arial" w:hAnsi="Arial" w:cs="Arial"/>
          <w:sz w:val="22"/>
          <w:szCs w:val="22"/>
        </w:rPr>
        <w:t>Government</w:t>
      </w:r>
      <w:r w:rsidR="00DB5BAA">
        <w:rPr>
          <w:rFonts w:ascii="Arial" w:hAnsi="Arial" w:cs="Arial"/>
          <w:sz w:val="22"/>
          <w:szCs w:val="22"/>
        </w:rPr>
        <w:t>-</w:t>
      </w:r>
      <w:r>
        <w:rPr>
          <w:rFonts w:ascii="Arial" w:hAnsi="Arial" w:cs="Arial"/>
          <w:sz w:val="22"/>
          <w:szCs w:val="22"/>
        </w:rPr>
        <w:t>funded projects not being captured by the Scheme</w:t>
      </w:r>
      <w:r w:rsidR="001D19D8">
        <w:rPr>
          <w:rFonts w:ascii="Arial" w:hAnsi="Arial" w:cs="Arial"/>
          <w:sz w:val="22"/>
          <w:szCs w:val="22"/>
        </w:rPr>
        <w:t>. This might</w:t>
      </w:r>
      <w:r w:rsidR="00795B78">
        <w:rPr>
          <w:rFonts w:ascii="Arial" w:hAnsi="Arial" w:cs="Arial"/>
          <w:sz w:val="22"/>
          <w:szCs w:val="22"/>
        </w:rPr>
        <w:t xml:space="preserve"> create inequity for accredited builders, threaten the integrity of the Scheme, and potentially </w:t>
      </w:r>
      <w:r>
        <w:rPr>
          <w:rFonts w:ascii="Arial" w:hAnsi="Arial" w:cs="Arial"/>
          <w:sz w:val="22"/>
          <w:szCs w:val="22"/>
        </w:rPr>
        <w:t>reduc</w:t>
      </w:r>
      <w:r w:rsidR="00795B78">
        <w:rPr>
          <w:rFonts w:ascii="Arial" w:hAnsi="Arial" w:cs="Arial"/>
          <w:sz w:val="22"/>
          <w:szCs w:val="22"/>
        </w:rPr>
        <w:t xml:space="preserve">e </w:t>
      </w:r>
      <w:r>
        <w:rPr>
          <w:rFonts w:ascii="Arial" w:hAnsi="Arial" w:cs="Arial"/>
          <w:sz w:val="22"/>
          <w:szCs w:val="22"/>
        </w:rPr>
        <w:t>safety outcomes</w:t>
      </w:r>
      <w:r w:rsidR="00795B78">
        <w:rPr>
          <w:rFonts w:ascii="Arial" w:hAnsi="Arial" w:cs="Arial"/>
          <w:sz w:val="22"/>
          <w:szCs w:val="22"/>
        </w:rPr>
        <w:t xml:space="preserve"> in the industry</w:t>
      </w:r>
      <w:r>
        <w:rPr>
          <w:rFonts w:ascii="Arial" w:hAnsi="Arial" w:cs="Arial"/>
          <w:sz w:val="22"/>
          <w:szCs w:val="22"/>
        </w:rPr>
        <w:t xml:space="preserve">. </w:t>
      </w:r>
    </w:p>
    <w:p w:rsidR="002763B2" w:rsidRDefault="002763B2" w:rsidP="006F4F1A">
      <w:pPr>
        <w:rPr>
          <w:rFonts w:ascii="Arial" w:hAnsi="Arial" w:cs="Arial"/>
          <w:sz w:val="22"/>
          <w:szCs w:val="22"/>
        </w:rPr>
      </w:pPr>
    </w:p>
    <w:p w:rsidR="006F4F1A" w:rsidRDefault="00795B78" w:rsidP="006F4F1A">
      <w:pPr>
        <w:rPr>
          <w:rFonts w:ascii="Arial" w:hAnsi="Arial" w:cs="Arial"/>
          <w:sz w:val="22"/>
          <w:szCs w:val="22"/>
        </w:rPr>
      </w:pPr>
      <w:r>
        <w:rPr>
          <w:rFonts w:ascii="Arial" w:hAnsi="Arial" w:cs="Arial"/>
          <w:sz w:val="22"/>
          <w:szCs w:val="22"/>
        </w:rPr>
        <w:t xml:space="preserve">On balance, </w:t>
      </w:r>
      <w:r w:rsidR="003C2319">
        <w:rPr>
          <w:rFonts w:ascii="Arial" w:hAnsi="Arial" w:cs="Arial"/>
          <w:sz w:val="22"/>
          <w:szCs w:val="22"/>
        </w:rPr>
        <w:t>the Review</w:t>
      </w:r>
      <w:r>
        <w:rPr>
          <w:rFonts w:ascii="Arial" w:hAnsi="Arial" w:cs="Arial"/>
          <w:sz w:val="22"/>
          <w:szCs w:val="22"/>
        </w:rPr>
        <w:t xml:space="preserve"> concluded that the current thresholds are about right, although the lack of price adjustment of the </w:t>
      </w:r>
      <w:r w:rsidR="003C2319">
        <w:rPr>
          <w:rFonts w:ascii="Arial" w:hAnsi="Arial" w:cs="Arial"/>
          <w:sz w:val="22"/>
          <w:szCs w:val="22"/>
        </w:rPr>
        <w:t xml:space="preserve">original </w:t>
      </w:r>
      <w:r>
        <w:rPr>
          <w:rFonts w:ascii="Arial" w:hAnsi="Arial" w:cs="Arial"/>
          <w:sz w:val="22"/>
          <w:szCs w:val="22"/>
        </w:rPr>
        <w:t xml:space="preserve">thresholds has effectively increased the coverage of </w:t>
      </w:r>
      <w:r w:rsidR="007E3584">
        <w:rPr>
          <w:rFonts w:ascii="Arial" w:hAnsi="Arial" w:cs="Arial"/>
          <w:sz w:val="22"/>
          <w:szCs w:val="22"/>
        </w:rPr>
        <w:t xml:space="preserve">the Scheme </w:t>
      </w:r>
      <w:r w:rsidR="000E7B41">
        <w:rPr>
          <w:rFonts w:ascii="Arial" w:hAnsi="Arial" w:cs="Arial"/>
          <w:sz w:val="22"/>
          <w:szCs w:val="22"/>
        </w:rPr>
        <w:t>since the</w:t>
      </w:r>
      <w:r w:rsidR="003C2319">
        <w:rPr>
          <w:rFonts w:ascii="Arial" w:hAnsi="Arial" w:cs="Arial"/>
          <w:sz w:val="22"/>
          <w:szCs w:val="22"/>
        </w:rPr>
        <w:t>y</w:t>
      </w:r>
      <w:r w:rsidR="000E7B41">
        <w:rPr>
          <w:rFonts w:ascii="Arial" w:hAnsi="Arial" w:cs="Arial"/>
          <w:sz w:val="22"/>
          <w:szCs w:val="22"/>
        </w:rPr>
        <w:t xml:space="preserve"> were set</w:t>
      </w:r>
      <w:r w:rsidR="003C2319">
        <w:rPr>
          <w:rFonts w:ascii="Arial" w:hAnsi="Arial" w:cs="Arial"/>
          <w:sz w:val="22"/>
          <w:szCs w:val="22"/>
        </w:rPr>
        <w:t xml:space="preserve"> in 2007</w:t>
      </w:r>
      <w:r>
        <w:rPr>
          <w:rFonts w:ascii="Arial" w:hAnsi="Arial" w:cs="Arial"/>
          <w:sz w:val="22"/>
          <w:szCs w:val="22"/>
        </w:rPr>
        <w:t>.</w:t>
      </w:r>
      <w:r w:rsidR="004D2E88">
        <w:rPr>
          <w:rFonts w:ascii="Arial" w:hAnsi="Arial" w:cs="Arial"/>
          <w:sz w:val="22"/>
          <w:szCs w:val="22"/>
        </w:rPr>
        <w:t xml:space="preserve"> </w:t>
      </w:r>
    </w:p>
    <w:p w:rsidR="00A864E7" w:rsidRDefault="00A864E7" w:rsidP="009300A8">
      <w:pPr>
        <w:rPr>
          <w:rFonts w:ascii="Arial" w:hAnsi="Arial" w:cs="Arial"/>
          <w:sz w:val="22"/>
          <w:szCs w:val="22"/>
        </w:rPr>
      </w:pPr>
    </w:p>
    <w:p w:rsidR="00872CEF" w:rsidRPr="00042404" w:rsidRDefault="00FE16F3" w:rsidP="008A7DC5">
      <w:pPr>
        <w:pStyle w:val="Heading3"/>
      </w:pPr>
      <w:r>
        <w:t xml:space="preserve">Adjusting </w:t>
      </w:r>
      <w:r w:rsidR="00872CEF" w:rsidRPr="00042404">
        <w:t>the thresholds</w:t>
      </w:r>
    </w:p>
    <w:p w:rsidR="00872CEF" w:rsidRDefault="00872CEF" w:rsidP="008A3975">
      <w:pPr>
        <w:rPr>
          <w:rFonts w:ascii="Arial" w:hAnsi="Arial" w:cs="Arial"/>
          <w:sz w:val="22"/>
          <w:szCs w:val="22"/>
        </w:rPr>
      </w:pPr>
    </w:p>
    <w:p w:rsidR="008A3975" w:rsidRDefault="00127904" w:rsidP="008A3975">
      <w:pPr>
        <w:rPr>
          <w:rFonts w:ascii="Arial" w:hAnsi="Arial" w:cs="Arial"/>
          <w:sz w:val="22"/>
          <w:szCs w:val="22"/>
        </w:rPr>
      </w:pPr>
      <w:r>
        <w:rPr>
          <w:rFonts w:ascii="Arial" w:hAnsi="Arial" w:cs="Arial"/>
          <w:sz w:val="22"/>
          <w:szCs w:val="22"/>
        </w:rPr>
        <w:t>A</w:t>
      </w:r>
      <w:r w:rsidR="00BB4DD6">
        <w:rPr>
          <w:rFonts w:ascii="Arial" w:hAnsi="Arial" w:cs="Arial"/>
          <w:sz w:val="22"/>
          <w:szCs w:val="22"/>
        </w:rPr>
        <w:t xml:space="preserve"> number of submissions noted the increasing costs associated with construction and raised the possibility of indexation of the thresholds</w:t>
      </w:r>
      <w:r w:rsidR="00846C41">
        <w:rPr>
          <w:rFonts w:ascii="Arial" w:hAnsi="Arial" w:cs="Arial"/>
          <w:sz w:val="22"/>
          <w:szCs w:val="22"/>
        </w:rPr>
        <w:t xml:space="preserve"> on a regular basis</w:t>
      </w:r>
      <w:r w:rsidR="00651E5A">
        <w:rPr>
          <w:rFonts w:ascii="Arial" w:hAnsi="Arial" w:cs="Arial"/>
          <w:sz w:val="22"/>
          <w:szCs w:val="22"/>
        </w:rPr>
        <w:t xml:space="preserve"> to better reflect p</w:t>
      </w:r>
      <w:r w:rsidR="005C44FE">
        <w:rPr>
          <w:rFonts w:ascii="Arial" w:hAnsi="Arial" w:cs="Arial"/>
          <w:sz w:val="22"/>
          <w:szCs w:val="22"/>
        </w:rPr>
        <w:t>rice movements in the building industry over time</w:t>
      </w:r>
      <w:r w:rsidR="00BB4DD6">
        <w:rPr>
          <w:rFonts w:ascii="Arial" w:hAnsi="Arial" w:cs="Arial"/>
          <w:sz w:val="22"/>
          <w:szCs w:val="22"/>
        </w:rPr>
        <w:t xml:space="preserve">. </w:t>
      </w:r>
      <w:r w:rsidR="00980AE7">
        <w:rPr>
          <w:rFonts w:ascii="Arial" w:hAnsi="Arial" w:cs="Arial"/>
          <w:sz w:val="22"/>
          <w:szCs w:val="22"/>
        </w:rPr>
        <w:t>Many stakeholders agree</w:t>
      </w:r>
      <w:r w:rsidR="005C44FE">
        <w:rPr>
          <w:rFonts w:ascii="Arial" w:hAnsi="Arial" w:cs="Arial"/>
          <w:sz w:val="22"/>
          <w:szCs w:val="22"/>
        </w:rPr>
        <w:t>d</w:t>
      </w:r>
      <w:r w:rsidR="00980AE7">
        <w:rPr>
          <w:rFonts w:ascii="Arial" w:hAnsi="Arial" w:cs="Arial"/>
          <w:sz w:val="22"/>
          <w:szCs w:val="22"/>
        </w:rPr>
        <w:t xml:space="preserve"> that the thresholds should change to reflect these increases. </w:t>
      </w:r>
      <w:r w:rsidR="0087546B" w:rsidRPr="0087546B">
        <w:rPr>
          <w:rFonts w:ascii="Arial" w:hAnsi="Arial" w:cs="Arial"/>
          <w:sz w:val="22"/>
          <w:szCs w:val="22"/>
        </w:rPr>
        <w:t>ACA propose</w:t>
      </w:r>
      <w:r w:rsidR="005C44FE">
        <w:rPr>
          <w:rFonts w:ascii="Arial" w:hAnsi="Arial" w:cs="Arial"/>
          <w:sz w:val="22"/>
          <w:szCs w:val="22"/>
        </w:rPr>
        <w:t>d</w:t>
      </w:r>
      <w:r w:rsidR="0087546B" w:rsidRPr="0087546B">
        <w:rPr>
          <w:rFonts w:ascii="Arial" w:hAnsi="Arial" w:cs="Arial"/>
          <w:sz w:val="22"/>
          <w:szCs w:val="22"/>
        </w:rPr>
        <w:t xml:space="preserve"> </w:t>
      </w:r>
      <w:r w:rsidR="00A203F1">
        <w:rPr>
          <w:rFonts w:ascii="Arial" w:hAnsi="Arial" w:cs="Arial"/>
          <w:sz w:val="22"/>
          <w:szCs w:val="22"/>
        </w:rPr>
        <w:t>an</w:t>
      </w:r>
      <w:r w:rsidR="0087546B" w:rsidRPr="0087546B">
        <w:rPr>
          <w:rFonts w:ascii="Arial" w:hAnsi="Arial" w:cs="Arial"/>
          <w:sz w:val="22"/>
          <w:szCs w:val="22"/>
        </w:rPr>
        <w:t xml:space="preserve"> indexation</w:t>
      </w:r>
      <w:r w:rsidR="007C6AD7">
        <w:rPr>
          <w:rFonts w:ascii="Arial" w:hAnsi="Arial" w:cs="Arial"/>
          <w:sz w:val="22"/>
          <w:szCs w:val="22"/>
        </w:rPr>
        <w:t>-</w:t>
      </w:r>
      <w:r w:rsidR="0087546B" w:rsidRPr="0087546B">
        <w:rPr>
          <w:rFonts w:ascii="Arial" w:hAnsi="Arial" w:cs="Arial"/>
          <w:sz w:val="22"/>
          <w:szCs w:val="22"/>
        </w:rPr>
        <w:t>based adjustment</w:t>
      </w:r>
      <w:r w:rsidR="005C44FE">
        <w:rPr>
          <w:rFonts w:ascii="Arial" w:hAnsi="Arial" w:cs="Arial"/>
          <w:sz w:val="22"/>
          <w:szCs w:val="22"/>
        </w:rPr>
        <w:t xml:space="preserve"> as did a</w:t>
      </w:r>
      <w:r w:rsidR="00872CEF">
        <w:rPr>
          <w:rFonts w:ascii="Arial" w:hAnsi="Arial" w:cs="Arial"/>
          <w:sz w:val="22"/>
          <w:szCs w:val="22"/>
        </w:rPr>
        <w:t xml:space="preserve"> number of accredited companies</w:t>
      </w:r>
      <w:r w:rsidR="005C44FE">
        <w:rPr>
          <w:rFonts w:ascii="Arial" w:hAnsi="Arial" w:cs="Arial"/>
          <w:sz w:val="22"/>
          <w:szCs w:val="22"/>
        </w:rPr>
        <w:t xml:space="preserve">. </w:t>
      </w:r>
      <w:r w:rsidR="008A2043">
        <w:rPr>
          <w:rFonts w:ascii="Arial" w:hAnsi="Arial" w:cs="Arial"/>
          <w:sz w:val="22"/>
          <w:szCs w:val="22"/>
        </w:rPr>
        <w:t>AMCA</w:t>
      </w:r>
      <w:r w:rsidR="00872CEF">
        <w:rPr>
          <w:rFonts w:ascii="Arial" w:hAnsi="Arial" w:cs="Arial"/>
          <w:sz w:val="22"/>
          <w:szCs w:val="22"/>
        </w:rPr>
        <w:t xml:space="preserve"> and </w:t>
      </w:r>
      <w:r w:rsidR="0087546B" w:rsidRPr="0087546B">
        <w:rPr>
          <w:rFonts w:ascii="Arial" w:hAnsi="Arial" w:cs="Arial"/>
          <w:sz w:val="22"/>
          <w:szCs w:val="22"/>
        </w:rPr>
        <w:t>MBA, although stating in their submission</w:t>
      </w:r>
      <w:r w:rsidR="000C6988">
        <w:rPr>
          <w:rFonts w:ascii="Arial" w:hAnsi="Arial" w:cs="Arial"/>
          <w:sz w:val="22"/>
          <w:szCs w:val="22"/>
        </w:rPr>
        <w:t>s</w:t>
      </w:r>
      <w:r w:rsidR="0087546B" w:rsidRPr="0087546B">
        <w:rPr>
          <w:rFonts w:ascii="Arial" w:hAnsi="Arial" w:cs="Arial"/>
          <w:sz w:val="22"/>
          <w:szCs w:val="22"/>
        </w:rPr>
        <w:t xml:space="preserve"> that thresholds should stay the same, </w:t>
      </w:r>
      <w:r w:rsidR="00872CEF">
        <w:rPr>
          <w:rFonts w:ascii="Arial" w:hAnsi="Arial" w:cs="Arial"/>
          <w:sz w:val="22"/>
          <w:szCs w:val="22"/>
        </w:rPr>
        <w:t xml:space="preserve">indicated they </w:t>
      </w:r>
      <w:r w:rsidR="0087546B" w:rsidRPr="0087546B">
        <w:rPr>
          <w:rFonts w:ascii="Arial" w:hAnsi="Arial" w:cs="Arial"/>
          <w:sz w:val="22"/>
          <w:szCs w:val="22"/>
        </w:rPr>
        <w:t>w</w:t>
      </w:r>
      <w:r w:rsidR="005C44FE">
        <w:rPr>
          <w:rFonts w:ascii="Arial" w:hAnsi="Arial" w:cs="Arial"/>
          <w:sz w:val="22"/>
          <w:szCs w:val="22"/>
        </w:rPr>
        <w:t>ould</w:t>
      </w:r>
      <w:r w:rsidR="0087546B" w:rsidRPr="0087546B">
        <w:rPr>
          <w:rFonts w:ascii="Arial" w:hAnsi="Arial" w:cs="Arial"/>
          <w:sz w:val="22"/>
          <w:szCs w:val="22"/>
        </w:rPr>
        <w:t xml:space="preserve"> support this level of change. </w:t>
      </w:r>
    </w:p>
    <w:p w:rsidR="00795B78" w:rsidRDefault="00795B78" w:rsidP="008A3975">
      <w:pPr>
        <w:rPr>
          <w:rFonts w:ascii="Arial" w:hAnsi="Arial" w:cs="Arial"/>
          <w:sz w:val="22"/>
          <w:szCs w:val="22"/>
        </w:rPr>
      </w:pPr>
    </w:p>
    <w:p w:rsidR="00872CEF" w:rsidRPr="00872CEF" w:rsidRDefault="00872CEF" w:rsidP="00872CEF">
      <w:pPr>
        <w:rPr>
          <w:rFonts w:ascii="Arial" w:hAnsi="Arial" w:cs="Arial"/>
          <w:sz w:val="22"/>
          <w:szCs w:val="22"/>
        </w:rPr>
      </w:pPr>
      <w:r w:rsidRPr="00872CEF">
        <w:rPr>
          <w:rFonts w:ascii="Arial" w:hAnsi="Arial" w:cs="Arial"/>
          <w:sz w:val="22"/>
          <w:szCs w:val="22"/>
        </w:rPr>
        <w:t xml:space="preserve">While there is no single index that covers all areas of construction relevant to the Scheme, there are a number of indices that can provide an indication of the change in costs over time in the construction sector. One such index is the Building Construction Index </w:t>
      </w:r>
      <w:r w:rsidR="007C6AD7">
        <w:rPr>
          <w:rFonts w:ascii="Arial" w:hAnsi="Arial" w:cs="Arial"/>
          <w:sz w:val="22"/>
          <w:szCs w:val="22"/>
        </w:rPr>
        <w:t xml:space="preserve">(BCI) </w:t>
      </w:r>
      <w:r w:rsidRPr="00872CEF">
        <w:rPr>
          <w:rFonts w:ascii="Arial" w:hAnsi="Arial" w:cs="Arial"/>
          <w:sz w:val="22"/>
          <w:szCs w:val="22"/>
        </w:rPr>
        <w:t xml:space="preserve">which covers residential and non-residential (commercial) construction. In the period from 2006 to 2013 this index showed an increase in the order of 20 per cent. Another relevant index is the Roads and Bridges Index which showed an increase in the order of 35 per cent for the same period. </w:t>
      </w:r>
    </w:p>
    <w:p w:rsidR="00872CEF" w:rsidRPr="00872CEF" w:rsidRDefault="00872CEF" w:rsidP="00872CEF">
      <w:pPr>
        <w:rPr>
          <w:rFonts w:ascii="Arial" w:hAnsi="Arial" w:cs="Arial"/>
          <w:sz w:val="22"/>
          <w:szCs w:val="22"/>
        </w:rPr>
      </w:pPr>
    </w:p>
    <w:p w:rsidR="00872CEF" w:rsidRPr="00872CEF" w:rsidRDefault="00872CEF" w:rsidP="00872CEF">
      <w:pPr>
        <w:rPr>
          <w:rFonts w:ascii="Arial" w:hAnsi="Arial" w:cs="Arial"/>
          <w:sz w:val="22"/>
          <w:szCs w:val="22"/>
        </w:rPr>
      </w:pPr>
      <w:r w:rsidRPr="00872CEF">
        <w:rPr>
          <w:rFonts w:ascii="Arial" w:hAnsi="Arial" w:cs="Arial"/>
          <w:sz w:val="22"/>
          <w:szCs w:val="22"/>
        </w:rPr>
        <w:t>While not directly relevant to construction, the Consumer Price Index (CPI) over the same period showed an increase of almost 22 per cent. Raising the funding thresholds to keep pace with changes in either the B</w:t>
      </w:r>
      <w:r w:rsidR="007C6AD7">
        <w:rPr>
          <w:rFonts w:ascii="Arial" w:hAnsi="Arial" w:cs="Arial"/>
          <w:sz w:val="22"/>
          <w:szCs w:val="22"/>
        </w:rPr>
        <w:t>CI</w:t>
      </w:r>
      <w:r w:rsidRPr="00872CEF">
        <w:rPr>
          <w:rFonts w:ascii="Arial" w:hAnsi="Arial" w:cs="Arial"/>
          <w:sz w:val="22"/>
          <w:szCs w:val="22"/>
        </w:rPr>
        <w:t xml:space="preserve"> or the CPI would result in thresholds as follows:</w:t>
      </w:r>
    </w:p>
    <w:p w:rsidR="00872CEF" w:rsidRDefault="00872CEF" w:rsidP="00872CEF">
      <w:pPr>
        <w:rPr>
          <w:rFonts w:ascii="Arial" w:hAnsi="Arial" w:cs="Arial"/>
          <w:sz w:val="22"/>
          <w:szCs w:val="22"/>
        </w:rPr>
      </w:pPr>
    </w:p>
    <w:p w:rsidR="00EB77C3" w:rsidRPr="00520A2F" w:rsidRDefault="00EB77C3" w:rsidP="00520A2F">
      <w:pPr>
        <w:spacing w:after="60"/>
        <w:rPr>
          <w:rFonts w:ascii="Arial" w:hAnsi="Arial" w:cs="Arial"/>
          <w:b/>
          <w:sz w:val="22"/>
          <w:szCs w:val="22"/>
        </w:rPr>
      </w:pPr>
      <w:r w:rsidRPr="00520A2F">
        <w:rPr>
          <w:rFonts w:ascii="Arial" w:hAnsi="Arial" w:cs="Arial"/>
          <w:b/>
          <w:sz w:val="22"/>
          <w:szCs w:val="22"/>
        </w:rPr>
        <w:tab/>
      </w:r>
      <w:r w:rsidRPr="00520A2F">
        <w:rPr>
          <w:rFonts w:ascii="Arial" w:hAnsi="Arial" w:cs="Arial"/>
          <w:b/>
          <w:sz w:val="22"/>
          <w:szCs w:val="22"/>
        </w:rPr>
        <w:tab/>
      </w:r>
      <w:r w:rsidRPr="00520A2F">
        <w:rPr>
          <w:rFonts w:ascii="Arial" w:hAnsi="Arial" w:cs="Arial"/>
          <w:b/>
          <w:sz w:val="22"/>
          <w:szCs w:val="22"/>
        </w:rPr>
        <w:tab/>
      </w:r>
      <w:r w:rsidRPr="00520A2F">
        <w:rPr>
          <w:rFonts w:ascii="Arial" w:hAnsi="Arial" w:cs="Arial"/>
          <w:b/>
          <w:sz w:val="22"/>
          <w:szCs w:val="22"/>
        </w:rPr>
        <w:tab/>
      </w:r>
      <w:r w:rsidRPr="00520A2F">
        <w:rPr>
          <w:rFonts w:ascii="Arial" w:hAnsi="Arial" w:cs="Arial"/>
          <w:b/>
          <w:sz w:val="22"/>
          <w:szCs w:val="22"/>
        </w:rPr>
        <w:tab/>
      </w:r>
      <w:r w:rsidR="000C6988">
        <w:rPr>
          <w:rFonts w:ascii="Arial" w:hAnsi="Arial" w:cs="Arial"/>
          <w:b/>
          <w:sz w:val="22"/>
          <w:szCs w:val="22"/>
        </w:rPr>
        <w:tab/>
      </w:r>
      <w:r w:rsidRPr="00520A2F">
        <w:rPr>
          <w:rFonts w:ascii="Arial" w:hAnsi="Arial" w:cs="Arial"/>
          <w:b/>
          <w:sz w:val="22"/>
          <w:szCs w:val="22"/>
        </w:rPr>
        <w:t>Current</w:t>
      </w:r>
      <w:r>
        <w:rPr>
          <w:rFonts w:ascii="Arial" w:hAnsi="Arial" w:cs="Arial"/>
          <w:b/>
          <w:sz w:val="22"/>
          <w:szCs w:val="22"/>
        </w:rPr>
        <w:tab/>
      </w:r>
      <w:r>
        <w:rPr>
          <w:rFonts w:ascii="Arial" w:hAnsi="Arial" w:cs="Arial"/>
          <w:b/>
          <w:sz w:val="22"/>
          <w:szCs w:val="22"/>
        </w:rPr>
        <w:tab/>
      </w:r>
      <w:r>
        <w:rPr>
          <w:rFonts w:ascii="Arial" w:hAnsi="Arial" w:cs="Arial"/>
          <w:b/>
          <w:sz w:val="22"/>
          <w:szCs w:val="22"/>
        </w:rPr>
        <w:tab/>
        <w:t>New</w:t>
      </w:r>
    </w:p>
    <w:p w:rsidR="00872CEF" w:rsidRPr="00872CEF" w:rsidRDefault="00872CEF" w:rsidP="00872CEF">
      <w:pPr>
        <w:ind w:firstLine="720"/>
        <w:rPr>
          <w:rFonts w:ascii="Arial" w:hAnsi="Arial" w:cs="Arial"/>
          <w:sz w:val="22"/>
          <w:szCs w:val="22"/>
        </w:rPr>
      </w:pPr>
      <w:r w:rsidRPr="00E42471">
        <w:rPr>
          <w:rFonts w:ascii="Arial" w:hAnsi="Arial" w:cs="Arial"/>
          <w:b/>
          <w:sz w:val="22"/>
          <w:szCs w:val="22"/>
        </w:rPr>
        <w:t>Direct threshold</w:t>
      </w:r>
      <w:r w:rsidRPr="00872CEF">
        <w:rPr>
          <w:rFonts w:ascii="Arial" w:hAnsi="Arial" w:cs="Arial"/>
          <w:sz w:val="22"/>
          <w:szCs w:val="22"/>
        </w:rPr>
        <w:t xml:space="preserve"> </w:t>
      </w:r>
      <w:r w:rsidRPr="00872CEF">
        <w:rPr>
          <w:rFonts w:ascii="Arial" w:hAnsi="Arial" w:cs="Arial"/>
          <w:sz w:val="22"/>
          <w:szCs w:val="22"/>
        </w:rPr>
        <w:tab/>
      </w:r>
      <w:r w:rsidRPr="00872CEF">
        <w:rPr>
          <w:rFonts w:ascii="Arial" w:hAnsi="Arial" w:cs="Arial"/>
          <w:sz w:val="22"/>
          <w:szCs w:val="22"/>
        </w:rPr>
        <w:tab/>
      </w:r>
      <w:r w:rsidR="000C6988">
        <w:rPr>
          <w:rFonts w:ascii="Arial" w:hAnsi="Arial" w:cs="Arial"/>
          <w:sz w:val="22"/>
          <w:szCs w:val="22"/>
        </w:rPr>
        <w:tab/>
      </w:r>
      <w:r w:rsidRPr="00872CEF">
        <w:rPr>
          <w:rFonts w:ascii="Arial" w:hAnsi="Arial" w:cs="Arial"/>
          <w:sz w:val="22"/>
          <w:szCs w:val="22"/>
        </w:rPr>
        <w:t>$3 million</w:t>
      </w:r>
      <w:r w:rsidR="00EB77C3">
        <w:rPr>
          <w:rFonts w:ascii="Arial" w:hAnsi="Arial" w:cs="Arial"/>
          <w:sz w:val="22"/>
          <w:szCs w:val="22"/>
        </w:rPr>
        <w:t xml:space="preserve"> </w:t>
      </w:r>
      <w:r w:rsidR="00EB77C3">
        <w:rPr>
          <w:rFonts w:ascii="Arial" w:hAnsi="Arial" w:cs="Arial"/>
          <w:sz w:val="22"/>
          <w:szCs w:val="22"/>
        </w:rPr>
        <w:tab/>
      </w:r>
      <w:r w:rsidRPr="00872CEF">
        <w:rPr>
          <w:rFonts w:ascii="Arial" w:hAnsi="Arial" w:cs="Arial"/>
          <w:sz w:val="22"/>
          <w:szCs w:val="22"/>
        </w:rPr>
        <w:tab/>
        <w:t>$4 million (rounded)</w:t>
      </w:r>
    </w:p>
    <w:p w:rsidR="00872CEF" w:rsidRPr="00872CEF" w:rsidRDefault="00872CEF" w:rsidP="00872CEF">
      <w:pPr>
        <w:ind w:firstLine="720"/>
        <w:rPr>
          <w:rFonts w:ascii="Arial" w:hAnsi="Arial" w:cs="Arial"/>
          <w:sz w:val="22"/>
          <w:szCs w:val="22"/>
        </w:rPr>
      </w:pPr>
      <w:r w:rsidRPr="00E42471">
        <w:rPr>
          <w:rFonts w:ascii="Arial" w:hAnsi="Arial" w:cs="Arial"/>
          <w:b/>
          <w:sz w:val="22"/>
          <w:szCs w:val="22"/>
        </w:rPr>
        <w:t>Indirect threshold (Lower)</w:t>
      </w:r>
      <w:r w:rsidRPr="00872CEF">
        <w:rPr>
          <w:rFonts w:ascii="Arial" w:hAnsi="Arial" w:cs="Arial"/>
          <w:sz w:val="22"/>
          <w:szCs w:val="22"/>
        </w:rPr>
        <w:tab/>
      </w:r>
      <w:r w:rsidR="000C6988">
        <w:rPr>
          <w:rFonts w:ascii="Arial" w:hAnsi="Arial" w:cs="Arial"/>
          <w:sz w:val="22"/>
          <w:szCs w:val="22"/>
        </w:rPr>
        <w:tab/>
      </w:r>
      <w:r w:rsidRPr="00872CEF">
        <w:rPr>
          <w:rFonts w:ascii="Arial" w:hAnsi="Arial" w:cs="Arial"/>
          <w:sz w:val="22"/>
          <w:szCs w:val="22"/>
        </w:rPr>
        <w:t>$</w:t>
      </w:r>
      <w:r w:rsidR="00941540">
        <w:rPr>
          <w:rFonts w:ascii="Arial" w:hAnsi="Arial" w:cs="Arial"/>
          <w:sz w:val="22"/>
          <w:szCs w:val="22"/>
        </w:rPr>
        <w:t>5</w:t>
      </w:r>
      <w:r w:rsidRPr="00872CEF">
        <w:rPr>
          <w:rFonts w:ascii="Arial" w:hAnsi="Arial" w:cs="Arial"/>
          <w:sz w:val="22"/>
          <w:szCs w:val="22"/>
        </w:rPr>
        <w:t xml:space="preserve"> million</w:t>
      </w:r>
      <w:r w:rsidRPr="00872CEF">
        <w:rPr>
          <w:rFonts w:ascii="Arial" w:hAnsi="Arial" w:cs="Arial"/>
          <w:sz w:val="22"/>
          <w:szCs w:val="22"/>
        </w:rPr>
        <w:tab/>
      </w:r>
      <w:r w:rsidR="00EB77C3">
        <w:rPr>
          <w:rFonts w:ascii="Arial" w:hAnsi="Arial" w:cs="Arial"/>
          <w:sz w:val="22"/>
          <w:szCs w:val="22"/>
        </w:rPr>
        <w:tab/>
      </w:r>
      <w:r w:rsidRPr="00872CEF">
        <w:rPr>
          <w:rFonts w:ascii="Arial" w:hAnsi="Arial" w:cs="Arial"/>
          <w:sz w:val="22"/>
          <w:szCs w:val="22"/>
        </w:rPr>
        <w:t>$6 million (rounded)</w:t>
      </w:r>
    </w:p>
    <w:p w:rsidR="00872CEF" w:rsidRPr="00872CEF" w:rsidRDefault="00872CEF" w:rsidP="00872CEF">
      <w:pPr>
        <w:ind w:firstLine="720"/>
        <w:rPr>
          <w:rFonts w:ascii="Arial" w:hAnsi="Arial" w:cs="Arial"/>
          <w:sz w:val="22"/>
          <w:szCs w:val="22"/>
        </w:rPr>
      </w:pPr>
      <w:r w:rsidRPr="00E42471">
        <w:rPr>
          <w:rFonts w:ascii="Arial" w:hAnsi="Arial" w:cs="Arial"/>
          <w:b/>
          <w:sz w:val="22"/>
          <w:szCs w:val="22"/>
        </w:rPr>
        <w:t>Indirect threshold (Upper)</w:t>
      </w:r>
      <w:r w:rsidRPr="00872CEF">
        <w:rPr>
          <w:rFonts w:ascii="Arial" w:hAnsi="Arial" w:cs="Arial"/>
          <w:sz w:val="22"/>
          <w:szCs w:val="22"/>
        </w:rPr>
        <w:tab/>
      </w:r>
      <w:r w:rsidR="000C6988">
        <w:rPr>
          <w:rFonts w:ascii="Arial" w:hAnsi="Arial" w:cs="Arial"/>
          <w:sz w:val="22"/>
          <w:szCs w:val="22"/>
        </w:rPr>
        <w:tab/>
      </w:r>
      <w:r w:rsidRPr="00872CEF">
        <w:rPr>
          <w:rFonts w:ascii="Arial" w:hAnsi="Arial" w:cs="Arial"/>
          <w:sz w:val="22"/>
          <w:szCs w:val="22"/>
        </w:rPr>
        <w:t>$</w:t>
      </w:r>
      <w:r w:rsidR="00941540">
        <w:rPr>
          <w:rFonts w:ascii="Arial" w:hAnsi="Arial" w:cs="Arial"/>
          <w:sz w:val="22"/>
          <w:szCs w:val="22"/>
        </w:rPr>
        <w:t>10</w:t>
      </w:r>
      <w:r w:rsidRPr="00872CEF">
        <w:rPr>
          <w:rFonts w:ascii="Arial" w:hAnsi="Arial" w:cs="Arial"/>
          <w:sz w:val="22"/>
          <w:szCs w:val="22"/>
        </w:rPr>
        <w:t xml:space="preserve"> million</w:t>
      </w:r>
      <w:r w:rsidRPr="00872CEF">
        <w:rPr>
          <w:rFonts w:ascii="Arial" w:hAnsi="Arial" w:cs="Arial"/>
          <w:sz w:val="22"/>
          <w:szCs w:val="22"/>
        </w:rPr>
        <w:tab/>
      </w:r>
      <w:r w:rsidR="00520A2F">
        <w:rPr>
          <w:rFonts w:ascii="Arial" w:hAnsi="Arial" w:cs="Arial"/>
          <w:sz w:val="22"/>
          <w:szCs w:val="22"/>
        </w:rPr>
        <w:tab/>
      </w:r>
      <w:r w:rsidRPr="00872CEF">
        <w:rPr>
          <w:rFonts w:ascii="Arial" w:hAnsi="Arial" w:cs="Arial"/>
          <w:sz w:val="22"/>
          <w:szCs w:val="22"/>
        </w:rPr>
        <w:t>$12 million (rounded)</w:t>
      </w:r>
    </w:p>
    <w:p w:rsidR="00872CEF" w:rsidRPr="00872CEF" w:rsidRDefault="00872CEF" w:rsidP="00872CEF">
      <w:pPr>
        <w:rPr>
          <w:rFonts w:ascii="Arial" w:hAnsi="Arial" w:cs="Arial"/>
          <w:sz w:val="22"/>
          <w:szCs w:val="22"/>
        </w:rPr>
      </w:pPr>
    </w:p>
    <w:p w:rsidR="006D2A42" w:rsidRDefault="00BB4DD6" w:rsidP="006D2A42">
      <w:pPr>
        <w:rPr>
          <w:rFonts w:cstheme="minorHAnsi"/>
          <w:i/>
          <w:sz w:val="22"/>
          <w:szCs w:val="22"/>
        </w:rPr>
      </w:pPr>
      <w:r w:rsidRPr="006D2A42">
        <w:rPr>
          <w:rFonts w:ascii="Arial" w:hAnsi="Arial" w:cs="Arial"/>
          <w:sz w:val="22"/>
          <w:szCs w:val="22"/>
        </w:rPr>
        <w:t xml:space="preserve">The most appropriate tool for indexation is </w:t>
      </w:r>
      <w:r w:rsidR="00795B78">
        <w:rPr>
          <w:rFonts w:ascii="Arial" w:hAnsi="Arial" w:cs="Arial"/>
          <w:sz w:val="22"/>
          <w:szCs w:val="22"/>
        </w:rPr>
        <w:t xml:space="preserve">considered to be </w:t>
      </w:r>
      <w:r w:rsidR="00846C41" w:rsidRPr="006D2A42">
        <w:rPr>
          <w:rFonts w:ascii="Arial" w:hAnsi="Arial" w:cs="Arial"/>
          <w:sz w:val="22"/>
          <w:szCs w:val="22"/>
        </w:rPr>
        <w:t>the B</w:t>
      </w:r>
      <w:r w:rsidR="007C6AD7">
        <w:rPr>
          <w:rFonts w:ascii="Arial" w:hAnsi="Arial" w:cs="Arial"/>
          <w:sz w:val="22"/>
          <w:szCs w:val="22"/>
        </w:rPr>
        <w:t>CI. Using this i</w:t>
      </w:r>
      <w:r w:rsidR="00A77896">
        <w:rPr>
          <w:rFonts w:ascii="Arial" w:hAnsi="Arial" w:cs="Arial"/>
          <w:sz w:val="22"/>
          <w:szCs w:val="22"/>
        </w:rPr>
        <w:t xml:space="preserve">ndex in conjunction with the </w:t>
      </w:r>
      <w:r w:rsidR="006D2A42" w:rsidRPr="006D2A42">
        <w:rPr>
          <w:rFonts w:ascii="Arial" w:hAnsi="Arial" w:cs="Arial"/>
          <w:sz w:val="22"/>
          <w:szCs w:val="22"/>
        </w:rPr>
        <w:t>Treasury</w:t>
      </w:r>
      <w:r w:rsidR="000C6988">
        <w:rPr>
          <w:rFonts w:ascii="Arial" w:hAnsi="Arial" w:cs="Arial"/>
          <w:sz w:val="22"/>
          <w:szCs w:val="22"/>
        </w:rPr>
        <w:t>’s</w:t>
      </w:r>
      <w:r w:rsidR="006D2A42" w:rsidRPr="006D2A42">
        <w:rPr>
          <w:rFonts w:ascii="Arial" w:hAnsi="Arial" w:cs="Arial"/>
          <w:sz w:val="22"/>
          <w:szCs w:val="22"/>
        </w:rPr>
        <w:t xml:space="preserve"> forward parameters </w:t>
      </w:r>
      <w:r w:rsidR="00A77896">
        <w:rPr>
          <w:rFonts w:ascii="Arial" w:hAnsi="Arial" w:cs="Arial"/>
          <w:sz w:val="22"/>
          <w:szCs w:val="22"/>
        </w:rPr>
        <w:t>w</w:t>
      </w:r>
      <w:r w:rsidR="00A26E2B">
        <w:rPr>
          <w:rFonts w:ascii="Arial" w:hAnsi="Arial" w:cs="Arial"/>
          <w:sz w:val="22"/>
          <w:szCs w:val="22"/>
        </w:rPr>
        <w:t>ould</w:t>
      </w:r>
      <w:r w:rsidR="00A77896">
        <w:rPr>
          <w:rFonts w:ascii="Arial" w:hAnsi="Arial" w:cs="Arial"/>
          <w:sz w:val="22"/>
          <w:szCs w:val="22"/>
        </w:rPr>
        <w:t xml:space="preserve"> </w:t>
      </w:r>
      <w:r w:rsidR="006D2A42" w:rsidRPr="006D2A42">
        <w:rPr>
          <w:rFonts w:ascii="Arial" w:hAnsi="Arial" w:cs="Arial"/>
          <w:sz w:val="22"/>
          <w:szCs w:val="22"/>
        </w:rPr>
        <w:t xml:space="preserve">provide definitive advice </w:t>
      </w:r>
      <w:r w:rsidR="00A77896">
        <w:rPr>
          <w:rFonts w:ascii="Arial" w:hAnsi="Arial" w:cs="Arial"/>
          <w:sz w:val="22"/>
          <w:szCs w:val="22"/>
        </w:rPr>
        <w:t xml:space="preserve">to stakeholders </w:t>
      </w:r>
      <w:r w:rsidR="006D2A42" w:rsidRPr="006D2A42">
        <w:rPr>
          <w:rFonts w:ascii="Arial" w:hAnsi="Arial" w:cs="Arial"/>
          <w:sz w:val="22"/>
          <w:szCs w:val="22"/>
        </w:rPr>
        <w:t>on the new thresholds well before they take effect.</w:t>
      </w:r>
      <w:r w:rsidR="006D2A42">
        <w:rPr>
          <w:rFonts w:ascii="Arial" w:hAnsi="Arial" w:cs="Arial"/>
          <w:sz w:val="22"/>
          <w:szCs w:val="22"/>
        </w:rPr>
        <w:t xml:space="preserve"> </w:t>
      </w:r>
      <w:r w:rsidR="007C6AD7">
        <w:rPr>
          <w:rFonts w:ascii="Arial" w:hAnsi="Arial" w:cs="Arial"/>
          <w:sz w:val="22"/>
          <w:szCs w:val="22"/>
        </w:rPr>
        <w:t xml:space="preserve">An adjustment </w:t>
      </w:r>
      <w:r w:rsidR="00EB77C3">
        <w:rPr>
          <w:rFonts w:ascii="Arial" w:hAnsi="Arial" w:cs="Arial"/>
          <w:sz w:val="22"/>
          <w:szCs w:val="22"/>
        </w:rPr>
        <w:t xml:space="preserve">of the thresholds </w:t>
      </w:r>
      <w:r w:rsidR="00846C41" w:rsidRPr="006D2A42">
        <w:rPr>
          <w:rFonts w:ascii="Arial" w:hAnsi="Arial" w:cs="Arial"/>
          <w:sz w:val="22"/>
          <w:szCs w:val="22"/>
        </w:rPr>
        <w:t xml:space="preserve">every three years </w:t>
      </w:r>
      <w:r w:rsidR="00EB77C3">
        <w:rPr>
          <w:rFonts w:ascii="Arial" w:hAnsi="Arial" w:cs="Arial"/>
          <w:sz w:val="22"/>
          <w:szCs w:val="22"/>
        </w:rPr>
        <w:t>would</w:t>
      </w:r>
      <w:r w:rsidR="00D71B71">
        <w:rPr>
          <w:rFonts w:ascii="Arial" w:hAnsi="Arial" w:cs="Arial"/>
          <w:sz w:val="22"/>
          <w:szCs w:val="22"/>
        </w:rPr>
        <w:t xml:space="preserve"> avoid </w:t>
      </w:r>
      <w:r w:rsidR="007C6AD7">
        <w:rPr>
          <w:rFonts w:ascii="Arial" w:hAnsi="Arial" w:cs="Arial"/>
          <w:sz w:val="22"/>
          <w:szCs w:val="22"/>
        </w:rPr>
        <w:t xml:space="preserve">potentially </w:t>
      </w:r>
      <w:r w:rsidR="00D71B71">
        <w:rPr>
          <w:rFonts w:ascii="Arial" w:hAnsi="Arial" w:cs="Arial"/>
          <w:sz w:val="22"/>
          <w:szCs w:val="22"/>
        </w:rPr>
        <w:t>very minor adjustments in the intervening years.</w:t>
      </w:r>
      <w:r w:rsidR="00795B78">
        <w:rPr>
          <w:rFonts w:ascii="Arial" w:hAnsi="Arial" w:cs="Arial"/>
          <w:sz w:val="22"/>
          <w:szCs w:val="22"/>
        </w:rPr>
        <w:t xml:space="preserve"> Advice on the revised thresholds would be publicised around 12 months in advance</w:t>
      </w:r>
      <w:r w:rsidR="00520A2F">
        <w:rPr>
          <w:rFonts w:ascii="Arial" w:hAnsi="Arial" w:cs="Arial"/>
          <w:sz w:val="22"/>
          <w:szCs w:val="22"/>
        </w:rPr>
        <w:t xml:space="preserve"> to enable companies and agencies alike to ensure contracts into the future reflect the revised thresholds</w:t>
      </w:r>
      <w:r w:rsidR="00795B78">
        <w:rPr>
          <w:rFonts w:ascii="Arial" w:hAnsi="Arial" w:cs="Arial"/>
          <w:sz w:val="22"/>
          <w:szCs w:val="22"/>
        </w:rPr>
        <w:t>.</w:t>
      </w:r>
      <w:r w:rsidR="004D2E88">
        <w:rPr>
          <w:rFonts w:ascii="Arial" w:hAnsi="Arial" w:cs="Arial"/>
          <w:sz w:val="22"/>
          <w:szCs w:val="22"/>
        </w:rPr>
        <w:t xml:space="preserve"> </w:t>
      </w:r>
      <w:r w:rsidR="006D2A42" w:rsidRPr="006D2A42">
        <w:rPr>
          <w:rFonts w:cstheme="minorHAnsi"/>
          <w:i/>
          <w:sz w:val="22"/>
          <w:szCs w:val="22"/>
        </w:rPr>
        <w:t xml:space="preserve"> </w:t>
      </w:r>
    </w:p>
    <w:p w:rsidR="006D2A42" w:rsidRDefault="006D2A42" w:rsidP="006D2A42">
      <w:pPr>
        <w:rPr>
          <w:rFonts w:cstheme="minorHAnsi"/>
          <w:i/>
          <w:sz w:val="22"/>
          <w:szCs w:val="22"/>
        </w:rPr>
      </w:pPr>
    </w:p>
    <w:p w:rsidR="00131F34" w:rsidRDefault="00131F34">
      <w:pPr>
        <w:rPr>
          <w:rFonts w:ascii="Arial" w:hAnsi="Arial" w:cs="Arial"/>
          <w:sz w:val="22"/>
          <w:szCs w:val="22"/>
        </w:rPr>
      </w:pPr>
      <w:r>
        <w:rPr>
          <w:rFonts w:ascii="Arial" w:hAnsi="Arial" w:cs="Arial"/>
          <w:sz w:val="22"/>
          <w:szCs w:val="22"/>
        </w:rPr>
        <w:br w:type="page"/>
      </w:r>
    </w:p>
    <w:p w:rsidR="00795B78" w:rsidRDefault="00BC789B" w:rsidP="009300A8">
      <w:pPr>
        <w:rPr>
          <w:rFonts w:ascii="Arial" w:hAnsi="Arial" w:cs="Arial"/>
          <w:sz w:val="22"/>
          <w:szCs w:val="22"/>
        </w:rPr>
      </w:pPr>
      <w:r>
        <w:rPr>
          <w:rFonts w:ascii="Arial" w:hAnsi="Arial" w:cs="Arial"/>
          <w:sz w:val="22"/>
          <w:szCs w:val="22"/>
        </w:rPr>
        <w:t>Given the conclusion that</w:t>
      </w:r>
      <w:r w:rsidR="00E42471">
        <w:rPr>
          <w:rFonts w:ascii="Arial" w:hAnsi="Arial" w:cs="Arial"/>
          <w:sz w:val="22"/>
          <w:szCs w:val="22"/>
        </w:rPr>
        <w:t xml:space="preserve"> </w:t>
      </w:r>
      <w:r>
        <w:rPr>
          <w:rFonts w:ascii="Arial" w:hAnsi="Arial" w:cs="Arial"/>
          <w:sz w:val="22"/>
          <w:szCs w:val="22"/>
        </w:rPr>
        <w:t xml:space="preserve">on </w:t>
      </w:r>
      <w:r w:rsidR="00520A2F">
        <w:rPr>
          <w:rFonts w:ascii="Arial" w:hAnsi="Arial" w:cs="Arial"/>
          <w:sz w:val="22"/>
          <w:szCs w:val="22"/>
        </w:rPr>
        <w:t xml:space="preserve">balance </w:t>
      </w:r>
      <w:r>
        <w:rPr>
          <w:rFonts w:ascii="Arial" w:hAnsi="Arial" w:cs="Arial"/>
          <w:sz w:val="22"/>
          <w:szCs w:val="22"/>
        </w:rPr>
        <w:t>the</w:t>
      </w:r>
      <w:r w:rsidR="00520A2F">
        <w:rPr>
          <w:rFonts w:ascii="Arial" w:hAnsi="Arial" w:cs="Arial"/>
          <w:sz w:val="22"/>
          <w:szCs w:val="22"/>
        </w:rPr>
        <w:t xml:space="preserve"> thresholds are about right, </w:t>
      </w:r>
      <w:r>
        <w:rPr>
          <w:rFonts w:ascii="Arial" w:hAnsi="Arial" w:cs="Arial"/>
          <w:sz w:val="22"/>
          <w:szCs w:val="22"/>
        </w:rPr>
        <w:t>if</w:t>
      </w:r>
      <w:r w:rsidR="00520A2F">
        <w:rPr>
          <w:rFonts w:ascii="Arial" w:hAnsi="Arial" w:cs="Arial"/>
          <w:sz w:val="22"/>
          <w:szCs w:val="22"/>
        </w:rPr>
        <w:t xml:space="preserve"> changes in construction costs over time</w:t>
      </w:r>
      <w:r>
        <w:rPr>
          <w:rFonts w:ascii="Arial" w:hAnsi="Arial" w:cs="Arial"/>
          <w:sz w:val="22"/>
          <w:szCs w:val="22"/>
        </w:rPr>
        <w:t xml:space="preserve"> are factored in</w:t>
      </w:r>
      <w:r w:rsidR="00520A2F">
        <w:rPr>
          <w:rFonts w:ascii="Arial" w:hAnsi="Arial" w:cs="Arial"/>
          <w:sz w:val="22"/>
          <w:szCs w:val="22"/>
        </w:rPr>
        <w:t>, the following recommendations are made:</w:t>
      </w:r>
    </w:p>
    <w:p w:rsidR="00A460AD" w:rsidRDefault="00A460AD" w:rsidP="009300A8">
      <w:pPr>
        <w:rPr>
          <w:rFonts w:ascii="Arial" w:hAnsi="Arial" w:cs="Arial"/>
          <w:sz w:val="22"/>
          <w:szCs w:val="22"/>
        </w:rPr>
      </w:pPr>
    </w:p>
    <w:p w:rsidR="003434AD" w:rsidRDefault="003434AD" w:rsidP="00102336">
      <w:pPr>
        <w:rPr>
          <w:rFonts w:ascii="Arial" w:hAnsi="Arial" w:cs="Arial"/>
          <w:sz w:val="22"/>
          <w:szCs w:val="22"/>
          <w:highlight w:val="lightGray"/>
        </w:rPr>
      </w:pPr>
      <w:r w:rsidRPr="005C2E4D">
        <w:rPr>
          <w:rFonts w:ascii="Arial" w:hAnsi="Arial" w:cs="Arial"/>
          <w:noProof/>
          <w:sz w:val="22"/>
          <w:szCs w:val="22"/>
        </w:rPr>
        <mc:AlternateContent>
          <mc:Choice Requires="wps">
            <w:drawing>
              <wp:inline distT="0" distB="0" distL="0" distR="0" wp14:anchorId="53567A59" wp14:editId="37A08060">
                <wp:extent cx="5743575" cy="752475"/>
                <wp:effectExtent l="0" t="0" r="28575" b="28575"/>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52475"/>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3434A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w:t>
                            </w:r>
                            <w:r w:rsidRPr="005E46C2">
                              <w:rPr>
                                <w:rFonts w:ascii="Arial" w:hAnsi="Arial" w:cs="Arial"/>
                                <w:sz w:val="22"/>
                                <w:szCs w:val="22"/>
                                <w:highlight w:val="lightGray"/>
                              </w:rPr>
                              <w:t>:</w:t>
                            </w:r>
                            <w:r>
                              <w:rPr>
                                <w:rFonts w:ascii="Arial" w:hAnsi="Arial" w:cs="Arial"/>
                                <w:sz w:val="22"/>
                                <w:szCs w:val="22"/>
                              </w:rPr>
                              <w:t xml:space="preserve"> </w:t>
                            </w:r>
                            <w:r w:rsidRPr="003434AD">
                              <w:rPr>
                                <w:rFonts w:ascii="Arial" w:hAnsi="Arial" w:cs="Arial"/>
                                <w:sz w:val="22"/>
                                <w:szCs w:val="22"/>
                              </w:rPr>
                              <w:t>The thresholds applying to the Scheme for directly and indirectly funded building work be increased from $3 million and $5 million to $4 million and $6</w:t>
                            </w:r>
                            <w:r>
                              <w:rPr>
                                <w:rFonts w:ascii="Arial" w:hAnsi="Arial" w:cs="Arial"/>
                                <w:sz w:val="22"/>
                                <w:szCs w:val="22"/>
                              </w:rPr>
                              <w:t> </w:t>
                            </w:r>
                            <w:r w:rsidRPr="003434AD">
                              <w:rPr>
                                <w:rFonts w:ascii="Arial" w:hAnsi="Arial" w:cs="Arial"/>
                                <w:sz w:val="22"/>
                                <w:szCs w:val="22"/>
                              </w:rPr>
                              <w:t>million respectively.</w:t>
                            </w:r>
                          </w:p>
                        </w:txbxContent>
                      </wps:txbx>
                      <wps:bodyPr rot="0" vert="horz" wrap="square" lIns="91440" tIns="45720" rIns="91440" bIns="45720" anchor="ctr" anchorCtr="0">
                        <a:noAutofit/>
                      </wps:bodyPr>
                    </wps:wsp>
                  </a:graphicData>
                </a:graphic>
              </wp:inline>
            </w:drawing>
          </mc:Choice>
          <mc:Fallback>
            <w:pict>
              <v:shapetype w14:anchorId="53567A59" id="_x0000_t202" coordsize="21600,21600" o:spt="202" path="m,l,21600r21600,l21600,xe">
                <v:stroke joinstyle="miter"/>
                <v:path gradientshapeok="t" o:connecttype="rect"/>
              </v:shapetype>
              <v:shape id="Text Box 2" o:spid="_x0000_s1026" type="#_x0000_t202" style="width:452.25pt;height:59.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" fillcolor="#d8d8d8 [2732]">
                <v:textbox>
                  <w:txbxContent>
                    <w:p w:rsidR="00226B47" w:rsidRPr="005C2E4D" w:rsidRDefault="00226B47" w:rsidP="003434A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w:t>
                      </w:r>
                      <w:r w:rsidRPr="005E46C2">
                        <w:rPr>
                          <w:rFonts w:ascii="Arial" w:hAnsi="Arial" w:cs="Arial"/>
                          <w:sz w:val="22"/>
                          <w:szCs w:val="22"/>
                          <w:highlight w:val="lightGray"/>
                        </w:rPr>
                        <w:t>:</w:t>
                      </w:r>
                      <w:r>
                        <w:rPr>
                          <w:rFonts w:ascii="Arial" w:hAnsi="Arial" w:cs="Arial"/>
                          <w:sz w:val="22"/>
                          <w:szCs w:val="22"/>
                        </w:rPr>
                        <w:t xml:space="preserve"> </w:t>
                      </w:r>
                      <w:r w:rsidRPr="003434AD">
                        <w:rPr>
                          <w:rFonts w:ascii="Arial" w:hAnsi="Arial" w:cs="Arial"/>
                          <w:sz w:val="22"/>
                          <w:szCs w:val="22"/>
                        </w:rPr>
                        <w:t>The thresholds applying to the Scheme for directly and indirectly funded building work be increased from $3 million and $5 million to $4 million and $6</w:t>
                      </w:r>
                      <w:r>
                        <w:rPr>
                          <w:rFonts w:ascii="Arial" w:hAnsi="Arial" w:cs="Arial"/>
                          <w:sz w:val="22"/>
                          <w:szCs w:val="22"/>
                        </w:rPr>
                        <w:t> </w:t>
                      </w:r>
                      <w:r w:rsidRPr="003434AD">
                        <w:rPr>
                          <w:rFonts w:ascii="Arial" w:hAnsi="Arial" w:cs="Arial"/>
                          <w:sz w:val="22"/>
                          <w:szCs w:val="22"/>
                        </w:rPr>
                        <w:t>million respectively.</w:t>
                      </w:r>
                    </w:p>
                  </w:txbxContent>
                </v:textbox>
                <w10:anchorlock/>
              </v:shape>
            </w:pict>
          </mc:Fallback>
        </mc:AlternateContent>
      </w:r>
    </w:p>
    <w:p w:rsidR="003434AD" w:rsidRPr="00465F83" w:rsidRDefault="003434AD" w:rsidP="00102336">
      <w:pPr>
        <w:rPr>
          <w:rFonts w:ascii="Arial" w:hAnsi="Arial" w:cs="Arial"/>
          <w:sz w:val="22"/>
          <w:szCs w:val="22"/>
          <w:highlight w:val="lightGray"/>
        </w:rPr>
      </w:pPr>
    </w:p>
    <w:p w:rsidR="003434AD" w:rsidRPr="00102336" w:rsidRDefault="003434AD" w:rsidP="00024016">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2369A6C3" wp14:editId="272F500C">
                <wp:extent cx="5743575" cy="485775"/>
                <wp:effectExtent l="0" t="0" r="28575" b="28575"/>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485775"/>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3434A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thresholds </w:t>
                            </w:r>
                            <w:r>
                              <w:rPr>
                                <w:rFonts w:ascii="Arial" w:hAnsi="Arial" w:cs="Arial"/>
                                <w:sz w:val="22"/>
                                <w:szCs w:val="22"/>
                              </w:rPr>
                              <w:t xml:space="preserve">applying to the Scheme </w:t>
                            </w:r>
                            <w:r w:rsidRPr="009406F8">
                              <w:rPr>
                                <w:rFonts w:ascii="Arial" w:hAnsi="Arial" w:cs="Arial"/>
                                <w:sz w:val="22"/>
                                <w:szCs w:val="22"/>
                              </w:rPr>
                              <w:t xml:space="preserve">be </w:t>
                            </w:r>
                            <w:r>
                              <w:rPr>
                                <w:rFonts w:ascii="Arial" w:hAnsi="Arial" w:cs="Arial"/>
                                <w:sz w:val="22"/>
                                <w:szCs w:val="22"/>
                              </w:rPr>
                              <w:t xml:space="preserve">adjusted for price movements in the building industry </w:t>
                            </w:r>
                            <w:r w:rsidRPr="009406F8">
                              <w:rPr>
                                <w:rFonts w:ascii="Arial" w:hAnsi="Arial" w:cs="Arial"/>
                                <w:sz w:val="22"/>
                                <w:szCs w:val="22"/>
                              </w:rPr>
                              <w:t>every three years</w:t>
                            </w:r>
                            <w:r>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2369A6C3" id="_x0000_s1027" type="#_x0000_t202" style="width:452.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" fillcolor="#d8d8d8 [2732]">
                <v:textbox>
                  <w:txbxContent>
                    <w:p w:rsidR="00226B47" w:rsidRPr="005C2E4D" w:rsidRDefault="00226B47" w:rsidP="003434A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thresholds </w:t>
                      </w:r>
                      <w:r>
                        <w:rPr>
                          <w:rFonts w:ascii="Arial" w:hAnsi="Arial" w:cs="Arial"/>
                          <w:sz w:val="22"/>
                          <w:szCs w:val="22"/>
                        </w:rPr>
                        <w:t xml:space="preserve">applying to the Scheme </w:t>
                      </w:r>
                      <w:r w:rsidRPr="009406F8">
                        <w:rPr>
                          <w:rFonts w:ascii="Arial" w:hAnsi="Arial" w:cs="Arial"/>
                          <w:sz w:val="22"/>
                          <w:szCs w:val="22"/>
                        </w:rPr>
                        <w:t xml:space="preserve">be </w:t>
                      </w:r>
                      <w:r>
                        <w:rPr>
                          <w:rFonts w:ascii="Arial" w:hAnsi="Arial" w:cs="Arial"/>
                          <w:sz w:val="22"/>
                          <w:szCs w:val="22"/>
                        </w:rPr>
                        <w:t xml:space="preserve">adjusted for price movements in the building industry </w:t>
                      </w:r>
                      <w:r w:rsidRPr="009406F8">
                        <w:rPr>
                          <w:rFonts w:ascii="Arial" w:hAnsi="Arial" w:cs="Arial"/>
                          <w:sz w:val="22"/>
                          <w:szCs w:val="22"/>
                        </w:rPr>
                        <w:t>every three years</w:t>
                      </w:r>
                      <w:r>
                        <w:rPr>
                          <w:rFonts w:ascii="Arial" w:hAnsi="Arial" w:cs="Arial"/>
                          <w:sz w:val="22"/>
                          <w:szCs w:val="22"/>
                        </w:rPr>
                        <w:t>.</w:t>
                      </w:r>
                    </w:p>
                  </w:txbxContent>
                </v:textbox>
                <w10:anchorlock/>
              </v:shape>
            </w:pict>
          </mc:Fallback>
        </mc:AlternateContent>
      </w:r>
    </w:p>
    <w:p w:rsidR="00024016" w:rsidRDefault="00024016" w:rsidP="00024016">
      <w:pPr>
        <w:rPr>
          <w:rFonts w:ascii="Arial" w:hAnsi="Arial" w:cs="Arial"/>
          <w:sz w:val="22"/>
          <w:szCs w:val="22"/>
        </w:rPr>
      </w:pPr>
    </w:p>
    <w:p w:rsidR="00B07B41" w:rsidRPr="00102336" w:rsidRDefault="00B07B41" w:rsidP="00024016">
      <w:pPr>
        <w:rPr>
          <w:rFonts w:ascii="Arial" w:hAnsi="Arial" w:cs="Arial"/>
          <w:sz w:val="22"/>
          <w:szCs w:val="22"/>
        </w:rPr>
      </w:pPr>
    </w:p>
    <w:p w:rsidR="007B5A3A" w:rsidRDefault="007B5A3A" w:rsidP="003005B9">
      <w:pPr>
        <w:pStyle w:val="Heading2"/>
      </w:pPr>
      <w:bookmarkStart w:id="17" w:name="_Toc390429510"/>
      <w:bookmarkStart w:id="18" w:name="_Toc382816466"/>
      <w:r w:rsidRPr="007B5A3A">
        <w:t xml:space="preserve">Definition of </w:t>
      </w:r>
      <w:r w:rsidR="00A460AD">
        <w:t>b</w:t>
      </w:r>
      <w:r w:rsidRPr="007B5A3A">
        <w:t xml:space="preserve">uilding </w:t>
      </w:r>
      <w:r w:rsidR="00A460AD">
        <w:t>w</w:t>
      </w:r>
      <w:r w:rsidRPr="007B5A3A">
        <w:t>ork</w:t>
      </w:r>
      <w:bookmarkEnd w:id="17"/>
      <w:r w:rsidRPr="007B5A3A">
        <w:t xml:space="preserve"> </w:t>
      </w:r>
      <w:bookmarkEnd w:id="18"/>
    </w:p>
    <w:p w:rsidR="004E3C0B" w:rsidRDefault="004E3C0B" w:rsidP="004E3C0B"/>
    <w:p w:rsidR="005A56D3" w:rsidRPr="004E3C0B" w:rsidRDefault="004E3C0B" w:rsidP="005A56D3">
      <w:pPr>
        <w:rPr>
          <w:rFonts w:ascii="Arial" w:hAnsi="Arial" w:cs="Arial"/>
          <w:sz w:val="22"/>
          <w:szCs w:val="22"/>
        </w:rPr>
      </w:pPr>
      <w:r w:rsidRPr="004E3C0B">
        <w:rPr>
          <w:rFonts w:ascii="Arial" w:hAnsi="Arial" w:cs="Arial"/>
          <w:sz w:val="22"/>
          <w:szCs w:val="22"/>
        </w:rPr>
        <w:t xml:space="preserve">The current definition of </w:t>
      </w:r>
      <w:r w:rsidR="003547F7">
        <w:rPr>
          <w:rFonts w:ascii="Arial" w:hAnsi="Arial" w:cs="Arial"/>
          <w:sz w:val="22"/>
          <w:szCs w:val="22"/>
        </w:rPr>
        <w:t>‘</w:t>
      </w:r>
      <w:r w:rsidRPr="004E3C0B">
        <w:rPr>
          <w:rFonts w:ascii="Arial" w:hAnsi="Arial" w:cs="Arial"/>
          <w:sz w:val="22"/>
          <w:szCs w:val="22"/>
        </w:rPr>
        <w:t>building work</w:t>
      </w:r>
      <w:r w:rsidR="003547F7">
        <w:rPr>
          <w:rFonts w:ascii="Arial" w:hAnsi="Arial" w:cs="Arial"/>
          <w:sz w:val="22"/>
          <w:szCs w:val="22"/>
        </w:rPr>
        <w:t>’</w:t>
      </w:r>
      <w:r w:rsidRPr="004E3C0B">
        <w:rPr>
          <w:rFonts w:ascii="Arial" w:hAnsi="Arial" w:cs="Arial"/>
          <w:sz w:val="22"/>
          <w:szCs w:val="22"/>
        </w:rPr>
        <w:t xml:space="preserve"> </w:t>
      </w:r>
      <w:r w:rsidR="003547F7">
        <w:rPr>
          <w:rFonts w:ascii="Arial" w:hAnsi="Arial" w:cs="Arial"/>
          <w:sz w:val="22"/>
          <w:szCs w:val="22"/>
        </w:rPr>
        <w:t xml:space="preserve">for the purposes of the Scheme </w:t>
      </w:r>
      <w:r w:rsidRPr="004E3C0B">
        <w:rPr>
          <w:rFonts w:ascii="Arial" w:hAnsi="Arial" w:cs="Arial"/>
          <w:sz w:val="22"/>
          <w:szCs w:val="22"/>
        </w:rPr>
        <w:t xml:space="preserve">is established under the </w:t>
      </w:r>
      <w:r w:rsidRPr="00432EF5">
        <w:rPr>
          <w:rStyle w:val="Emphasis"/>
        </w:rPr>
        <w:t>F</w:t>
      </w:r>
      <w:r w:rsidR="00520A2F" w:rsidRPr="00432EF5">
        <w:rPr>
          <w:rStyle w:val="Emphasis"/>
        </w:rPr>
        <w:t xml:space="preserve">air </w:t>
      </w:r>
      <w:r w:rsidRPr="00432EF5">
        <w:rPr>
          <w:rStyle w:val="Emphasis"/>
        </w:rPr>
        <w:t>W</w:t>
      </w:r>
      <w:r w:rsidR="00520A2F" w:rsidRPr="00432EF5">
        <w:rPr>
          <w:rStyle w:val="Emphasis"/>
        </w:rPr>
        <w:t>ork (</w:t>
      </w:r>
      <w:r w:rsidRPr="00432EF5">
        <w:rPr>
          <w:rStyle w:val="Emphasis"/>
        </w:rPr>
        <w:t>B</w:t>
      </w:r>
      <w:r w:rsidR="00520A2F" w:rsidRPr="00432EF5">
        <w:rPr>
          <w:rStyle w:val="Emphasis"/>
        </w:rPr>
        <w:t xml:space="preserve">uilding </w:t>
      </w:r>
      <w:r w:rsidRPr="00432EF5">
        <w:rPr>
          <w:rStyle w:val="Emphasis"/>
        </w:rPr>
        <w:t>I</w:t>
      </w:r>
      <w:r w:rsidR="00520A2F" w:rsidRPr="00432EF5">
        <w:rPr>
          <w:rStyle w:val="Emphasis"/>
        </w:rPr>
        <w:t>ndustry</w:t>
      </w:r>
      <w:r w:rsidR="00B44A42" w:rsidRPr="00432EF5">
        <w:rPr>
          <w:rStyle w:val="Emphasis"/>
        </w:rPr>
        <w:t>)</w:t>
      </w:r>
      <w:r w:rsidRPr="00432EF5">
        <w:rPr>
          <w:rStyle w:val="Emphasis"/>
        </w:rPr>
        <w:t xml:space="preserve"> Act</w:t>
      </w:r>
      <w:r w:rsidR="00520A2F" w:rsidRPr="00432EF5">
        <w:rPr>
          <w:rStyle w:val="Emphasis"/>
        </w:rPr>
        <w:t xml:space="preserve"> 2012</w:t>
      </w:r>
      <w:r w:rsidR="00520A2F">
        <w:rPr>
          <w:rFonts w:ascii="Arial" w:hAnsi="Arial" w:cs="Arial"/>
          <w:sz w:val="22"/>
          <w:szCs w:val="22"/>
        </w:rPr>
        <w:t xml:space="preserve"> (the FWBI Act)</w:t>
      </w:r>
      <w:r w:rsidRPr="004E3C0B">
        <w:rPr>
          <w:rFonts w:ascii="Arial" w:hAnsi="Arial" w:cs="Arial"/>
          <w:sz w:val="22"/>
          <w:szCs w:val="22"/>
        </w:rPr>
        <w:t xml:space="preserve">. </w:t>
      </w:r>
      <w:r w:rsidR="005A56D3">
        <w:rPr>
          <w:rFonts w:ascii="Arial" w:hAnsi="Arial" w:cs="Arial"/>
          <w:sz w:val="22"/>
          <w:szCs w:val="22"/>
        </w:rPr>
        <w:t>The FWBI Act is the single piece of legislation that enacts two separate bodies, F</w:t>
      </w:r>
      <w:r w:rsidR="00040097">
        <w:rPr>
          <w:rFonts w:ascii="Arial" w:hAnsi="Arial" w:cs="Arial"/>
          <w:sz w:val="22"/>
          <w:szCs w:val="22"/>
        </w:rPr>
        <w:t xml:space="preserve">air </w:t>
      </w:r>
      <w:r w:rsidR="005A56D3">
        <w:rPr>
          <w:rFonts w:ascii="Arial" w:hAnsi="Arial" w:cs="Arial"/>
          <w:sz w:val="22"/>
          <w:szCs w:val="22"/>
        </w:rPr>
        <w:t>W</w:t>
      </w:r>
      <w:r w:rsidR="00040097">
        <w:rPr>
          <w:rFonts w:ascii="Arial" w:hAnsi="Arial" w:cs="Arial"/>
          <w:sz w:val="22"/>
          <w:szCs w:val="22"/>
        </w:rPr>
        <w:t xml:space="preserve">ork </w:t>
      </w:r>
      <w:r w:rsidR="005A56D3">
        <w:rPr>
          <w:rFonts w:ascii="Arial" w:hAnsi="Arial" w:cs="Arial"/>
          <w:sz w:val="22"/>
          <w:szCs w:val="22"/>
        </w:rPr>
        <w:t>B</w:t>
      </w:r>
      <w:r w:rsidR="00040097">
        <w:rPr>
          <w:rFonts w:ascii="Arial" w:hAnsi="Arial" w:cs="Arial"/>
          <w:sz w:val="22"/>
          <w:szCs w:val="22"/>
        </w:rPr>
        <w:t>uilding and Construction (FWBC)</w:t>
      </w:r>
      <w:r w:rsidR="005A56D3">
        <w:rPr>
          <w:rFonts w:ascii="Arial" w:hAnsi="Arial" w:cs="Arial"/>
          <w:sz w:val="22"/>
          <w:szCs w:val="22"/>
        </w:rPr>
        <w:t xml:space="preserve"> and the OFSC. While FWBC is focussed more on </w:t>
      </w:r>
      <w:r w:rsidR="00C938A8">
        <w:rPr>
          <w:rFonts w:ascii="Arial" w:hAnsi="Arial" w:cs="Arial"/>
          <w:sz w:val="22"/>
          <w:szCs w:val="22"/>
        </w:rPr>
        <w:t>regulatory</w:t>
      </w:r>
      <w:r w:rsidR="005A56D3">
        <w:rPr>
          <w:rFonts w:ascii="Arial" w:hAnsi="Arial" w:cs="Arial"/>
          <w:sz w:val="22"/>
          <w:szCs w:val="22"/>
        </w:rPr>
        <w:t xml:space="preserve"> and workplace relations issues, the OFSC is tasked solely with improving </w:t>
      </w:r>
      <w:r w:rsidR="007C6AD7">
        <w:rPr>
          <w:rFonts w:ascii="Arial" w:hAnsi="Arial" w:cs="Arial"/>
          <w:sz w:val="22"/>
          <w:szCs w:val="22"/>
        </w:rPr>
        <w:t xml:space="preserve">building and </w:t>
      </w:r>
      <w:r w:rsidR="005A56D3">
        <w:rPr>
          <w:rFonts w:ascii="Arial" w:hAnsi="Arial" w:cs="Arial"/>
          <w:sz w:val="22"/>
          <w:szCs w:val="22"/>
        </w:rPr>
        <w:t xml:space="preserve">construction </w:t>
      </w:r>
      <w:r w:rsidR="007C6AD7">
        <w:rPr>
          <w:rFonts w:ascii="Arial" w:hAnsi="Arial" w:cs="Arial"/>
          <w:sz w:val="22"/>
          <w:szCs w:val="22"/>
        </w:rPr>
        <w:t xml:space="preserve">related </w:t>
      </w:r>
      <w:r w:rsidR="005A56D3">
        <w:rPr>
          <w:rFonts w:ascii="Arial" w:hAnsi="Arial" w:cs="Arial"/>
          <w:sz w:val="22"/>
          <w:szCs w:val="22"/>
        </w:rPr>
        <w:t xml:space="preserve">safety. </w:t>
      </w:r>
      <w:r w:rsidR="005A56D3" w:rsidRPr="004E3C0B">
        <w:rPr>
          <w:rFonts w:ascii="Arial" w:hAnsi="Arial" w:cs="Arial"/>
          <w:sz w:val="22"/>
          <w:szCs w:val="22"/>
        </w:rPr>
        <w:t xml:space="preserve">The definition </w:t>
      </w:r>
      <w:r w:rsidR="005A56D3">
        <w:rPr>
          <w:rFonts w:ascii="Arial" w:hAnsi="Arial" w:cs="Arial"/>
          <w:sz w:val="22"/>
          <w:szCs w:val="22"/>
        </w:rPr>
        <w:t xml:space="preserve">of </w:t>
      </w:r>
      <w:r w:rsidR="003547F7">
        <w:rPr>
          <w:rFonts w:ascii="Arial" w:hAnsi="Arial" w:cs="Arial"/>
          <w:sz w:val="22"/>
          <w:szCs w:val="22"/>
        </w:rPr>
        <w:t>‘</w:t>
      </w:r>
      <w:r w:rsidR="005A56D3">
        <w:rPr>
          <w:rFonts w:ascii="Arial" w:hAnsi="Arial" w:cs="Arial"/>
          <w:sz w:val="22"/>
          <w:szCs w:val="22"/>
        </w:rPr>
        <w:t>building work</w:t>
      </w:r>
      <w:r w:rsidR="003547F7">
        <w:rPr>
          <w:rFonts w:ascii="Arial" w:hAnsi="Arial" w:cs="Arial"/>
          <w:sz w:val="22"/>
          <w:szCs w:val="22"/>
        </w:rPr>
        <w:t>’</w:t>
      </w:r>
      <w:r w:rsidR="005A56D3">
        <w:rPr>
          <w:rFonts w:ascii="Arial" w:hAnsi="Arial" w:cs="Arial"/>
          <w:sz w:val="22"/>
          <w:szCs w:val="22"/>
        </w:rPr>
        <w:t xml:space="preserve"> in the </w:t>
      </w:r>
      <w:r w:rsidR="007C6AD7">
        <w:rPr>
          <w:rFonts w:ascii="Arial" w:hAnsi="Arial" w:cs="Arial"/>
          <w:sz w:val="22"/>
          <w:szCs w:val="22"/>
        </w:rPr>
        <w:t xml:space="preserve">FWBI </w:t>
      </w:r>
      <w:r w:rsidR="005A56D3">
        <w:rPr>
          <w:rFonts w:ascii="Arial" w:hAnsi="Arial" w:cs="Arial"/>
          <w:sz w:val="22"/>
          <w:szCs w:val="22"/>
        </w:rPr>
        <w:t xml:space="preserve">Act </w:t>
      </w:r>
      <w:r w:rsidR="005A56D3" w:rsidRPr="004E3C0B">
        <w:rPr>
          <w:rFonts w:ascii="Arial" w:hAnsi="Arial" w:cs="Arial"/>
          <w:sz w:val="22"/>
          <w:szCs w:val="22"/>
        </w:rPr>
        <w:t xml:space="preserve">is </w:t>
      </w:r>
      <w:r w:rsidR="005A56D3">
        <w:rPr>
          <w:rFonts w:ascii="Arial" w:hAnsi="Arial" w:cs="Arial"/>
          <w:sz w:val="22"/>
          <w:szCs w:val="22"/>
        </w:rPr>
        <w:t xml:space="preserve">therefore </w:t>
      </w:r>
      <w:r w:rsidR="005A56D3" w:rsidRPr="004E3C0B">
        <w:rPr>
          <w:rFonts w:ascii="Arial" w:hAnsi="Arial" w:cs="Arial"/>
          <w:sz w:val="22"/>
          <w:szCs w:val="22"/>
        </w:rPr>
        <w:t>broad, captur</w:t>
      </w:r>
      <w:r w:rsidR="005A56D3">
        <w:rPr>
          <w:rFonts w:ascii="Arial" w:hAnsi="Arial" w:cs="Arial"/>
          <w:sz w:val="22"/>
          <w:szCs w:val="22"/>
        </w:rPr>
        <w:t>ing</w:t>
      </w:r>
      <w:r w:rsidR="005A56D3" w:rsidRPr="004E3C0B">
        <w:rPr>
          <w:rFonts w:ascii="Arial" w:hAnsi="Arial" w:cs="Arial"/>
          <w:sz w:val="22"/>
          <w:szCs w:val="22"/>
        </w:rPr>
        <w:t xml:space="preserve"> a wide range of construction</w:t>
      </w:r>
      <w:r w:rsidR="003547F7">
        <w:rPr>
          <w:rFonts w:ascii="Arial" w:hAnsi="Arial" w:cs="Arial"/>
          <w:sz w:val="22"/>
          <w:szCs w:val="22"/>
        </w:rPr>
        <w:t>-</w:t>
      </w:r>
      <w:r w:rsidR="005A56D3" w:rsidRPr="004E3C0B">
        <w:rPr>
          <w:rFonts w:ascii="Arial" w:hAnsi="Arial" w:cs="Arial"/>
          <w:sz w:val="22"/>
          <w:szCs w:val="22"/>
        </w:rPr>
        <w:t>related work</w:t>
      </w:r>
      <w:r w:rsidR="005A56D3">
        <w:rPr>
          <w:rFonts w:ascii="Arial" w:hAnsi="Arial" w:cs="Arial"/>
          <w:sz w:val="22"/>
          <w:szCs w:val="22"/>
        </w:rPr>
        <w:t xml:space="preserve"> to serve the purposes of both FWBC and the OFSC</w:t>
      </w:r>
      <w:r w:rsidR="005A56D3" w:rsidRPr="004E3C0B">
        <w:rPr>
          <w:rFonts w:ascii="Arial" w:hAnsi="Arial" w:cs="Arial"/>
          <w:sz w:val="22"/>
          <w:szCs w:val="22"/>
        </w:rPr>
        <w:t>.</w:t>
      </w:r>
    </w:p>
    <w:p w:rsidR="004E3C0B" w:rsidRPr="004E3C0B" w:rsidRDefault="004E3C0B" w:rsidP="004E3C0B">
      <w:pPr>
        <w:rPr>
          <w:rFonts w:ascii="Arial" w:hAnsi="Arial" w:cs="Arial"/>
          <w:sz w:val="22"/>
          <w:szCs w:val="22"/>
        </w:rPr>
      </w:pPr>
    </w:p>
    <w:p w:rsidR="004E3C0B" w:rsidRDefault="004E3C0B" w:rsidP="004E3C0B">
      <w:pPr>
        <w:rPr>
          <w:rFonts w:ascii="Arial" w:hAnsi="Arial" w:cs="Arial"/>
          <w:sz w:val="22"/>
          <w:szCs w:val="22"/>
        </w:rPr>
      </w:pPr>
      <w:r w:rsidRPr="00432EF5">
        <w:rPr>
          <w:rStyle w:val="Emphasis"/>
        </w:rPr>
        <w:t>The Building and Construction Industry (Improving Productivity) Bill 2013</w:t>
      </w:r>
      <w:r w:rsidR="00BC789B">
        <w:rPr>
          <w:rFonts w:ascii="Arial" w:hAnsi="Arial" w:cs="Arial"/>
          <w:i/>
          <w:sz w:val="22"/>
          <w:szCs w:val="22"/>
        </w:rPr>
        <w:t>,</w:t>
      </w:r>
      <w:r w:rsidRPr="004E3C0B">
        <w:rPr>
          <w:rFonts w:ascii="Arial" w:hAnsi="Arial" w:cs="Arial"/>
          <w:sz w:val="22"/>
          <w:szCs w:val="22"/>
        </w:rPr>
        <w:t xml:space="preserve"> currently before the </w:t>
      </w:r>
      <w:r w:rsidR="000C3338">
        <w:rPr>
          <w:rFonts w:ascii="Arial" w:hAnsi="Arial" w:cs="Arial"/>
          <w:sz w:val="22"/>
          <w:szCs w:val="22"/>
        </w:rPr>
        <w:t xml:space="preserve">Australian </w:t>
      </w:r>
      <w:r w:rsidRPr="004E3C0B">
        <w:rPr>
          <w:rFonts w:ascii="Arial" w:hAnsi="Arial" w:cs="Arial"/>
          <w:sz w:val="22"/>
          <w:szCs w:val="22"/>
        </w:rPr>
        <w:t>Parliament, seeks to further extend the definition of ‘building work’. The new definition would capture, for example, any head contracts above the thresholds for prefabrication work (</w:t>
      </w:r>
      <w:r w:rsidR="008F3909">
        <w:rPr>
          <w:rFonts w:ascii="Arial" w:hAnsi="Arial" w:cs="Arial"/>
          <w:sz w:val="22"/>
          <w:szCs w:val="22"/>
        </w:rPr>
        <w:t>off site</w:t>
      </w:r>
      <w:r w:rsidRPr="004E3C0B">
        <w:rPr>
          <w:rFonts w:ascii="Arial" w:hAnsi="Arial" w:cs="Arial"/>
          <w:sz w:val="22"/>
          <w:szCs w:val="22"/>
        </w:rPr>
        <w:t xml:space="preserve"> and </w:t>
      </w:r>
      <w:r w:rsidR="008F3909">
        <w:rPr>
          <w:rFonts w:ascii="Arial" w:hAnsi="Arial" w:cs="Arial"/>
          <w:sz w:val="22"/>
          <w:szCs w:val="22"/>
        </w:rPr>
        <w:t>on site</w:t>
      </w:r>
      <w:r w:rsidRPr="004E3C0B">
        <w:rPr>
          <w:rFonts w:ascii="Arial" w:hAnsi="Arial" w:cs="Arial"/>
          <w:sz w:val="22"/>
          <w:szCs w:val="22"/>
        </w:rPr>
        <w:t>), the transport or supply of goods for building work</w:t>
      </w:r>
      <w:r w:rsidR="00AA43D3">
        <w:rPr>
          <w:rFonts w:ascii="Arial" w:hAnsi="Arial" w:cs="Arial"/>
          <w:sz w:val="22"/>
          <w:szCs w:val="22"/>
        </w:rPr>
        <w:t>,</w:t>
      </w:r>
      <w:r w:rsidRPr="004E3C0B">
        <w:rPr>
          <w:rFonts w:ascii="Arial" w:hAnsi="Arial" w:cs="Arial"/>
          <w:sz w:val="22"/>
          <w:szCs w:val="22"/>
        </w:rPr>
        <w:t xml:space="preserve"> and building work that is performed on land used for the mining of oil, gas or minerals. </w:t>
      </w:r>
      <w:r w:rsidR="000A6D68">
        <w:rPr>
          <w:rFonts w:ascii="Arial" w:hAnsi="Arial" w:cs="Arial"/>
          <w:sz w:val="22"/>
          <w:szCs w:val="22"/>
        </w:rPr>
        <w:t>This expansion of the definition of building work is focussed more on FWBC workplace relations issues than on the safety aspects associated with the OFSC</w:t>
      </w:r>
      <w:r w:rsidR="00453D80">
        <w:rPr>
          <w:rFonts w:ascii="Arial" w:hAnsi="Arial" w:cs="Arial"/>
          <w:sz w:val="22"/>
          <w:szCs w:val="22"/>
        </w:rPr>
        <w:t>. H</w:t>
      </w:r>
      <w:r w:rsidR="000A6D68">
        <w:rPr>
          <w:rFonts w:ascii="Arial" w:hAnsi="Arial" w:cs="Arial"/>
          <w:sz w:val="22"/>
          <w:szCs w:val="22"/>
        </w:rPr>
        <w:t>owever,</w:t>
      </w:r>
      <w:r w:rsidR="00AB4FDE">
        <w:rPr>
          <w:rFonts w:ascii="Arial" w:hAnsi="Arial" w:cs="Arial"/>
          <w:sz w:val="22"/>
          <w:szCs w:val="22"/>
        </w:rPr>
        <w:t xml:space="preserve"> </w:t>
      </w:r>
      <w:r w:rsidR="00355274">
        <w:rPr>
          <w:rFonts w:ascii="Arial" w:hAnsi="Arial" w:cs="Arial"/>
          <w:sz w:val="22"/>
          <w:szCs w:val="22"/>
        </w:rPr>
        <w:t>MBA’s submission supported th</w:t>
      </w:r>
      <w:r w:rsidR="000A6D68">
        <w:rPr>
          <w:rFonts w:ascii="Arial" w:hAnsi="Arial" w:cs="Arial"/>
          <w:sz w:val="22"/>
          <w:szCs w:val="22"/>
        </w:rPr>
        <w:t>e</w:t>
      </w:r>
      <w:r w:rsidR="00355274">
        <w:rPr>
          <w:rFonts w:ascii="Arial" w:hAnsi="Arial" w:cs="Arial"/>
          <w:sz w:val="22"/>
          <w:szCs w:val="22"/>
        </w:rPr>
        <w:t xml:space="preserve"> expanded definition for consistency.</w:t>
      </w:r>
    </w:p>
    <w:p w:rsidR="000A6D68" w:rsidRDefault="000A6D68" w:rsidP="000A6D68">
      <w:pPr>
        <w:rPr>
          <w:rFonts w:ascii="Arial" w:hAnsi="Arial" w:cs="Arial"/>
          <w:sz w:val="22"/>
          <w:szCs w:val="22"/>
        </w:rPr>
      </w:pPr>
    </w:p>
    <w:p w:rsidR="00980AE7" w:rsidRDefault="000A6D68" w:rsidP="007060C4">
      <w:pPr>
        <w:rPr>
          <w:rFonts w:ascii="Arial" w:hAnsi="Arial" w:cs="Arial"/>
          <w:sz w:val="22"/>
          <w:szCs w:val="22"/>
        </w:rPr>
      </w:pPr>
      <w:r w:rsidRPr="007060C4">
        <w:rPr>
          <w:rFonts w:ascii="Arial" w:hAnsi="Arial" w:cs="Arial"/>
          <w:sz w:val="22"/>
          <w:szCs w:val="22"/>
        </w:rPr>
        <w:t>In contrast, m</w:t>
      </w:r>
      <w:r w:rsidR="00D51417" w:rsidRPr="007060C4">
        <w:rPr>
          <w:rFonts w:ascii="Arial" w:hAnsi="Arial" w:cs="Arial"/>
          <w:sz w:val="22"/>
          <w:szCs w:val="22"/>
        </w:rPr>
        <w:t xml:space="preserve">ost submissions supported the existing definition of </w:t>
      </w:r>
      <w:r w:rsidR="009D1036" w:rsidRPr="007060C4">
        <w:rPr>
          <w:rFonts w:ascii="Arial" w:hAnsi="Arial" w:cs="Arial"/>
          <w:sz w:val="22"/>
          <w:szCs w:val="22"/>
        </w:rPr>
        <w:t>‘</w:t>
      </w:r>
      <w:r w:rsidR="00D51417" w:rsidRPr="007060C4">
        <w:rPr>
          <w:rFonts w:ascii="Arial" w:hAnsi="Arial" w:cs="Arial"/>
          <w:sz w:val="22"/>
          <w:szCs w:val="22"/>
        </w:rPr>
        <w:t>building work</w:t>
      </w:r>
      <w:r w:rsidR="009D1036" w:rsidRPr="007060C4">
        <w:rPr>
          <w:rFonts w:ascii="Arial" w:hAnsi="Arial" w:cs="Arial"/>
          <w:sz w:val="22"/>
          <w:szCs w:val="22"/>
        </w:rPr>
        <w:t>’</w:t>
      </w:r>
      <w:r w:rsidRPr="007060C4">
        <w:rPr>
          <w:rFonts w:ascii="Arial" w:hAnsi="Arial" w:cs="Arial"/>
          <w:sz w:val="22"/>
          <w:szCs w:val="22"/>
        </w:rPr>
        <w:t>, and many specifically stated that the proposed expanded definition should not be adopted</w:t>
      </w:r>
      <w:r w:rsidR="00A460AD" w:rsidRPr="007060C4">
        <w:rPr>
          <w:rFonts w:ascii="Arial" w:hAnsi="Arial" w:cs="Arial"/>
          <w:sz w:val="22"/>
          <w:szCs w:val="22"/>
        </w:rPr>
        <w:t xml:space="preserve">. </w:t>
      </w:r>
      <w:r w:rsidR="005A56D3" w:rsidRPr="007060C4">
        <w:rPr>
          <w:rFonts w:ascii="Arial" w:hAnsi="Arial" w:cs="Arial"/>
          <w:sz w:val="22"/>
          <w:szCs w:val="22"/>
        </w:rPr>
        <w:t>A</w:t>
      </w:r>
      <w:r w:rsidR="00D51417" w:rsidRPr="007060C4">
        <w:rPr>
          <w:rFonts w:ascii="Arial" w:hAnsi="Arial" w:cs="Arial"/>
          <w:sz w:val="22"/>
          <w:szCs w:val="22"/>
        </w:rPr>
        <w:t>n exception was CCF</w:t>
      </w:r>
      <w:r w:rsidR="000E7210" w:rsidRPr="007060C4">
        <w:rPr>
          <w:rFonts w:ascii="Arial" w:hAnsi="Arial" w:cs="Arial"/>
          <w:sz w:val="22"/>
          <w:szCs w:val="22"/>
        </w:rPr>
        <w:t>’s</w:t>
      </w:r>
      <w:r w:rsidR="00D51417" w:rsidRPr="007060C4">
        <w:rPr>
          <w:rFonts w:ascii="Arial" w:hAnsi="Arial" w:cs="Arial"/>
          <w:sz w:val="22"/>
          <w:szCs w:val="22"/>
        </w:rPr>
        <w:t xml:space="preserve"> submission</w:t>
      </w:r>
      <w:r w:rsidR="0089749F" w:rsidRPr="007060C4">
        <w:rPr>
          <w:rFonts w:ascii="Arial" w:hAnsi="Arial" w:cs="Arial"/>
          <w:sz w:val="22"/>
          <w:szCs w:val="22"/>
        </w:rPr>
        <w:t>,</w:t>
      </w:r>
      <w:r w:rsidR="00D51417" w:rsidRPr="007060C4">
        <w:rPr>
          <w:rFonts w:ascii="Arial" w:hAnsi="Arial" w:cs="Arial"/>
          <w:sz w:val="22"/>
          <w:szCs w:val="22"/>
        </w:rPr>
        <w:t xml:space="preserve"> </w:t>
      </w:r>
      <w:r w:rsidR="003547F7" w:rsidRPr="007060C4">
        <w:rPr>
          <w:rFonts w:ascii="Arial" w:hAnsi="Arial" w:cs="Arial"/>
          <w:sz w:val="22"/>
          <w:szCs w:val="22"/>
        </w:rPr>
        <w:t xml:space="preserve">which suggested </w:t>
      </w:r>
      <w:r w:rsidR="008D0019" w:rsidRPr="007060C4">
        <w:rPr>
          <w:rFonts w:ascii="Arial" w:hAnsi="Arial" w:cs="Arial"/>
          <w:sz w:val="22"/>
          <w:szCs w:val="22"/>
        </w:rPr>
        <w:t xml:space="preserve">that the current definition of </w:t>
      </w:r>
      <w:r w:rsidR="003547F7" w:rsidRPr="007060C4">
        <w:rPr>
          <w:rFonts w:ascii="Arial" w:hAnsi="Arial" w:cs="Arial"/>
          <w:sz w:val="22"/>
          <w:szCs w:val="22"/>
        </w:rPr>
        <w:t>’</w:t>
      </w:r>
      <w:r w:rsidR="00BA3630" w:rsidRPr="007060C4">
        <w:rPr>
          <w:rFonts w:ascii="Arial" w:hAnsi="Arial" w:cs="Arial"/>
          <w:sz w:val="22"/>
          <w:szCs w:val="22"/>
        </w:rPr>
        <w:t>b</w:t>
      </w:r>
      <w:r w:rsidR="008D0019" w:rsidRPr="007060C4">
        <w:rPr>
          <w:rFonts w:ascii="Arial" w:hAnsi="Arial" w:cs="Arial"/>
          <w:sz w:val="22"/>
          <w:szCs w:val="22"/>
        </w:rPr>
        <w:t xml:space="preserve">uilding </w:t>
      </w:r>
      <w:r w:rsidR="00BA3630" w:rsidRPr="007060C4">
        <w:rPr>
          <w:rFonts w:ascii="Arial" w:hAnsi="Arial" w:cs="Arial"/>
          <w:sz w:val="22"/>
          <w:szCs w:val="22"/>
        </w:rPr>
        <w:t>w</w:t>
      </w:r>
      <w:r w:rsidR="008D0019" w:rsidRPr="007060C4">
        <w:rPr>
          <w:rFonts w:ascii="Arial" w:hAnsi="Arial" w:cs="Arial"/>
          <w:sz w:val="22"/>
          <w:szCs w:val="22"/>
        </w:rPr>
        <w:t>ork</w:t>
      </w:r>
      <w:r w:rsidR="003547F7" w:rsidRPr="007060C4">
        <w:rPr>
          <w:rFonts w:ascii="Arial" w:hAnsi="Arial" w:cs="Arial"/>
          <w:sz w:val="22"/>
          <w:szCs w:val="22"/>
        </w:rPr>
        <w:t>’</w:t>
      </w:r>
      <w:r w:rsidR="008D0019" w:rsidRPr="007060C4">
        <w:rPr>
          <w:rFonts w:ascii="Arial" w:hAnsi="Arial" w:cs="Arial"/>
          <w:sz w:val="22"/>
          <w:szCs w:val="22"/>
        </w:rPr>
        <w:t xml:space="preserve"> </w:t>
      </w:r>
      <w:r w:rsidR="00AA43D3" w:rsidRPr="007060C4">
        <w:rPr>
          <w:rFonts w:ascii="Arial" w:hAnsi="Arial" w:cs="Arial"/>
          <w:sz w:val="22"/>
          <w:szCs w:val="22"/>
        </w:rPr>
        <w:t>be</w:t>
      </w:r>
      <w:r w:rsidR="00980AE7" w:rsidRPr="007060C4">
        <w:rPr>
          <w:rFonts w:ascii="Arial" w:hAnsi="Arial" w:cs="Arial"/>
          <w:sz w:val="22"/>
          <w:szCs w:val="22"/>
        </w:rPr>
        <w:t xml:space="preserve"> expanded </w:t>
      </w:r>
      <w:r w:rsidR="008D0019" w:rsidRPr="007060C4">
        <w:rPr>
          <w:rFonts w:ascii="Arial" w:hAnsi="Arial" w:cs="Arial"/>
          <w:sz w:val="22"/>
          <w:szCs w:val="22"/>
        </w:rPr>
        <w:t xml:space="preserve">to differentiate between typical building work, or vertical construction, and civil infrastructure work, or horizontal construction. </w:t>
      </w:r>
      <w:r w:rsidR="00980AE7" w:rsidRPr="007060C4">
        <w:rPr>
          <w:rFonts w:ascii="Arial" w:hAnsi="Arial" w:cs="Arial"/>
          <w:sz w:val="22"/>
          <w:szCs w:val="22"/>
        </w:rPr>
        <w:t xml:space="preserve">The new definitions suggested by CCF are not in accordance with any current definition within the </w:t>
      </w:r>
      <w:r w:rsidR="000E7210" w:rsidRPr="007060C4">
        <w:rPr>
          <w:rFonts w:ascii="Arial" w:hAnsi="Arial" w:cs="Arial"/>
          <w:sz w:val="22"/>
          <w:szCs w:val="22"/>
        </w:rPr>
        <w:t xml:space="preserve">FWBI </w:t>
      </w:r>
      <w:r w:rsidR="00980AE7" w:rsidRPr="007060C4">
        <w:rPr>
          <w:rFonts w:ascii="Arial" w:hAnsi="Arial" w:cs="Arial"/>
          <w:sz w:val="22"/>
          <w:szCs w:val="22"/>
        </w:rPr>
        <w:t xml:space="preserve">Act. As such, if </w:t>
      </w:r>
      <w:r w:rsidR="003547F7" w:rsidRPr="007060C4">
        <w:rPr>
          <w:rFonts w:ascii="Arial" w:hAnsi="Arial" w:cs="Arial"/>
          <w:sz w:val="22"/>
          <w:szCs w:val="22"/>
        </w:rPr>
        <w:t>CCF’s suggested definition</w:t>
      </w:r>
      <w:r w:rsidR="000E7210" w:rsidRPr="007060C4">
        <w:rPr>
          <w:rFonts w:ascii="Arial" w:hAnsi="Arial" w:cs="Arial"/>
          <w:sz w:val="22"/>
          <w:szCs w:val="22"/>
        </w:rPr>
        <w:t>s</w:t>
      </w:r>
      <w:r w:rsidR="00980AE7" w:rsidRPr="007060C4">
        <w:rPr>
          <w:rFonts w:ascii="Arial" w:hAnsi="Arial" w:cs="Arial"/>
          <w:sz w:val="22"/>
          <w:szCs w:val="22"/>
        </w:rPr>
        <w:t xml:space="preserve"> were adopted for the Scheme, </w:t>
      </w:r>
      <w:r w:rsidR="009D1036" w:rsidRPr="007060C4">
        <w:rPr>
          <w:rFonts w:ascii="Arial" w:hAnsi="Arial" w:cs="Arial"/>
          <w:sz w:val="22"/>
          <w:szCs w:val="22"/>
        </w:rPr>
        <w:t>companies</w:t>
      </w:r>
      <w:r w:rsidR="00980AE7" w:rsidRPr="007060C4">
        <w:rPr>
          <w:rFonts w:ascii="Arial" w:hAnsi="Arial" w:cs="Arial"/>
          <w:sz w:val="22"/>
          <w:szCs w:val="22"/>
        </w:rPr>
        <w:t xml:space="preserve"> in the building industry may be confused about wh</w:t>
      </w:r>
      <w:r w:rsidR="00AA43D3" w:rsidRPr="007060C4">
        <w:rPr>
          <w:rFonts w:ascii="Arial" w:hAnsi="Arial" w:cs="Arial"/>
          <w:sz w:val="22"/>
          <w:szCs w:val="22"/>
        </w:rPr>
        <w:t>ich</w:t>
      </w:r>
      <w:r w:rsidR="00980AE7" w:rsidRPr="007060C4">
        <w:rPr>
          <w:rFonts w:ascii="Arial" w:hAnsi="Arial" w:cs="Arial"/>
          <w:sz w:val="22"/>
          <w:szCs w:val="22"/>
        </w:rPr>
        <w:t xml:space="preserve"> definition applies. For this reason, </w:t>
      </w:r>
      <w:r w:rsidR="0089749F" w:rsidRPr="007060C4">
        <w:rPr>
          <w:rFonts w:ascii="Arial" w:hAnsi="Arial" w:cs="Arial"/>
          <w:sz w:val="22"/>
          <w:szCs w:val="22"/>
        </w:rPr>
        <w:t>a change to</w:t>
      </w:r>
      <w:r w:rsidR="00980AE7" w:rsidRPr="007060C4">
        <w:rPr>
          <w:rFonts w:ascii="Arial" w:hAnsi="Arial" w:cs="Arial"/>
          <w:sz w:val="22"/>
          <w:szCs w:val="22"/>
        </w:rPr>
        <w:t xml:space="preserve"> this definition</w:t>
      </w:r>
      <w:r w:rsidR="0089749F" w:rsidRPr="007060C4">
        <w:rPr>
          <w:rFonts w:ascii="Arial" w:hAnsi="Arial" w:cs="Arial"/>
          <w:sz w:val="22"/>
          <w:szCs w:val="22"/>
        </w:rPr>
        <w:t xml:space="preserve"> is not supported</w:t>
      </w:r>
      <w:r w:rsidR="00980AE7" w:rsidRPr="007060C4">
        <w:rPr>
          <w:rFonts w:ascii="Arial" w:hAnsi="Arial" w:cs="Arial"/>
          <w:sz w:val="22"/>
          <w:szCs w:val="22"/>
        </w:rPr>
        <w:t>.</w:t>
      </w:r>
    </w:p>
    <w:p w:rsidR="007060C4" w:rsidRPr="007060C4" w:rsidRDefault="007060C4" w:rsidP="007060C4">
      <w:pPr>
        <w:rPr>
          <w:rFonts w:ascii="Arial" w:hAnsi="Arial" w:cs="Arial"/>
          <w:sz w:val="22"/>
          <w:szCs w:val="22"/>
        </w:rPr>
      </w:pPr>
    </w:p>
    <w:p w:rsidR="004061BD" w:rsidRDefault="004061BD" w:rsidP="00265030">
      <w:pPr>
        <w:rPr>
          <w:rFonts w:ascii="Arial" w:hAnsi="Arial" w:cs="Arial"/>
          <w:sz w:val="22"/>
          <w:szCs w:val="22"/>
        </w:rPr>
      </w:pPr>
      <w:r w:rsidRPr="004061BD">
        <w:rPr>
          <w:rFonts w:ascii="Arial" w:hAnsi="Arial" w:cs="Arial"/>
          <w:sz w:val="22"/>
          <w:szCs w:val="22"/>
        </w:rPr>
        <w:t xml:space="preserve">Noting the general consensus supporting the current definition of </w:t>
      </w:r>
      <w:r w:rsidR="003547F7">
        <w:rPr>
          <w:rFonts w:ascii="Arial" w:hAnsi="Arial" w:cs="Arial"/>
          <w:sz w:val="22"/>
          <w:szCs w:val="22"/>
        </w:rPr>
        <w:t>‘</w:t>
      </w:r>
      <w:r w:rsidRPr="004061BD">
        <w:rPr>
          <w:rFonts w:ascii="Arial" w:hAnsi="Arial" w:cs="Arial"/>
          <w:sz w:val="22"/>
          <w:szCs w:val="22"/>
        </w:rPr>
        <w:t>building work</w:t>
      </w:r>
      <w:r w:rsidR="003547F7">
        <w:rPr>
          <w:rFonts w:ascii="Arial" w:hAnsi="Arial" w:cs="Arial"/>
          <w:sz w:val="22"/>
          <w:szCs w:val="22"/>
        </w:rPr>
        <w:t>’</w:t>
      </w:r>
      <w:r w:rsidR="00980AE7">
        <w:rPr>
          <w:rFonts w:ascii="Arial" w:hAnsi="Arial" w:cs="Arial"/>
          <w:sz w:val="22"/>
          <w:szCs w:val="22"/>
        </w:rPr>
        <w:t xml:space="preserve">, </w:t>
      </w:r>
      <w:r w:rsidRPr="004061BD">
        <w:rPr>
          <w:rFonts w:ascii="Arial" w:hAnsi="Arial" w:cs="Arial"/>
          <w:sz w:val="22"/>
          <w:szCs w:val="22"/>
        </w:rPr>
        <w:t xml:space="preserve">the Review is recommending that </w:t>
      </w:r>
      <w:r w:rsidR="009D1036">
        <w:rPr>
          <w:rFonts w:ascii="Arial" w:hAnsi="Arial" w:cs="Arial"/>
          <w:sz w:val="22"/>
          <w:szCs w:val="22"/>
        </w:rPr>
        <w:t xml:space="preserve">the </w:t>
      </w:r>
      <w:r w:rsidRPr="004061BD">
        <w:rPr>
          <w:rFonts w:ascii="Arial" w:hAnsi="Arial" w:cs="Arial"/>
          <w:sz w:val="22"/>
          <w:szCs w:val="22"/>
        </w:rPr>
        <w:t>Scheme</w:t>
      </w:r>
      <w:r w:rsidR="009D1036">
        <w:rPr>
          <w:rFonts w:ascii="Arial" w:hAnsi="Arial" w:cs="Arial"/>
          <w:sz w:val="22"/>
          <w:szCs w:val="22"/>
        </w:rPr>
        <w:t>’s</w:t>
      </w:r>
      <w:r w:rsidRPr="004061BD">
        <w:rPr>
          <w:rFonts w:ascii="Arial" w:hAnsi="Arial" w:cs="Arial"/>
          <w:sz w:val="22"/>
          <w:szCs w:val="22"/>
        </w:rPr>
        <w:t xml:space="preserve"> requirements not apply to those new elements of the expanded definition of </w:t>
      </w:r>
      <w:r w:rsidR="009D1036">
        <w:rPr>
          <w:rFonts w:ascii="Arial" w:hAnsi="Arial" w:cs="Arial"/>
          <w:sz w:val="22"/>
          <w:szCs w:val="22"/>
        </w:rPr>
        <w:t>‘</w:t>
      </w:r>
      <w:r w:rsidRPr="004061BD">
        <w:rPr>
          <w:rFonts w:ascii="Arial" w:hAnsi="Arial" w:cs="Arial"/>
          <w:sz w:val="22"/>
          <w:szCs w:val="22"/>
        </w:rPr>
        <w:t>building work</w:t>
      </w:r>
      <w:r w:rsidR="009D1036">
        <w:rPr>
          <w:rFonts w:ascii="Arial" w:hAnsi="Arial" w:cs="Arial"/>
          <w:sz w:val="22"/>
          <w:szCs w:val="22"/>
        </w:rPr>
        <w:t>’</w:t>
      </w:r>
      <w:r w:rsidRPr="004061BD">
        <w:rPr>
          <w:rFonts w:ascii="Arial" w:hAnsi="Arial" w:cs="Arial"/>
          <w:sz w:val="22"/>
          <w:szCs w:val="22"/>
        </w:rPr>
        <w:t xml:space="preserve"> that relate to pre-fabrication </w:t>
      </w:r>
      <w:r w:rsidR="008F3909">
        <w:rPr>
          <w:rFonts w:ascii="Arial" w:hAnsi="Arial" w:cs="Arial"/>
          <w:sz w:val="22"/>
          <w:szCs w:val="22"/>
        </w:rPr>
        <w:t>off site</w:t>
      </w:r>
      <w:r w:rsidRPr="004061BD">
        <w:rPr>
          <w:rFonts w:ascii="Arial" w:hAnsi="Arial" w:cs="Arial"/>
          <w:sz w:val="22"/>
          <w:szCs w:val="22"/>
        </w:rPr>
        <w:t xml:space="preserve"> and the transport and supply of goods to the building site.</w:t>
      </w:r>
      <w:r w:rsidR="008D0019">
        <w:rPr>
          <w:rFonts w:ascii="Arial" w:hAnsi="Arial" w:cs="Arial"/>
          <w:sz w:val="22"/>
          <w:szCs w:val="22"/>
        </w:rPr>
        <w:t xml:space="preserve"> Not only are these requirements being captured for reasons not associated with the Scheme’s purpose of improved safety, </w:t>
      </w:r>
      <w:r w:rsidR="003547F7">
        <w:rPr>
          <w:rFonts w:ascii="Arial" w:hAnsi="Arial" w:cs="Arial"/>
          <w:sz w:val="22"/>
          <w:szCs w:val="22"/>
        </w:rPr>
        <w:t>but also there would be</w:t>
      </w:r>
      <w:r w:rsidRPr="004061BD">
        <w:rPr>
          <w:rFonts w:ascii="Arial" w:hAnsi="Arial" w:cs="Arial"/>
          <w:sz w:val="22"/>
          <w:szCs w:val="22"/>
        </w:rPr>
        <w:t xml:space="preserve"> significant difficulties </w:t>
      </w:r>
      <w:r w:rsidR="003547F7">
        <w:rPr>
          <w:rFonts w:ascii="Arial" w:hAnsi="Arial" w:cs="Arial"/>
          <w:sz w:val="22"/>
          <w:szCs w:val="22"/>
        </w:rPr>
        <w:t>in</w:t>
      </w:r>
      <w:r w:rsidRPr="004061BD">
        <w:rPr>
          <w:rFonts w:ascii="Arial" w:hAnsi="Arial" w:cs="Arial"/>
          <w:sz w:val="22"/>
          <w:szCs w:val="22"/>
        </w:rPr>
        <w:t xml:space="preserve"> applying </w:t>
      </w:r>
      <w:r w:rsidR="003547F7" w:rsidRPr="004061BD">
        <w:rPr>
          <w:rFonts w:ascii="Arial" w:hAnsi="Arial" w:cs="Arial"/>
          <w:sz w:val="22"/>
          <w:szCs w:val="22"/>
        </w:rPr>
        <w:t xml:space="preserve">an auditable </w:t>
      </w:r>
      <w:r w:rsidR="007656EE">
        <w:rPr>
          <w:rFonts w:ascii="Arial" w:hAnsi="Arial" w:cs="Arial"/>
          <w:sz w:val="22"/>
          <w:szCs w:val="22"/>
        </w:rPr>
        <w:t>W</w:t>
      </w:r>
      <w:r w:rsidR="00A170A6">
        <w:rPr>
          <w:rFonts w:ascii="Arial" w:hAnsi="Arial" w:cs="Arial"/>
          <w:sz w:val="22"/>
          <w:szCs w:val="22"/>
        </w:rPr>
        <w:t xml:space="preserve">ork </w:t>
      </w:r>
      <w:r w:rsidR="007656EE">
        <w:rPr>
          <w:rFonts w:ascii="Arial" w:hAnsi="Arial" w:cs="Arial"/>
          <w:sz w:val="22"/>
          <w:szCs w:val="22"/>
        </w:rPr>
        <w:t>H</w:t>
      </w:r>
      <w:r w:rsidR="00A170A6">
        <w:rPr>
          <w:rFonts w:ascii="Arial" w:hAnsi="Arial" w:cs="Arial"/>
          <w:sz w:val="22"/>
          <w:szCs w:val="22"/>
        </w:rPr>
        <w:t xml:space="preserve">ealth and </w:t>
      </w:r>
      <w:r w:rsidR="007656EE">
        <w:rPr>
          <w:rFonts w:ascii="Arial" w:hAnsi="Arial" w:cs="Arial"/>
          <w:sz w:val="22"/>
          <w:szCs w:val="22"/>
        </w:rPr>
        <w:t>S</w:t>
      </w:r>
      <w:r w:rsidR="00A170A6">
        <w:rPr>
          <w:rFonts w:ascii="Arial" w:hAnsi="Arial" w:cs="Arial"/>
          <w:sz w:val="22"/>
          <w:szCs w:val="22"/>
        </w:rPr>
        <w:t xml:space="preserve">afety </w:t>
      </w:r>
      <w:r w:rsidR="007656EE">
        <w:rPr>
          <w:rFonts w:ascii="Arial" w:hAnsi="Arial" w:cs="Arial"/>
          <w:sz w:val="22"/>
          <w:szCs w:val="22"/>
        </w:rPr>
        <w:t>M</w:t>
      </w:r>
      <w:r w:rsidR="00A170A6">
        <w:rPr>
          <w:rFonts w:ascii="Arial" w:hAnsi="Arial" w:cs="Arial"/>
          <w:sz w:val="22"/>
          <w:szCs w:val="22"/>
        </w:rPr>
        <w:t xml:space="preserve">anagement </w:t>
      </w:r>
      <w:r w:rsidR="007656EE">
        <w:rPr>
          <w:rFonts w:ascii="Arial" w:hAnsi="Arial" w:cs="Arial"/>
          <w:sz w:val="22"/>
          <w:szCs w:val="22"/>
        </w:rPr>
        <w:t>S</w:t>
      </w:r>
      <w:r w:rsidR="00A170A6">
        <w:rPr>
          <w:rFonts w:ascii="Arial" w:hAnsi="Arial" w:cs="Arial"/>
          <w:sz w:val="22"/>
          <w:szCs w:val="22"/>
        </w:rPr>
        <w:t>ystem (</w:t>
      </w:r>
      <w:r w:rsidR="003547F7" w:rsidRPr="004061BD">
        <w:rPr>
          <w:rFonts w:ascii="Arial" w:hAnsi="Arial" w:cs="Arial"/>
          <w:sz w:val="22"/>
          <w:szCs w:val="22"/>
        </w:rPr>
        <w:t>WHSMS</w:t>
      </w:r>
      <w:r w:rsidR="00A170A6">
        <w:rPr>
          <w:rFonts w:ascii="Arial" w:hAnsi="Arial" w:cs="Arial"/>
          <w:sz w:val="22"/>
          <w:szCs w:val="22"/>
        </w:rPr>
        <w:t>)</w:t>
      </w:r>
      <w:r w:rsidR="003547F7">
        <w:rPr>
          <w:rFonts w:ascii="Arial" w:hAnsi="Arial" w:cs="Arial"/>
          <w:sz w:val="22"/>
          <w:szCs w:val="22"/>
        </w:rPr>
        <w:t xml:space="preserve"> under the </w:t>
      </w:r>
      <w:r w:rsidR="003547F7" w:rsidRPr="004061BD">
        <w:rPr>
          <w:rFonts w:ascii="Arial" w:hAnsi="Arial" w:cs="Arial"/>
          <w:sz w:val="22"/>
          <w:szCs w:val="22"/>
        </w:rPr>
        <w:t>Scheme</w:t>
      </w:r>
      <w:r w:rsidR="009D1036">
        <w:rPr>
          <w:rFonts w:ascii="Arial" w:hAnsi="Arial" w:cs="Arial"/>
          <w:sz w:val="22"/>
          <w:szCs w:val="22"/>
        </w:rPr>
        <w:t>’s</w:t>
      </w:r>
      <w:r w:rsidR="003547F7" w:rsidRPr="004061BD">
        <w:rPr>
          <w:rFonts w:ascii="Arial" w:hAnsi="Arial" w:cs="Arial"/>
          <w:sz w:val="22"/>
          <w:szCs w:val="22"/>
        </w:rPr>
        <w:t xml:space="preserve"> requirements to these tasks</w:t>
      </w:r>
      <w:r w:rsidR="00040097">
        <w:rPr>
          <w:rFonts w:ascii="Arial" w:hAnsi="Arial" w:cs="Arial"/>
          <w:sz w:val="22"/>
          <w:szCs w:val="22"/>
        </w:rPr>
        <w:t>.</w:t>
      </w:r>
      <w:r w:rsidRPr="004061BD">
        <w:rPr>
          <w:rFonts w:ascii="Arial" w:hAnsi="Arial" w:cs="Arial"/>
          <w:sz w:val="22"/>
          <w:szCs w:val="22"/>
        </w:rPr>
        <w:t xml:space="preserve"> </w:t>
      </w:r>
    </w:p>
    <w:p w:rsidR="008D0019" w:rsidRDefault="008D0019" w:rsidP="00265030">
      <w:pPr>
        <w:rPr>
          <w:rFonts w:ascii="Arial" w:hAnsi="Arial" w:cs="Arial"/>
          <w:sz w:val="22"/>
          <w:szCs w:val="22"/>
        </w:rPr>
      </w:pPr>
    </w:p>
    <w:p w:rsidR="00421691" w:rsidRDefault="00421691" w:rsidP="00265030">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5D1EA197" wp14:editId="7B2A17C3">
                <wp:extent cx="5743575" cy="789354"/>
                <wp:effectExtent l="0" t="0" r="28575" b="10795"/>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89354"/>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42169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3</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Scheme not </w:t>
                            </w:r>
                            <w:r>
                              <w:rPr>
                                <w:rFonts w:ascii="Arial" w:hAnsi="Arial" w:cs="Arial"/>
                                <w:sz w:val="22"/>
                                <w:szCs w:val="22"/>
                              </w:rPr>
                              <w:t>be applied</w:t>
                            </w:r>
                            <w:r w:rsidRPr="009406F8">
                              <w:rPr>
                                <w:rFonts w:ascii="Arial" w:hAnsi="Arial" w:cs="Arial"/>
                                <w:sz w:val="22"/>
                                <w:szCs w:val="22"/>
                              </w:rPr>
                              <w:t xml:space="preserve"> to the pre-fabrication of made</w:t>
                            </w:r>
                            <w:r>
                              <w:rPr>
                                <w:rFonts w:ascii="Arial" w:hAnsi="Arial" w:cs="Arial"/>
                                <w:sz w:val="22"/>
                                <w:szCs w:val="22"/>
                              </w:rPr>
                              <w:t>-</w:t>
                            </w:r>
                            <w:r w:rsidRPr="009406F8">
                              <w:rPr>
                                <w:rFonts w:ascii="Arial" w:hAnsi="Arial" w:cs="Arial"/>
                                <w:sz w:val="22"/>
                                <w:szCs w:val="22"/>
                              </w:rPr>
                              <w:t>to</w:t>
                            </w:r>
                            <w:r>
                              <w:rPr>
                                <w:rFonts w:ascii="Arial" w:hAnsi="Arial" w:cs="Arial"/>
                                <w:sz w:val="22"/>
                                <w:szCs w:val="22"/>
                              </w:rPr>
                              <w:t>-</w:t>
                            </w:r>
                            <w:r w:rsidRPr="009406F8">
                              <w:rPr>
                                <w:rFonts w:ascii="Arial" w:hAnsi="Arial" w:cs="Arial"/>
                                <w:sz w:val="22"/>
                                <w:szCs w:val="22"/>
                              </w:rPr>
                              <w:t xml:space="preserve">order components carried out </w:t>
                            </w:r>
                            <w:r>
                              <w:rPr>
                                <w:rFonts w:ascii="Arial" w:hAnsi="Arial" w:cs="Arial"/>
                                <w:sz w:val="22"/>
                                <w:szCs w:val="22"/>
                              </w:rPr>
                              <w:t>off site</w:t>
                            </w:r>
                            <w:r w:rsidRPr="009406F8">
                              <w:rPr>
                                <w:rFonts w:ascii="Arial" w:hAnsi="Arial" w:cs="Arial"/>
                                <w:sz w:val="22"/>
                                <w:szCs w:val="22"/>
                              </w:rPr>
                              <w:t xml:space="preserve">, nor </w:t>
                            </w:r>
                            <w:r>
                              <w:rPr>
                                <w:rFonts w:ascii="Arial" w:hAnsi="Arial" w:cs="Arial"/>
                                <w:sz w:val="22"/>
                                <w:szCs w:val="22"/>
                              </w:rPr>
                              <w:t xml:space="preserve">to </w:t>
                            </w:r>
                            <w:r w:rsidRPr="009406F8">
                              <w:rPr>
                                <w:rFonts w:ascii="Arial" w:hAnsi="Arial" w:cs="Arial"/>
                                <w:sz w:val="22"/>
                                <w:szCs w:val="22"/>
                              </w:rPr>
                              <w:t>the transport and supply of goods directly to building sites</w:t>
                            </w:r>
                            <w:r>
                              <w:rPr>
                                <w:rFonts w:ascii="Arial" w:hAnsi="Arial" w:cs="Arial"/>
                                <w:sz w:val="22"/>
                                <w:szCs w:val="22"/>
                              </w:rPr>
                              <w:t>,</w:t>
                            </w:r>
                            <w:r w:rsidRPr="009406F8">
                              <w:rPr>
                                <w:rFonts w:ascii="Arial" w:hAnsi="Arial" w:cs="Arial"/>
                                <w:sz w:val="22"/>
                                <w:szCs w:val="22"/>
                              </w:rPr>
                              <w:t xml:space="preserve"> for the purposes of building work</w:t>
                            </w:r>
                            <w:r>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5D1EA197" id="_x0000_s1028" type="#_x0000_t202" style="width:452.25pt;height:62.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" fillcolor="#d8d8d8 [2732]">
                <v:textbox>
                  <w:txbxContent>
                    <w:p w:rsidR="00226B47" w:rsidRPr="005C2E4D" w:rsidRDefault="00226B47" w:rsidP="0042169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3</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Scheme not </w:t>
                      </w:r>
                      <w:r>
                        <w:rPr>
                          <w:rFonts w:ascii="Arial" w:hAnsi="Arial" w:cs="Arial"/>
                          <w:sz w:val="22"/>
                          <w:szCs w:val="22"/>
                        </w:rPr>
                        <w:t>be applied</w:t>
                      </w:r>
                      <w:r w:rsidRPr="009406F8">
                        <w:rPr>
                          <w:rFonts w:ascii="Arial" w:hAnsi="Arial" w:cs="Arial"/>
                          <w:sz w:val="22"/>
                          <w:szCs w:val="22"/>
                        </w:rPr>
                        <w:t xml:space="preserve"> to the pre-fabrication of made</w:t>
                      </w:r>
                      <w:r>
                        <w:rPr>
                          <w:rFonts w:ascii="Arial" w:hAnsi="Arial" w:cs="Arial"/>
                          <w:sz w:val="22"/>
                          <w:szCs w:val="22"/>
                        </w:rPr>
                        <w:t>-</w:t>
                      </w:r>
                      <w:r w:rsidRPr="009406F8">
                        <w:rPr>
                          <w:rFonts w:ascii="Arial" w:hAnsi="Arial" w:cs="Arial"/>
                          <w:sz w:val="22"/>
                          <w:szCs w:val="22"/>
                        </w:rPr>
                        <w:t>to</w:t>
                      </w:r>
                      <w:r>
                        <w:rPr>
                          <w:rFonts w:ascii="Arial" w:hAnsi="Arial" w:cs="Arial"/>
                          <w:sz w:val="22"/>
                          <w:szCs w:val="22"/>
                        </w:rPr>
                        <w:t>-</w:t>
                      </w:r>
                      <w:r w:rsidRPr="009406F8">
                        <w:rPr>
                          <w:rFonts w:ascii="Arial" w:hAnsi="Arial" w:cs="Arial"/>
                          <w:sz w:val="22"/>
                          <w:szCs w:val="22"/>
                        </w:rPr>
                        <w:t xml:space="preserve">order components carried out </w:t>
                      </w:r>
                      <w:r>
                        <w:rPr>
                          <w:rFonts w:ascii="Arial" w:hAnsi="Arial" w:cs="Arial"/>
                          <w:sz w:val="22"/>
                          <w:szCs w:val="22"/>
                        </w:rPr>
                        <w:t>off site</w:t>
                      </w:r>
                      <w:r w:rsidRPr="009406F8">
                        <w:rPr>
                          <w:rFonts w:ascii="Arial" w:hAnsi="Arial" w:cs="Arial"/>
                          <w:sz w:val="22"/>
                          <w:szCs w:val="22"/>
                        </w:rPr>
                        <w:t xml:space="preserve">, nor </w:t>
                      </w:r>
                      <w:r>
                        <w:rPr>
                          <w:rFonts w:ascii="Arial" w:hAnsi="Arial" w:cs="Arial"/>
                          <w:sz w:val="22"/>
                          <w:szCs w:val="22"/>
                        </w:rPr>
                        <w:t xml:space="preserve">to </w:t>
                      </w:r>
                      <w:r w:rsidRPr="009406F8">
                        <w:rPr>
                          <w:rFonts w:ascii="Arial" w:hAnsi="Arial" w:cs="Arial"/>
                          <w:sz w:val="22"/>
                          <w:szCs w:val="22"/>
                        </w:rPr>
                        <w:t>the transport and supply of goods directly to building sites</w:t>
                      </w:r>
                      <w:r>
                        <w:rPr>
                          <w:rFonts w:ascii="Arial" w:hAnsi="Arial" w:cs="Arial"/>
                          <w:sz w:val="22"/>
                          <w:szCs w:val="22"/>
                        </w:rPr>
                        <w:t>,</w:t>
                      </w:r>
                      <w:r w:rsidRPr="009406F8">
                        <w:rPr>
                          <w:rFonts w:ascii="Arial" w:hAnsi="Arial" w:cs="Arial"/>
                          <w:sz w:val="22"/>
                          <w:szCs w:val="22"/>
                        </w:rPr>
                        <w:t xml:space="preserve"> for the purposes of building work</w:t>
                      </w:r>
                      <w:r>
                        <w:rPr>
                          <w:rFonts w:ascii="Arial" w:hAnsi="Arial" w:cs="Arial"/>
                          <w:sz w:val="22"/>
                          <w:szCs w:val="22"/>
                        </w:rPr>
                        <w:t>.</w:t>
                      </w:r>
                    </w:p>
                  </w:txbxContent>
                </v:textbox>
                <w10:anchorlock/>
              </v:shape>
            </w:pict>
          </mc:Fallback>
        </mc:AlternateContent>
      </w:r>
    </w:p>
    <w:p w:rsidR="00A60F1C" w:rsidRDefault="00A60F1C" w:rsidP="003005B9">
      <w:pPr>
        <w:pStyle w:val="Heading2"/>
      </w:pPr>
      <w:bookmarkStart w:id="19" w:name="_Toc382816465"/>
      <w:bookmarkStart w:id="20" w:name="_Toc390429511"/>
    </w:p>
    <w:p w:rsidR="007256AF" w:rsidRDefault="007256AF" w:rsidP="003005B9">
      <w:pPr>
        <w:pStyle w:val="Heading2"/>
      </w:pPr>
      <w:r w:rsidRPr="007B5A3A">
        <w:t>Residential</w:t>
      </w:r>
      <w:bookmarkEnd w:id="19"/>
      <w:bookmarkEnd w:id="20"/>
      <w:r w:rsidR="003F07FD">
        <w:t xml:space="preserve"> </w:t>
      </w:r>
    </w:p>
    <w:p w:rsidR="009F6F45" w:rsidRDefault="009F6F45" w:rsidP="007752BD">
      <w:pPr>
        <w:pStyle w:val="PlainText"/>
        <w:rPr>
          <w:rFonts w:ascii="Arial" w:hAnsi="Arial" w:cs="Arial"/>
        </w:rPr>
      </w:pPr>
    </w:p>
    <w:p w:rsidR="007752BD" w:rsidRPr="009B20EF" w:rsidRDefault="007752BD" w:rsidP="009B20EF">
      <w:pPr>
        <w:rPr>
          <w:rFonts w:ascii="Arial" w:hAnsi="Arial" w:cs="Arial"/>
          <w:sz w:val="22"/>
          <w:szCs w:val="22"/>
        </w:rPr>
      </w:pPr>
      <w:r w:rsidRPr="009B20EF">
        <w:rPr>
          <w:rFonts w:ascii="Arial" w:hAnsi="Arial" w:cs="Arial"/>
          <w:sz w:val="22"/>
          <w:szCs w:val="22"/>
        </w:rPr>
        <w:t xml:space="preserve">In 2005, the explanatory memorandum for the </w:t>
      </w:r>
      <w:r w:rsidR="00B87E8E" w:rsidRPr="00432EF5">
        <w:rPr>
          <w:rStyle w:val="Emphasis"/>
        </w:rPr>
        <w:t>Building and Construction Industry Improvement Bill 2005</w:t>
      </w:r>
      <w:r w:rsidRPr="009B20EF">
        <w:rPr>
          <w:rFonts w:ascii="Arial" w:hAnsi="Arial" w:cs="Arial"/>
          <w:sz w:val="22"/>
          <w:szCs w:val="22"/>
        </w:rPr>
        <w:t xml:space="preserve"> made it clear that as far as possible the domestic housing sector would be excluded from coverage of the Bill, but did not exempt the residential sector in total. Section 5(2) of the </w:t>
      </w:r>
      <w:r w:rsidR="00DF09A0" w:rsidRPr="009B20EF">
        <w:rPr>
          <w:rFonts w:ascii="Arial" w:hAnsi="Arial" w:cs="Arial"/>
          <w:sz w:val="22"/>
          <w:szCs w:val="22"/>
        </w:rPr>
        <w:t>FWBI Act</w:t>
      </w:r>
      <w:r w:rsidRPr="009B20EF">
        <w:rPr>
          <w:rFonts w:ascii="Arial" w:hAnsi="Arial" w:cs="Arial"/>
          <w:sz w:val="22"/>
          <w:szCs w:val="22"/>
        </w:rPr>
        <w:t xml:space="preserve"> currently includes </w:t>
      </w:r>
      <w:r w:rsidR="00AA43D3" w:rsidRPr="00432EF5">
        <w:rPr>
          <w:rStyle w:val="Emphasis"/>
        </w:rPr>
        <w:t>“</w:t>
      </w:r>
      <w:r w:rsidRPr="00432EF5">
        <w:rPr>
          <w:rStyle w:val="Emphasis"/>
        </w:rPr>
        <w:t>multi-dwelling development that consists of, or includes, the construction of at least five single-dwelling houses</w:t>
      </w:r>
      <w:r w:rsidR="00AA43D3" w:rsidRPr="00432EF5">
        <w:rPr>
          <w:rStyle w:val="Emphasis"/>
        </w:rPr>
        <w:t>”</w:t>
      </w:r>
      <w:r w:rsidRPr="009B20EF">
        <w:rPr>
          <w:rFonts w:ascii="Arial" w:hAnsi="Arial" w:cs="Arial"/>
          <w:sz w:val="22"/>
          <w:szCs w:val="22"/>
        </w:rPr>
        <w:t xml:space="preserve"> as building work. </w:t>
      </w:r>
    </w:p>
    <w:p w:rsidR="007752BD" w:rsidRDefault="007752BD" w:rsidP="007256AF">
      <w:pPr>
        <w:rPr>
          <w:rFonts w:ascii="Arial" w:hAnsi="Arial" w:cs="Arial"/>
          <w:sz w:val="22"/>
          <w:szCs w:val="22"/>
        </w:rPr>
      </w:pPr>
    </w:p>
    <w:p w:rsidR="007752BD" w:rsidRDefault="007256AF" w:rsidP="007752BD">
      <w:pPr>
        <w:rPr>
          <w:rFonts w:ascii="Arial" w:hAnsi="Arial" w:cs="Arial"/>
          <w:sz w:val="22"/>
          <w:szCs w:val="22"/>
        </w:rPr>
      </w:pPr>
      <w:r w:rsidRPr="004E3C0B">
        <w:rPr>
          <w:rFonts w:ascii="Arial" w:hAnsi="Arial" w:cs="Arial"/>
          <w:sz w:val="22"/>
          <w:szCs w:val="22"/>
        </w:rPr>
        <w:t>Some stakeholders have suggested that there should be exemptions from the Scheme for residential</w:t>
      </w:r>
      <w:r w:rsidR="007752BD">
        <w:rPr>
          <w:rFonts w:ascii="Arial" w:hAnsi="Arial" w:cs="Arial"/>
          <w:sz w:val="22"/>
          <w:szCs w:val="22"/>
        </w:rPr>
        <w:t xml:space="preserve"> work</w:t>
      </w:r>
      <w:r w:rsidRPr="004E3C0B">
        <w:rPr>
          <w:rFonts w:ascii="Arial" w:hAnsi="Arial" w:cs="Arial"/>
          <w:sz w:val="22"/>
          <w:szCs w:val="22"/>
        </w:rPr>
        <w:t xml:space="preserve">. </w:t>
      </w:r>
      <w:r w:rsidR="007752BD" w:rsidRPr="004E3C0B">
        <w:rPr>
          <w:rFonts w:ascii="Arial" w:hAnsi="Arial" w:cs="Arial"/>
          <w:sz w:val="22"/>
          <w:szCs w:val="22"/>
        </w:rPr>
        <w:t xml:space="preserve">In terms of safety performance, there appears to be no strong evidence to suggest that the residential sector warrants exclusion, however this needs to be balanced against competing financial and policy objectives. </w:t>
      </w:r>
    </w:p>
    <w:p w:rsidR="007752BD" w:rsidRDefault="007752BD" w:rsidP="007256AF">
      <w:pPr>
        <w:rPr>
          <w:rFonts w:ascii="Arial" w:hAnsi="Arial" w:cs="Arial"/>
          <w:sz w:val="22"/>
          <w:szCs w:val="22"/>
        </w:rPr>
      </w:pPr>
    </w:p>
    <w:p w:rsidR="0029243D" w:rsidRDefault="0029243D" w:rsidP="007256AF">
      <w:pPr>
        <w:rPr>
          <w:rFonts w:ascii="Arial" w:hAnsi="Arial" w:cs="Arial"/>
          <w:sz w:val="22"/>
          <w:szCs w:val="22"/>
        </w:rPr>
      </w:pPr>
      <w:r>
        <w:rPr>
          <w:rFonts w:ascii="Arial" w:hAnsi="Arial" w:cs="Arial"/>
          <w:sz w:val="22"/>
          <w:szCs w:val="22"/>
        </w:rPr>
        <w:t xml:space="preserve">Three key areas that have been identified </w:t>
      </w:r>
      <w:r w:rsidR="0089749F">
        <w:rPr>
          <w:rFonts w:ascii="Arial" w:hAnsi="Arial" w:cs="Arial"/>
          <w:sz w:val="22"/>
          <w:szCs w:val="22"/>
        </w:rPr>
        <w:t>as</w:t>
      </w:r>
      <w:r>
        <w:rPr>
          <w:rFonts w:ascii="Arial" w:hAnsi="Arial" w:cs="Arial"/>
          <w:sz w:val="22"/>
          <w:szCs w:val="22"/>
        </w:rPr>
        <w:t xml:space="preserve"> particularly relevant to the residential sector are </w:t>
      </w:r>
      <w:r w:rsidRPr="0029243D">
        <w:rPr>
          <w:rFonts w:ascii="Arial" w:hAnsi="Arial" w:cs="Arial"/>
          <w:sz w:val="22"/>
          <w:szCs w:val="22"/>
        </w:rPr>
        <w:t>Indigenous business,</w:t>
      </w:r>
      <w:r w:rsidR="007752BD">
        <w:rPr>
          <w:rFonts w:ascii="Arial" w:hAnsi="Arial" w:cs="Arial"/>
          <w:sz w:val="22"/>
          <w:szCs w:val="22"/>
        </w:rPr>
        <w:t xml:space="preserve"> </w:t>
      </w:r>
      <w:r w:rsidRPr="0029243D">
        <w:rPr>
          <w:rFonts w:ascii="Arial" w:hAnsi="Arial" w:cs="Arial"/>
          <w:sz w:val="22"/>
          <w:szCs w:val="22"/>
        </w:rPr>
        <w:t>regional</w:t>
      </w:r>
      <w:r>
        <w:rPr>
          <w:rFonts w:ascii="Arial" w:hAnsi="Arial" w:cs="Arial"/>
          <w:sz w:val="22"/>
          <w:szCs w:val="22"/>
        </w:rPr>
        <w:t xml:space="preserve"> </w:t>
      </w:r>
      <w:r w:rsidR="00E71268">
        <w:rPr>
          <w:rFonts w:ascii="Arial" w:hAnsi="Arial" w:cs="Arial"/>
          <w:sz w:val="22"/>
          <w:szCs w:val="22"/>
        </w:rPr>
        <w:t xml:space="preserve">location </w:t>
      </w:r>
      <w:r>
        <w:rPr>
          <w:rFonts w:ascii="Arial" w:hAnsi="Arial" w:cs="Arial"/>
          <w:sz w:val="22"/>
          <w:szCs w:val="22"/>
        </w:rPr>
        <w:t xml:space="preserve">and </w:t>
      </w:r>
      <w:r w:rsidRPr="0029243D">
        <w:rPr>
          <w:rFonts w:ascii="Arial" w:hAnsi="Arial" w:cs="Arial"/>
          <w:sz w:val="22"/>
          <w:szCs w:val="22"/>
        </w:rPr>
        <w:t>commercial i</w:t>
      </w:r>
      <w:r>
        <w:rPr>
          <w:rFonts w:ascii="Arial" w:hAnsi="Arial" w:cs="Arial"/>
          <w:sz w:val="22"/>
          <w:szCs w:val="22"/>
        </w:rPr>
        <w:t xml:space="preserve">mperatives. </w:t>
      </w:r>
    </w:p>
    <w:p w:rsidR="0029243D" w:rsidRDefault="0029243D" w:rsidP="007256AF">
      <w:pPr>
        <w:rPr>
          <w:rFonts w:ascii="Arial" w:hAnsi="Arial" w:cs="Arial"/>
          <w:sz w:val="22"/>
          <w:szCs w:val="22"/>
        </w:rPr>
      </w:pPr>
    </w:p>
    <w:p w:rsidR="0029243D" w:rsidRPr="000D18E2" w:rsidRDefault="0029243D" w:rsidP="00FC27DD">
      <w:pPr>
        <w:rPr>
          <w:rFonts w:ascii="Arial" w:hAnsi="Arial" w:cs="Arial"/>
          <w:b/>
          <w:sz w:val="22"/>
          <w:szCs w:val="22"/>
        </w:rPr>
      </w:pPr>
      <w:r w:rsidRPr="000D18E2">
        <w:rPr>
          <w:rFonts w:ascii="Arial" w:hAnsi="Arial" w:cs="Arial"/>
          <w:b/>
          <w:sz w:val="22"/>
          <w:szCs w:val="22"/>
        </w:rPr>
        <w:t>Indigenous business</w:t>
      </w:r>
    </w:p>
    <w:p w:rsidR="00562E8C" w:rsidRPr="0029243D" w:rsidRDefault="00562E8C" w:rsidP="00FC27DD">
      <w:pPr>
        <w:rPr>
          <w:rFonts w:ascii="Arial" w:hAnsi="Arial" w:cs="Arial"/>
          <w:i/>
          <w:sz w:val="22"/>
          <w:szCs w:val="22"/>
        </w:rPr>
      </w:pPr>
    </w:p>
    <w:p w:rsidR="0029243D" w:rsidRDefault="009703E3" w:rsidP="00FC27DD">
      <w:pPr>
        <w:rPr>
          <w:rFonts w:ascii="Arial" w:hAnsi="Arial" w:cs="Arial"/>
          <w:sz w:val="22"/>
          <w:szCs w:val="22"/>
        </w:rPr>
      </w:pPr>
      <w:r>
        <w:rPr>
          <w:rFonts w:ascii="Arial" w:hAnsi="Arial" w:cs="Arial"/>
          <w:sz w:val="22"/>
          <w:szCs w:val="22"/>
        </w:rPr>
        <w:t xml:space="preserve">It has been claimed that </w:t>
      </w:r>
      <w:r w:rsidR="00E71268">
        <w:rPr>
          <w:rFonts w:ascii="Arial" w:hAnsi="Arial" w:cs="Arial"/>
          <w:sz w:val="22"/>
          <w:szCs w:val="22"/>
        </w:rPr>
        <w:t xml:space="preserve">the </w:t>
      </w:r>
      <w:r>
        <w:rPr>
          <w:rFonts w:ascii="Arial" w:hAnsi="Arial" w:cs="Arial"/>
          <w:sz w:val="22"/>
          <w:szCs w:val="22"/>
        </w:rPr>
        <w:t>Scheme</w:t>
      </w:r>
      <w:r w:rsidR="00E71268">
        <w:rPr>
          <w:rFonts w:ascii="Arial" w:hAnsi="Arial" w:cs="Arial"/>
          <w:sz w:val="22"/>
          <w:szCs w:val="22"/>
        </w:rPr>
        <w:t>’s</w:t>
      </w:r>
      <w:r>
        <w:rPr>
          <w:rFonts w:ascii="Arial" w:hAnsi="Arial" w:cs="Arial"/>
          <w:sz w:val="22"/>
          <w:szCs w:val="22"/>
        </w:rPr>
        <w:t xml:space="preserve"> requirements </w:t>
      </w:r>
      <w:r w:rsidR="00980AE7">
        <w:rPr>
          <w:rFonts w:ascii="Arial" w:hAnsi="Arial" w:cs="Arial"/>
          <w:sz w:val="22"/>
          <w:szCs w:val="22"/>
        </w:rPr>
        <w:t>m</w:t>
      </w:r>
      <w:r w:rsidR="00FC27DD" w:rsidRPr="004E3C0B">
        <w:rPr>
          <w:rFonts w:ascii="Arial" w:hAnsi="Arial" w:cs="Arial"/>
          <w:sz w:val="22"/>
          <w:szCs w:val="22"/>
        </w:rPr>
        <w:t xml:space="preserve">ake it difficult for Indigenous companies to participate as head contractors in </w:t>
      </w:r>
      <w:r w:rsidR="00351C43">
        <w:rPr>
          <w:rFonts w:ascii="Arial" w:hAnsi="Arial" w:cs="Arial"/>
          <w:sz w:val="22"/>
          <w:szCs w:val="22"/>
        </w:rPr>
        <w:t xml:space="preserve">Commonwealth </w:t>
      </w:r>
      <w:r w:rsidR="00E71268">
        <w:rPr>
          <w:rFonts w:ascii="Arial" w:hAnsi="Arial" w:cs="Arial"/>
          <w:sz w:val="22"/>
          <w:szCs w:val="22"/>
        </w:rPr>
        <w:t>G</w:t>
      </w:r>
      <w:r w:rsidR="00FC27DD" w:rsidRPr="004E3C0B">
        <w:rPr>
          <w:rFonts w:ascii="Arial" w:hAnsi="Arial" w:cs="Arial"/>
          <w:sz w:val="22"/>
          <w:szCs w:val="22"/>
        </w:rPr>
        <w:t>overnment</w:t>
      </w:r>
      <w:r w:rsidR="00E71268">
        <w:rPr>
          <w:rFonts w:ascii="Arial" w:hAnsi="Arial" w:cs="Arial"/>
          <w:sz w:val="22"/>
          <w:szCs w:val="22"/>
        </w:rPr>
        <w:t>-</w:t>
      </w:r>
      <w:r w:rsidR="00FC27DD" w:rsidRPr="004E3C0B">
        <w:rPr>
          <w:rFonts w:ascii="Arial" w:hAnsi="Arial" w:cs="Arial"/>
          <w:sz w:val="22"/>
          <w:szCs w:val="22"/>
        </w:rPr>
        <w:t>funded residential building programmes in some regional and remote areas</w:t>
      </w:r>
      <w:r w:rsidR="00040097">
        <w:rPr>
          <w:rFonts w:ascii="Arial" w:hAnsi="Arial" w:cs="Arial"/>
          <w:sz w:val="22"/>
          <w:szCs w:val="22"/>
        </w:rPr>
        <w:t>.</w:t>
      </w:r>
    </w:p>
    <w:p w:rsidR="009C3D7D" w:rsidRDefault="009C3D7D" w:rsidP="00FC27DD">
      <w:pPr>
        <w:rPr>
          <w:rFonts w:ascii="Arial" w:hAnsi="Arial" w:cs="Arial"/>
          <w:sz w:val="22"/>
          <w:szCs w:val="22"/>
        </w:rPr>
      </w:pPr>
    </w:p>
    <w:p w:rsidR="009C3D7D" w:rsidRDefault="009C3D7D" w:rsidP="00FC27DD">
      <w:pPr>
        <w:rPr>
          <w:rFonts w:ascii="Arial" w:hAnsi="Arial" w:cs="Arial"/>
          <w:sz w:val="22"/>
          <w:szCs w:val="22"/>
        </w:rPr>
      </w:pPr>
      <w:r>
        <w:rPr>
          <w:rFonts w:ascii="Arial" w:hAnsi="Arial" w:cs="Arial"/>
          <w:sz w:val="22"/>
          <w:szCs w:val="22"/>
        </w:rPr>
        <w:t xml:space="preserve">This issue was highlighted </w:t>
      </w:r>
      <w:r w:rsidR="009703E3">
        <w:rPr>
          <w:rFonts w:ascii="Arial" w:hAnsi="Arial" w:cs="Arial"/>
          <w:sz w:val="22"/>
          <w:szCs w:val="22"/>
        </w:rPr>
        <w:t>in</w:t>
      </w:r>
      <w:r>
        <w:rPr>
          <w:rFonts w:ascii="Arial" w:hAnsi="Arial" w:cs="Arial"/>
          <w:sz w:val="22"/>
          <w:szCs w:val="22"/>
        </w:rPr>
        <w:t xml:space="preserve"> a submission from the </w:t>
      </w:r>
      <w:r w:rsidR="009703E3">
        <w:rPr>
          <w:rFonts w:ascii="Arial" w:hAnsi="Arial" w:cs="Arial"/>
          <w:sz w:val="22"/>
          <w:szCs w:val="22"/>
        </w:rPr>
        <w:t>WA Department of Housing</w:t>
      </w:r>
      <w:r w:rsidR="00E71268">
        <w:rPr>
          <w:rFonts w:ascii="Arial" w:hAnsi="Arial" w:cs="Arial"/>
          <w:sz w:val="22"/>
          <w:szCs w:val="22"/>
        </w:rPr>
        <w:t>,</w:t>
      </w:r>
      <w:r w:rsidR="009703E3">
        <w:rPr>
          <w:rFonts w:ascii="Arial" w:hAnsi="Arial" w:cs="Arial"/>
          <w:sz w:val="22"/>
          <w:szCs w:val="22"/>
        </w:rPr>
        <w:t xml:space="preserve"> and the Department of Prime Minister and Cabinet </w:t>
      </w:r>
      <w:r w:rsidR="00DF09A0">
        <w:rPr>
          <w:rFonts w:ascii="Arial" w:hAnsi="Arial" w:cs="Arial"/>
          <w:sz w:val="22"/>
          <w:szCs w:val="22"/>
        </w:rPr>
        <w:t xml:space="preserve">(PM&amp;C) in </w:t>
      </w:r>
      <w:r w:rsidR="00E71268">
        <w:rPr>
          <w:rFonts w:ascii="Arial" w:hAnsi="Arial" w:cs="Arial"/>
          <w:sz w:val="22"/>
          <w:szCs w:val="22"/>
        </w:rPr>
        <w:t>i</w:t>
      </w:r>
      <w:r w:rsidR="00DF09A0">
        <w:rPr>
          <w:rFonts w:ascii="Arial" w:hAnsi="Arial" w:cs="Arial"/>
          <w:sz w:val="22"/>
          <w:szCs w:val="22"/>
        </w:rPr>
        <w:t>t</w:t>
      </w:r>
      <w:r w:rsidR="00E71268">
        <w:rPr>
          <w:rFonts w:ascii="Arial" w:hAnsi="Arial" w:cs="Arial"/>
          <w:sz w:val="22"/>
          <w:szCs w:val="22"/>
        </w:rPr>
        <w:t>s</w:t>
      </w:r>
      <w:r w:rsidR="00DF09A0">
        <w:rPr>
          <w:rFonts w:ascii="Arial" w:hAnsi="Arial" w:cs="Arial"/>
          <w:sz w:val="22"/>
          <w:szCs w:val="22"/>
        </w:rPr>
        <w:t xml:space="preserve"> capacity as a </w:t>
      </w:r>
      <w:r w:rsidR="009703E3">
        <w:rPr>
          <w:rFonts w:ascii="Arial" w:hAnsi="Arial" w:cs="Arial"/>
          <w:sz w:val="22"/>
          <w:szCs w:val="22"/>
        </w:rPr>
        <w:t xml:space="preserve">member of </w:t>
      </w:r>
      <w:r w:rsidR="00941540">
        <w:rPr>
          <w:rFonts w:ascii="Arial" w:hAnsi="Arial" w:cs="Arial"/>
          <w:sz w:val="22"/>
          <w:szCs w:val="22"/>
        </w:rPr>
        <w:t>AGARG</w:t>
      </w:r>
      <w:r w:rsidR="00B44A42">
        <w:rPr>
          <w:rFonts w:ascii="Arial" w:hAnsi="Arial" w:cs="Arial"/>
          <w:sz w:val="22"/>
          <w:szCs w:val="22"/>
        </w:rPr>
        <w:t>.</w:t>
      </w:r>
    </w:p>
    <w:p w:rsidR="00127904" w:rsidRDefault="00127904" w:rsidP="00FC27DD">
      <w:pPr>
        <w:rPr>
          <w:rFonts w:ascii="Arial" w:hAnsi="Arial" w:cs="Arial"/>
          <w:sz w:val="22"/>
          <w:szCs w:val="22"/>
        </w:rPr>
      </w:pPr>
    </w:p>
    <w:p w:rsidR="00127904" w:rsidRPr="00127904" w:rsidRDefault="009703E3" w:rsidP="00127904">
      <w:pPr>
        <w:rPr>
          <w:rFonts w:ascii="Arial" w:hAnsi="Arial" w:cs="Arial"/>
          <w:sz w:val="22"/>
          <w:szCs w:val="22"/>
        </w:rPr>
      </w:pPr>
      <w:r>
        <w:rPr>
          <w:rFonts w:ascii="Arial" w:hAnsi="Arial" w:cs="Arial"/>
          <w:sz w:val="22"/>
          <w:szCs w:val="22"/>
        </w:rPr>
        <w:t>T</w:t>
      </w:r>
      <w:r w:rsidR="00127904" w:rsidRPr="00127904">
        <w:rPr>
          <w:rFonts w:ascii="Arial" w:hAnsi="Arial" w:cs="Arial"/>
          <w:sz w:val="22"/>
          <w:szCs w:val="22"/>
        </w:rPr>
        <w:t xml:space="preserve">he majority of residential construction and infrastructure development in remote Aboriginal communities </w:t>
      </w:r>
      <w:r>
        <w:rPr>
          <w:rFonts w:ascii="Arial" w:hAnsi="Arial" w:cs="Arial"/>
          <w:sz w:val="22"/>
          <w:szCs w:val="22"/>
        </w:rPr>
        <w:t xml:space="preserve">in WA </w:t>
      </w:r>
      <w:r w:rsidR="00127904" w:rsidRPr="00127904">
        <w:rPr>
          <w:rFonts w:ascii="Arial" w:hAnsi="Arial" w:cs="Arial"/>
          <w:sz w:val="22"/>
          <w:szCs w:val="22"/>
        </w:rPr>
        <w:t xml:space="preserve">is funded by the </w:t>
      </w:r>
      <w:r w:rsidR="00CC7C8F">
        <w:rPr>
          <w:rFonts w:ascii="Arial" w:hAnsi="Arial" w:cs="Arial"/>
          <w:sz w:val="22"/>
          <w:szCs w:val="22"/>
        </w:rPr>
        <w:t>Commonwealth</w:t>
      </w:r>
      <w:r>
        <w:rPr>
          <w:rFonts w:ascii="Arial" w:hAnsi="Arial" w:cs="Arial"/>
          <w:sz w:val="22"/>
          <w:szCs w:val="22"/>
        </w:rPr>
        <w:t xml:space="preserve"> Government </w:t>
      </w:r>
      <w:r w:rsidR="00127904" w:rsidRPr="00127904">
        <w:rPr>
          <w:rFonts w:ascii="Arial" w:hAnsi="Arial" w:cs="Arial"/>
          <w:sz w:val="22"/>
          <w:szCs w:val="22"/>
        </w:rPr>
        <w:t xml:space="preserve">under the </w:t>
      </w:r>
      <w:r w:rsidRPr="00127904">
        <w:rPr>
          <w:rFonts w:ascii="Arial" w:hAnsi="Arial" w:cs="Arial"/>
          <w:sz w:val="22"/>
          <w:szCs w:val="22"/>
        </w:rPr>
        <w:t>National Partnership Agreement on Remote Indigenous Housing (NPARIH</w:t>
      </w:r>
      <w:r>
        <w:rPr>
          <w:rFonts w:ascii="Arial" w:hAnsi="Arial" w:cs="Arial"/>
          <w:sz w:val="22"/>
          <w:szCs w:val="22"/>
        </w:rPr>
        <w:t>)</w:t>
      </w:r>
      <w:r w:rsidR="00127904" w:rsidRPr="00127904">
        <w:rPr>
          <w:rFonts w:ascii="Arial" w:hAnsi="Arial" w:cs="Arial"/>
          <w:sz w:val="22"/>
          <w:szCs w:val="22"/>
        </w:rPr>
        <w:t>.</w:t>
      </w:r>
      <w:r w:rsidR="00DF09A0">
        <w:rPr>
          <w:rFonts w:ascii="Arial" w:hAnsi="Arial" w:cs="Arial"/>
          <w:sz w:val="22"/>
          <w:szCs w:val="22"/>
        </w:rPr>
        <w:t xml:space="preserve"> Both </w:t>
      </w:r>
      <w:r w:rsidR="00E71268">
        <w:rPr>
          <w:rFonts w:ascii="Arial" w:hAnsi="Arial" w:cs="Arial"/>
          <w:sz w:val="22"/>
          <w:szCs w:val="22"/>
        </w:rPr>
        <w:t xml:space="preserve">the </w:t>
      </w:r>
      <w:r w:rsidR="00DF09A0">
        <w:rPr>
          <w:rFonts w:ascii="Arial" w:hAnsi="Arial" w:cs="Arial"/>
          <w:sz w:val="22"/>
          <w:szCs w:val="22"/>
        </w:rPr>
        <w:t>WA D</w:t>
      </w:r>
      <w:r>
        <w:rPr>
          <w:rFonts w:ascii="Arial" w:hAnsi="Arial" w:cs="Arial"/>
          <w:sz w:val="22"/>
          <w:szCs w:val="22"/>
        </w:rPr>
        <w:t>epartment of Housing and PM&amp;C have indic</w:t>
      </w:r>
      <w:r w:rsidR="00007AEC">
        <w:rPr>
          <w:rFonts w:ascii="Arial" w:hAnsi="Arial" w:cs="Arial"/>
          <w:sz w:val="22"/>
          <w:szCs w:val="22"/>
        </w:rPr>
        <w:t>a</w:t>
      </w:r>
      <w:r>
        <w:rPr>
          <w:rFonts w:ascii="Arial" w:hAnsi="Arial" w:cs="Arial"/>
          <w:sz w:val="22"/>
          <w:szCs w:val="22"/>
        </w:rPr>
        <w:t>ted t</w:t>
      </w:r>
      <w:r w:rsidR="00127904" w:rsidRPr="00127904">
        <w:rPr>
          <w:rFonts w:ascii="Arial" w:hAnsi="Arial" w:cs="Arial"/>
          <w:sz w:val="22"/>
          <w:szCs w:val="22"/>
        </w:rPr>
        <w:t>here is a lack of accredited small and medium</w:t>
      </w:r>
      <w:r w:rsidR="00E71268">
        <w:rPr>
          <w:rFonts w:ascii="Arial" w:hAnsi="Arial" w:cs="Arial"/>
          <w:sz w:val="22"/>
          <w:szCs w:val="22"/>
        </w:rPr>
        <w:t>-</w:t>
      </w:r>
      <w:r w:rsidR="00127904" w:rsidRPr="00127904">
        <w:rPr>
          <w:rFonts w:ascii="Arial" w:hAnsi="Arial" w:cs="Arial"/>
          <w:sz w:val="22"/>
          <w:szCs w:val="22"/>
        </w:rPr>
        <w:t xml:space="preserve">sized residential construction companies operating in remote Aboriginal communities in Western Australia. </w:t>
      </w:r>
    </w:p>
    <w:p w:rsidR="00127904" w:rsidRPr="00127904" w:rsidRDefault="00127904" w:rsidP="00127904">
      <w:pPr>
        <w:rPr>
          <w:rFonts w:ascii="Arial" w:hAnsi="Arial" w:cs="Arial"/>
          <w:sz w:val="22"/>
          <w:szCs w:val="22"/>
        </w:rPr>
      </w:pPr>
    </w:p>
    <w:p w:rsidR="00127904" w:rsidRDefault="00127904" w:rsidP="00127904">
      <w:pPr>
        <w:rPr>
          <w:rFonts w:ascii="Arial" w:hAnsi="Arial" w:cs="Arial"/>
          <w:sz w:val="22"/>
          <w:szCs w:val="22"/>
        </w:rPr>
      </w:pPr>
      <w:r w:rsidRPr="00127904">
        <w:rPr>
          <w:rFonts w:ascii="Arial" w:hAnsi="Arial" w:cs="Arial"/>
          <w:sz w:val="22"/>
          <w:szCs w:val="22"/>
        </w:rPr>
        <w:t xml:space="preserve">The </w:t>
      </w:r>
      <w:r w:rsidR="007752BD">
        <w:rPr>
          <w:rFonts w:ascii="Arial" w:hAnsi="Arial" w:cs="Arial"/>
          <w:sz w:val="22"/>
          <w:szCs w:val="22"/>
        </w:rPr>
        <w:t xml:space="preserve">WA </w:t>
      </w:r>
      <w:r w:rsidRPr="00127904">
        <w:rPr>
          <w:rFonts w:ascii="Arial" w:hAnsi="Arial" w:cs="Arial"/>
          <w:sz w:val="22"/>
          <w:szCs w:val="22"/>
        </w:rPr>
        <w:t>Department of Housing has observed that the lack of a large pool of suitably accredited residential construction companies available to tender for NPARIH funded projects has reduced competition, put upward pressure on contract prices and is resulting in a sub</w:t>
      </w:r>
      <w:r w:rsidR="00E71268">
        <w:rPr>
          <w:rFonts w:ascii="Arial" w:hAnsi="Arial" w:cs="Arial"/>
          <w:sz w:val="22"/>
          <w:szCs w:val="22"/>
        </w:rPr>
        <w:t>-</w:t>
      </w:r>
      <w:r w:rsidRPr="00127904">
        <w:rPr>
          <w:rFonts w:ascii="Arial" w:hAnsi="Arial" w:cs="Arial"/>
          <w:sz w:val="22"/>
          <w:szCs w:val="22"/>
        </w:rPr>
        <w:t>optimal value-for-money outcome. The</w:t>
      </w:r>
      <w:r w:rsidR="00C56647">
        <w:rPr>
          <w:rFonts w:ascii="Arial" w:hAnsi="Arial" w:cs="Arial"/>
          <w:sz w:val="22"/>
          <w:szCs w:val="22"/>
        </w:rPr>
        <w:t xml:space="preserve"> submission</w:t>
      </w:r>
      <w:r w:rsidR="00040097">
        <w:rPr>
          <w:rFonts w:ascii="Arial" w:hAnsi="Arial" w:cs="Arial"/>
          <w:sz w:val="22"/>
          <w:szCs w:val="22"/>
        </w:rPr>
        <w:t xml:space="preserve"> also indic</w:t>
      </w:r>
      <w:r w:rsidR="000E7210">
        <w:rPr>
          <w:rFonts w:ascii="Arial" w:hAnsi="Arial" w:cs="Arial"/>
          <w:sz w:val="22"/>
          <w:szCs w:val="22"/>
        </w:rPr>
        <w:t>a</w:t>
      </w:r>
      <w:r w:rsidR="00040097">
        <w:rPr>
          <w:rFonts w:ascii="Arial" w:hAnsi="Arial" w:cs="Arial"/>
          <w:sz w:val="22"/>
          <w:szCs w:val="22"/>
        </w:rPr>
        <w:t>ted</w:t>
      </w:r>
      <w:r w:rsidRPr="00127904">
        <w:rPr>
          <w:rFonts w:ascii="Arial" w:hAnsi="Arial" w:cs="Arial"/>
          <w:sz w:val="22"/>
          <w:szCs w:val="22"/>
        </w:rPr>
        <w:t xml:space="preserve"> current thresholds are impacting th</w:t>
      </w:r>
      <w:r w:rsidR="00040097">
        <w:rPr>
          <w:rFonts w:ascii="Arial" w:hAnsi="Arial" w:cs="Arial"/>
          <w:sz w:val="22"/>
          <w:szCs w:val="22"/>
        </w:rPr>
        <w:t>e</w:t>
      </w:r>
      <w:r w:rsidRPr="00127904">
        <w:rPr>
          <w:rFonts w:ascii="Arial" w:hAnsi="Arial" w:cs="Arial"/>
          <w:sz w:val="22"/>
          <w:szCs w:val="22"/>
        </w:rPr>
        <w:t xml:space="preserve"> </w:t>
      </w:r>
      <w:r w:rsidR="00C56647">
        <w:rPr>
          <w:rFonts w:ascii="Arial" w:hAnsi="Arial" w:cs="Arial"/>
          <w:sz w:val="22"/>
          <w:szCs w:val="22"/>
        </w:rPr>
        <w:t xml:space="preserve">WA </w:t>
      </w:r>
      <w:r w:rsidRPr="00127904">
        <w:rPr>
          <w:rFonts w:ascii="Arial" w:hAnsi="Arial" w:cs="Arial"/>
          <w:sz w:val="22"/>
          <w:szCs w:val="22"/>
        </w:rPr>
        <w:t xml:space="preserve">State Government’s ability to incubate new Aboriginal enterprises and represent a wasted opportunity to stimulate economic development and self-sufficiency in remote and regional communities. </w:t>
      </w:r>
    </w:p>
    <w:p w:rsidR="007752BD" w:rsidRDefault="007752BD" w:rsidP="00127904">
      <w:pPr>
        <w:rPr>
          <w:rFonts w:ascii="Arial" w:hAnsi="Arial" w:cs="Arial"/>
          <w:sz w:val="22"/>
          <w:szCs w:val="22"/>
        </w:rPr>
      </w:pPr>
    </w:p>
    <w:p w:rsidR="007752BD" w:rsidRPr="00127904" w:rsidRDefault="007752BD" w:rsidP="00127904">
      <w:pPr>
        <w:rPr>
          <w:rFonts w:ascii="Arial" w:hAnsi="Arial" w:cs="Arial"/>
          <w:sz w:val="22"/>
          <w:szCs w:val="22"/>
        </w:rPr>
      </w:pPr>
      <w:r>
        <w:rPr>
          <w:rFonts w:ascii="Arial" w:hAnsi="Arial" w:cs="Arial"/>
          <w:sz w:val="22"/>
          <w:szCs w:val="22"/>
        </w:rPr>
        <w:t xml:space="preserve">The WA Department of Housing </w:t>
      </w:r>
      <w:r w:rsidR="00556559">
        <w:rPr>
          <w:rFonts w:ascii="Arial" w:hAnsi="Arial" w:cs="Arial"/>
          <w:sz w:val="22"/>
          <w:szCs w:val="22"/>
        </w:rPr>
        <w:t xml:space="preserve">has not sought </w:t>
      </w:r>
      <w:r>
        <w:rPr>
          <w:rFonts w:ascii="Arial" w:hAnsi="Arial" w:cs="Arial"/>
          <w:sz w:val="22"/>
          <w:szCs w:val="22"/>
        </w:rPr>
        <w:t>an exemption from the Scheme for building work – rather th</w:t>
      </w:r>
      <w:r w:rsidR="00556559">
        <w:rPr>
          <w:rFonts w:ascii="Arial" w:hAnsi="Arial" w:cs="Arial"/>
          <w:sz w:val="22"/>
          <w:szCs w:val="22"/>
        </w:rPr>
        <w:t>ey</w:t>
      </w:r>
      <w:r>
        <w:rPr>
          <w:rFonts w:ascii="Arial" w:hAnsi="Arial" w:cs="Arial"/>
          <w:sz w:val="22"/>
          <w:szCs w:val="22"/>
        </w:rPr>
        <w:t xml:space="preserve"> </w:t>
      </w:r>
      <w:r w:rsidR="00556559">
        <w:rPr>
          <w:rFonts w:ascii="Arial" w:hAnsi="Arial" w:cs="Arial"/>
          <w:sz w:val="22"/>
          <w:szCs w:val="22"/>
        </w:rPr>
        <w:t>have recommended an increase in thresholds from $3 </w:t>
      </w:r>
      <w:r>
        <w:rPr>
          <w:rFonts w:ascii="Arial" w:hAnsi="Arial" w:cs="Arial"/>
          <w:sz w:val="22"/>
          <w:szCs w:val="22"/>
        </w:rPr>
        <w:t xml:space="preserve">million to $6 million. </w:t>
      </w:r>
    </w:p>
    <w:p w:rsidR="00127904" w:rsidRDefault="00127904" w:rsidP="00127904">
      <w:pPr>
        <w:rPr>
          <w:rFonts w:ascii="Arial" w:hAnsi="Arial" w:cs="Arial"/>
          <w:sz w:val="22"/>
          <w:szCs w:val="22"/>
        </w:rPr>
      </w:pPr>
    </w:p>
    <w:p w:rsidR="00A82787" w:rsidRPr="007060C4" w:rsidRDefault="00556559" w:rsidP="007060C4">
      <w:pPr>
        <w:rPr>
          <w:rFonts w:ascii="Arial" w:hAnsi="Arial" w:cs="Arial"/>
          <w:sz w:val="22"/>
          <w:szCs w:val="22"/>
        </w:rPr>
      </w:pPr>
      <w:r w:rsidRPr="007060C4">
        <w:rPr>
          <w:rFonts w:ascii="Arial" w:hAnsi="Arial" w:cs="Arial"/>
          <w:sz w:val="22"/>
          <w:szCs w:val="22"/>
        </w:rPr>
        <w:t xml:space="preserve">Likewise, </w:t>
      </w:r>
      <w:r w:rsidR="007752BD" w:rsidRPr="007060C4">
        <w:rPr>
          <w:rFonts w:ascii="Arial" w:hAnsi="Arial" w:cs="Arial"/>
          <w:sz w:val="22"/>
          <w:szCs w:val="22"/>
        </w:rPr>
        <w:t>P</w:t>
      </w:r>
      <w:r w:rsidR="00DF09A0" w:rsidRPr="007060C4">
        <w:rPr>
          <w:rFonts w:ascii="Arial" w:hAnsi="Arial" w:cs="Arial"/>
          <w:sz w:val="22"/>
          <w:szCs w:val="22"/>
        </w:rPr>
        <w:t>M&amp;C</w:t>
      </w:r>
      <w:r w:rsidR="007752BD" w:rsidRPr="007060C4">
        <w:rPr>
          <w:rFonts w:ascii="Arial" w:hAnsi="Arial" w:cs="Arial"/>
          <w:sz w:val="22"/>
          <w:szCs w:val="22"/>
        </w:rPr>
        <w:t xml:space="preserve"> ha</w:t>
      </w:r>
      <w:r w:rsidR="00DF09A0" w:rsidRPr="007060C4">
        <w:rPr>
          <w:rFonts w:ascii="Arial" w:hAnsi="Arial" w:cs="Arial"/>
          <w:sz w:val="22"/>
          <w:szCs w:val="22"/>
        </w:rPr>
        <w:t>s</w:t>
      </w:r>
      <w:r w:rsidR="007752BD" w:rsidRPr="007060C4">
        <w:rPr>
          <w:rFonts w:ascii="Arial" w:hAnsi="Arial" w:cs="Arial"/>
          <w:sz w:val="22"/>
          <w:szCs w:val="22"/>
        </w:rPr>
        <w:t xml:space="preserve"> </w:t>
      </w:r>
      <w:r w:rsidRPr="007060C4">
        <w:rPr>
          <w:rFonts w:ascii="Arial" w:hAnsi="Arial" w:cs="Arial"/>
          <w:sz w:val="22"/>
          <w:szCs w:val="22"/>
        </w:rPr>
        <w:t xml:space="preserve">not proposed an exemption for residential building work. </w:t>
      </w:r>
      <w:r w:rsidR="00DF09A0" w:rsidRPr="007060C4">
        <w:rPr>
          <w:rFonts w:ascii="Arial" w:hAnsi="Arial" w:cs="Arial"/>
          <w:sz w:val="22"/>
          <w:szCs w:val="22"/>
        </w:rPr>
        <w:t xml:space="preserve">PM&amp;C has </w:t>
      </w:r>
      <w:r w:rsidR="007752BD" w:rsidRPr="007060C4">
        <w:rPr>
          <w:rFonts w:ascii="Arial" w:hAnsi="Arial" w:cs="Arial"/>
          <w:sz w:val="22"/>
          <w:szCs w:val="22"/>
        </w:rPr>
        <w:t>proposed that the number of single level residences captured by the Scheme be increased from five or more to 10 or more to help address competing policy objectives, particularly in rela</w:t>
      </w:r>
      <w:r w:rsidR="00DF09A0" w:rsidRPr="007060C4">
        <w:rPr>
          <w:rFonts w:ascii="Arial" w:hAnsi="Arial" w:cs="Arial"/>
          <w:sz w:val="22"/>
          <w:szCs w:val="22"/>
        </w:rPr>
        <w:t>tion to participation of local I</w:t>
      </w:r>
      <w:r w:rsidR="007752BD" w:rsidRPr="007060C4">
        <w:rPr>
          <w:rFonts w:ascii="Arial" w:hAnsi="Arial" w:cs="Arial"/>
          <w:sz w:val="22"/>
          <w:szCs w:val="22"/>
        </w:rPr>
        <w:t xml:space="preserve">ndigenous building companies in housing projects in regional and remote Australia. </w:t>
      </w:r>
    </w:p>
    <w:p w:rsidR="00A82787" w:rsidRPr="007060C4" w:rsidRDefault="00A82787" w:rsidP="007060C4">
      <w:pPr>
        <w:rPr>
          <w:rFonts w:ascii="Arial" w:hAnsi="Arial" w:cs="Arial"/>
          <w:sz w:val="22"/>
          <w:szCs w:val="22"/>
        </w:rPr>
      </w:pPr>
    </w:p>
    <w:p w:rsidR="007752BD" w:rsidRDefault="00E71268" w:rsidP="007060C4">
      <w:r w:rsidRPr="007060C4">
        <w:rPr>
          <w:rFonts w:ascii="Arial" w:hAnsi="Arial" w:cs="Arial"/>
          <w:sz w:val="22"/>
          <w:szCs w:val="22"/>
        </w:rPr>
        <w:t xml:space="preserve">The </w:t>
      </w:r>
      <w:r w:rsidR="00040097" w:rsidRPr="007060C4">
        <w:rPr>
          <w:rFonts w:ascii="Arial" w:hAnsi="Arial" w:cs="Arial"/>
          <w:sz w:val="22"/>
          <w:szCs w:val="22"/>
        </w:rPr>
        <w:t xml:space="preserve">DHA </w:t>
      </w:r>
      <w:r w:rsidR="007752BD" w:rsidRPr="007060C4">
        <w:rPr>
          <w:rFonts w:ascii="Arial" w:hAnsi="Arial" w:cs="Arial"/>
          <w:sz w:val="22"/>
          <w:szCs w:val="22"/>
        </w:rPr>
        <w:t>submission support</w:t>
      </w:r>
      <w:r w:rsidRPr="007060C4">
        <w:rPr>
          <w:rFonts w:ascii="Arial" w:hAnsi="Arial" w:cs="Arial"/>
          <w:sz w:val="22"/>
          <w:szCs w:val="22"/>
        </w:rPr>
        <w:t>ed</w:t>
      </w:r>
      <w:r w:rsidR="007752BD" w:rsidRPr="007060C4">
        <w:rPr>
          <w:rFonts w:ascii="Arial" w:hAnsi="Arial" w:cs="Arial"/>
          <w:sz w:val="22"/>
          <w:szCs w:val="22"/>
        </w:rPr>
        <w:t xml:space="preserve"> an increase in the number of dwellings</w:t>
      </w:r>
      <w:r w:rsidRPr="007060C4">
        <w:rPr>
          <w:rFonts w:ascii="Arial" w:hAnsi="Arial" w:cs="Arial"/>
          <w:sz w:val="22"/>
          <w:szCs w:val="22"/>
        </w:rPr>
        <w:t>,</w:t>
      </w:r>
      <w:r w:rsidR="007752BD" w:rsidRPr="007060C4">
        <w:rPr>
          <w:rFonts w:ascii="Arial" w:hAnsi="Arial" w:cs="Arial"/>
          <w:sz w:val="22"/>
          <w:szCs w:val="22"/>
        </w:rPr>
        <w:t xml:space="preserve"> as defined in section 5(2)</w:t>
      </w:r>
      <w:r w:rsidR="00040097" w:rsidRPr="007060C4">
        <w:rPr>
          <w:rFonts w:ascii="Arial" w:hAnsi="Arial" w:cs="Arial"/>
          <w:sz w:val="22"/>
          <w:szCs w:val="22"/>
        </w:rPr>
        <w:t xml:space="preserve"> of the FWBI Act</w:t>
      </w:r>
      <w:r w:rsidRPr="007060C4">
        <w:rPr>
          <w:rFonts w:ascii="Arial" w:hAnsi="Arial" w:cs="Arial"/>
          <w:sz w:val="22"/>
          <w:szCs w:val="22"/>
        </w:rPr>
        <w:t>,</w:t>
      </w:r>
      <w:r w:rsidR="007752BD" w:rsidRPr="007060C4">
        <w:rPr>
          <w:rFonts w:ascii="Arial" w:hAnsi="Arial" w:cs="Arial"/>
          <w:sz w:val="22"/>
          <w:szCs w:val="22"/>
        </w:rPr>
        <w:t xml:space="preserve"> in the ev</w:t>
      </w:r>
      <w:r w:rsidR="00556559" w:rsidRPr="007060C4">
        <w:rPr>
          <w:rFonts w:ascii="Arial" w:hAnsi="Arial" w:cs="Arial"/>
          <w:sz w:val="22"/>
          <w:szCs w:val="22"/>
        </w:rPr>
        <w:t>e</w:t>
      </w:r>
      <w:r w:rsidR="007752BD" w:rsidRPr="007060C4">
        <w:rPr>
          <w:rFonts w:ascii="Arial" w:hAnsi="Arial" w:cs="Arial"/>
          <w:sz w:val="22"/>
          <w:szCs w:val="22"/>
        </w:rPr>
        <w:t xml:space="preserve">nt that </w:t>
      </w:r>
      <w:r w:rsidR="00040097" w:rsidRPr="007060C4">
        <w:rPr>
          <w:rFonts w:ascii="Arial" w:hAnsi="Arial" w:cs="Arial"/>
          <w:sz w:val="22"/>
          <w:szCs w:val="22"/>
        </w:rPr>
        <w:t>housing is</w:t>
      </w:r>
      <w:r w:rsidR="007752BD" w:rsidRPr="007060C4">
        <w:rPr>
          <w:rFonts w:ascii="Arial" w:hAnsi="Arial" w:cs="Arial"/>
          <w:sz w:val="22"/>
          <w:szCs w:val="22"/>
        </w:rPr>
        <w:t xml:space="preserve"> not exempted </w:t>
      </w:r>
      <w:r w:rsidRPr="007060C4">
        <w:rPr>
          <w:rFonts w:ascii="Arial" w:hAnsi="Arial" w:cs="Arial"/>
          <w:sz w:val="22"/>
          <w:szCs w:val="22"/>
        </w:rPr>
        <w:t xml:space="preserve">entirely </w:t>
      </w:r>
      <w:r w:rsidR="007752BD" w:rsidRPr="007060C4">
        <w:rPr>
          <w:rFonts w:ascii="Arial" w:hAnsi="Arial" w:cs="Arial"/>
          <w:sz w:val="22"/>
          <w:szCs w:val="22"/>
        </w:rPr>
        <w:t>from Scheme requirements.</w:t>
      </w:r>
    </w:p>
    <w:p w:rsidR="007752BD" w:rsidRDefault="007752BD" w:rsidP="00127904">
      <w:pPr>
        <w:rPr>
          <w:rFonts w:ascii="Arial" w:hAnsi="Arial" w:cs="Arial"/>
          <w:sz w:val="22"/>
          <w:szCs w:val="22"/>
        </w:rPr>
      </w:pPr>
    </w:p>
    <w:p w:rsidR="000C535F" w:rsidRDefault="000C535F">
      <w:pPr>
        <w:rPr>
          <w:rFonts w:ascii="Arial" w:hAnsi="Arial" w:cs="Arial"/>
          <w:b/>
          <w:sz w:val="22"/>
          <w:szCs w:val="22"/>
        </w:rPr>
      </w:pPr>
      <w:r>
        <w:rPr>
          <w:rFonts w:ascii="Arial" w:hAnsi="Arial" w:cs="Arial"/>
          <w:b/>
          <w:sz w:val="22"/>
          <w:szCs w:val="22"/>
        </w:rPr>
        <w:br w:type="page"/>
      </w:r>
    </w:p>
    <w:p w:rsidR="0029243D" w:rsidRPr="000D18E2" w:rsidRDefault="0029243D" w:rsidP="00FC27DD">
      <w:pPr>
        <w:rPr>
          <w:rFonts w:ascii="Arial" w:hAnsi="Arial" w:cs="Arial"/>
          <w:b/>
          <w:sz w:val="22"/>
          <w:szCs w:val="22"/>
        </w:rPr>
      </w:pPr>
      <w:r w:rsidRPr="000D18E2">
        <w:rPr>
          <w:rFonts w:ascii="Arial" w:hAnsi="Arial" w:cs="Arial"/>
          <w:b/>
          <w:sz w:val="22"/>
          <w:szCs w:val="22"/>
        </w:rPr>
        <w:t>Regional</w:t>
      </w:r>
      <w:r w:rsidR="00533BF3">
        <w:rPr>
          <w:rFonts w:ascii="Arial" w:hAnsi="Arial" w:cs="Arial"/>
          <w:b/>
          <w:sz w:val="22"/>
          <w:szCs w:val="22"/>
        </w:rPr>
        <w:t xml:space="preserve"> and </w:t>
      </w:r>
      <w:r w:rsidRPr="000D18E2">
        <w:rPr>
          <w:rFonts w:ascii="Arial" w:hAnsi="Arial" w:cs="Arial"/>
          <w:b/>
          <w:sz w:val="22"/>
          <w:szCs w:val="22"/>
        </w:rPr>
        <w:t>remote factors</w:t>
      </w:r>
    </w:p>
    <w:p w:rsidR="00562E8C" w:rsidRPr="0029243D" w:rsidRDefault="00562E8C" w:rsidP="00FC27DD">
      <w:pPr>
        <w:rPr>
          <w:rFonts w:ascii="Arial" w:hAnsi="Arial" w:cs="Arial"/>
          <w:i/>
          <w:sz w:val="22"/>
          <w:szCs w:val="22"/>
        </w:rPr>
      </w:pPr>
    </w:p>
    <w:p w:rsidR="00FC27DD" w:rsidRDefault="00FC27DD" w:rsidP="00FC27DD">
      <w:pPr>
        <w:rPr>
          <w:rFonts w:ascii="Arial" w:hAnsi="Arial" w:cs="Arial"/>
          <w:sz w:val="22"/>
          <w:szCs w:val="22"/>
        </w:rPr>
      </w:pPr>
      <w:r w:rsidRPr="004E3C0B">
        <w:rPr>
          <w:rFonts w:ascii="Arial" w:hAnsi="Arial" w:cs="Arial"/>
          <w:sz w:val="22"/>
          <w:szCs w:val="22"/>
        </w:rPr>
        <w:t xml:space="preserve">A further argument has been made that the higher costs in regional and remote areas mean that projects are being captured that would be below the thresholds </w:t>
      </w:r>
      <w:r w:rsidR="00533BF3">
        <w:rPr>
          <w:rFonts w:ascii="Arial" w:hAnsi="Arial" w:cs="Arial"/>
          <w:sz w:val="22"/>
          <w:szCs w:val="22"/>
        </w:rPr>
        <w:t xml:space="preserve">if located </w:t>
      </w:r>
      <w:r w:rsidRPr="004E3C0B">
        <w:rPr>
          <w:rFonts w:ascii="Arial" w:hAnsi="Arial" w:cs="Arial"/>
          <w:sz w:val="22"/>
          <w:szCs w:val="22"/>
        </w:rPr>
        <w:t>in metropolitan areas.</w:t>
      </w:r>
      <w:r w:rsidR="00084542">
        <w:rPr>
          <w:rFonts w:ascii="Arial" w:hAnsi="Arial" w:cs="Arial"/>
          <w:sz w:val="22"/>
          <w:szCs w:val="22"/>
        </w:rPr>
        <w:t xml:space="preserve"> </w:t>
      </w:r>
    </w:p>
    <w:p w:rsidR="00FC27DD" w:rsidRDefault="00FC27DD" w:rsidP="00FC27DD">
      <w:pPr>
        <w:rPr>
          <w:rFonts w:ascii="Arial" w:hAnsi="Arial" w:cs="Arial"/>
          <w:sz w:val="22"/>
          <w:szCs w:val="22"/>
        </w:rPr>
      </w:pPr>
    </w:p>
    <w:p w:rsidR="00FC27DD" w:rsidRPr="008C1B31" w:rsidRDefault="00FC27DD" w:rsidP="008C1B31">
      <w:pPr>
        <w:rPr>
          <w:rFonts w:ascii="Arial" w:hAnsi="Arial" w:cs="Arial"/>
          <w:sz w:val="22"/>
          <w:szCs w:val="22"/>
        </w:rPr>
      </w:pPr>
      <w:r w:rsidRPr="008C1B31">
        <w:rPr>
          <w:rFonts w:ascii="Arial" w:hAnsi="Arial" w:cs="Arial"/>
          <w:sz w:val="22"/>
          <w:szCs w:val="22"/>
        </w:rPr>
        <w:t xml:space="preserve">A significant proportion </w:t>
      </w:r>
      <w:r w:rsidR="00BC1594" w:rsidRPr="008C1B31">
        <w:rPr>
          <w:rFonts w:ascii="Arial" w:hAnsi="Arial" w:cs="Arial"/>
          <w:sz w:val="22"/>
          <w:szCs w:val="22"/>
        </w:rPr>
        <w:t xml:space="preserve">(approximately 60 per cent) </w:t>
      </w:r>
      <w:r w:rsidRPr="008C1B31">
        <w:rPr>
          <w:rFonts w:ascii="Arial" w:hAnsi="Arial" w:cs="Arial"/>
          <w:sz w:val="22"/>
          <w:szCs w:val="22"/>
        </w:rPr>
        <w:t>of Scheme residential projects are undertaken in regional and remote areas and some submissions have noted that where a number of houses can be constructed in a metropolitan area under the existing Scheme threshold, that number is considerably less in remote or regional areas</w:t>
      </w:r>
      <w:r w:rsidR="00533BF3" w:rsidRPr="008C1B31">
        <w:rPr>
          <w:rFonts w:ascii="Arial" w:hAnsi="Arial" w:cs="Arial"/>
          <w:sz w:val="22"/>
          <w:szCs w:val="22"/>
        </w:rPr>
        <w:t>, for example</w:t>
      </w:r>
      <w:r w:rsidR="00E71268" w:rsidRPr="008C1B31">
        <w:rPr>
          <w:rFonts w:ascii="Arial" w:hAnsi="Arial" w:cs="Arial"/>
          <w:sz w:val="22"/>
          <w:szCs w:val="22"/>
        </w:rPr>
        <w:t>,</w:t>
      </w:r>
      <w:r w:rsidRPr="008C1B31">
        <w:rPr>
          <w:rFonts w:ascii="Arial" w:hAnsi="Arial" w:cs="Arial"/>
          <w:sz w:val="22"/>
          <w:szCs w:val="22"/>
        </w:rPr>
        <w:t xml:space="preserve"> Darwin. This situation has been amplified as construction costs have increased.</w:t>
      </w:r>
    </w:p>
    <w:p w:rsidR="00084542" w:rsidRDefault="00084542" w:rsidP="00FC27DD">
      <w:pPr>
        <w:pStyle w:val="PlainText"/>
        <w:rPr>
          <w:rFonts w:ascii="Arial" w:hAnsi="Arial" w:cs="Arial"/>
        </w:rPr>
      </w:pPr>
    </w:p>
    <w:p w:rsidR="00084542" w:rsidRPr="008C1B31" w:rsidRDefault="00A82787" w:rsidP="008C1B31">
      <w:pPr>
        <w:rPr>
          <w:rFonts w:ascii="Arial" w:hAnsi="Arial" w:cs="Arial"/>
          <w:sz w:val="22"/>
          <w:szCs w:val="22"/>
        </w:rPr>
      </w:pPr>
      <w:r w:rsidRPr="008C1B31">
        <w:rPr>
          <w:rFonts w:ascii="Arial" w:hAnsi="Arial" w:cs="Arial"/>
          <w:sz w:val="22"/>
          <w:szCs w:val="22"/>
        </w:rPr>
        <w:t xml:space="preserve">The submission </w:t>
      </w:r>
      <w:r w:rsidR="00E71268" w:rsidRPr="008C1B31">
        <w:rPr>
          <w:rFonts w:ascii="Arial" w:hAnsi="Arial" w:cs="Arial"/>
          <w:sz w:val="22"/>
          <w:szCs w:val="22"/>
        </w:rPr>
        <w:t>made</w:t>
      </w:r>
      <w:r w:rsidRPr="008C1B31">
        <w:rPr>
          <w:rFonts w:ascii="Arial" w:hAnsi="Arial" w:cs="Arial"/>
          <w:sz w:val="22"/>
          <w:szCs w:val="22"/>
        </w:rPr>
        <w:t xml:space="preserve"> by </w:t>
      </w:r>
      <w:r w:rsidR="00E71268" w:rsidRPr="008C1B31">
        <w:rPr>
          <w:rFonts w:ascii="Arial" w:hAnsi="Arial" w:cs="Arial"/>
          <w:sz w:val="22"/>
          <w:szCs w:val="22"/>
        </w:rPr>
        <w:t xml:space="preserve">the </w:t>
      </w:r>
      <w:r w:rsidRPr="008C1B31">
        <w:rPr>
          <w:rFonts w:ascii="Arial" w:hAnsi="Arial" w:cs="Arial"/>
          <w:sz w:val="22"/>
          <w:szCs w:val="22"/>
        </w:rPr>
        <w:t>WA Department of Housi</w:t>
      </w:r>
      <w:r w:rsidR="00084542" w:rsidRPr="008C1B31">
        <w:rPr>
          <w:rFonts w:ascii="Arial" w:hAnsi="Arial" w:cs="Arial"/>
          <w:sz w:val="22"/>
          <w:szCs w:val="22"/>
        </w:rPr>
        <w:t>ng notes that</w:t>
      </w:r>
    </w:p>
    <w:p w:rsidR="00084542" w:rsidRDefault="00084542" w:rsidP="00FC27DD">
      <w:pPr>
        <w:pStyle w:val="PlainText"/>
        <w:rPr>
          <w:rFonts w:ascii="Arial" w:hAnsi="Arial" w:cs="Arial"/>
        </w:rPr>
      </w:pPr>
    </w:p>
    <w:p w:rsidR="00084542" w:rsidRDefault="00084542" w:rsidP="00C56647">
      <w:pPr>
        <w:ind w:left="567"/>
        <w:rPr>
          <w:rFonts w:ascii="Arial" w:hAnsi="Arial" w:cs="Arial"/>
          <w:i/>
          <w:sz w:val="22"/>
          <w:szCs w:val="22"/>
        </w:rPr>
      </w:pPr>
      <w:r>
        <w:rPr>
          <w:rFonts w:ascii="Arial" w:hAnsi="Arial" w:cs="Arial"/>
          <w:i/>
          <w:sz w:val="22"/>
          <w:szCs w:val="22"/>
        </w:rPr>
        <w:t>“</w:t>
      </w:r>
      <w:r w:rsidRPr="00084542">
        <w:rPr>
          <w:rFonts w:ascii="Arial" w:hAnsi="Arial" w:cs="Arial"/>
          <w:i/>
          <w:sz w:val="22"/>
          <w:szCs w:val="22"/>
        </w:rPr>
        <w:t>the construction of six new single residential homes in Kalumburu in regional Western Australia is estimated to cost about $3 million and therefore require an accredited contractor to undertake the work. The same project undertaken in Perth would attract a contract cos</w:t>
      </w:r>
      <w:r>
        <w:rPr>
          <w:rFonts w:ascii="Arial" w:hAnsi="Arial" w:cs="Arial"/>
          <w:i/>
          <w:sz w:val="22"/>
          <w:szCs w:val="22"/>
        </w:rPr>
        <w:t>t of approximately $1.2 million”.</w:t>
      </w:r>
    </w:p>
    <w:p w:rsidR="00AF28EE" w:rsidRDefault="00AF28EE" w:rsidP="00084542">
      <w:pPr>
        <w:ind w:left="720"/>
        <w:rPr>
          <w:rFonts w:ascii="Arial" w:hAnsi="Arial" w:cs="Arial"/>
          <w:i/>
          <w:sz w:val="22"/>
          <w:szCs w:val="22"/>
        </w:rPr>
      </w:pPr>
    </w:p>
    <w:p w:rsidR="00AF28EE" w:rsidRPr="00AF28EE" w:rsidRDefault="003F07FD" w:rsidP="00AF28EE">
      <w:pPr>
        <w:rPr>
          <w:rFonts w:ascii="Arial" w:hAnsi="Arial" w:cs="Arial"/>
          <w:i/>
          <w:sz w:val="22"/>
          <w:szCs w:val="22"/>
        </w:rPr>
      </w:pPr>
      <w:r>
        <w:rPr>
          <w:rFonts w:ascii="Arial" w:hAnsi="Arial" w:cs="Arial"/>
          <w:sz w:val="22"/>
          <w:szCs w:val="22"/>
        </w:rPr>
        <w:t xml:space="preserve">Increasing the threshold </w:t>
      </w:r>
      <w:r w:rsidR="00AF28EE" w:rsidRPr="00AF28EE">
        <w:rPr>
          <w:rFonts w:ascii="Arial" w:hAnsi="Arial" w:cs="Arial"/>
          <w:sz w:val="22"/>
          <w:szCs w:val="22"/>
        </w:rPr>
        <w:t xml:space="preserve">from five or more to 10 or more </w:t>
      </w:r>
      <w:r>
        <w:rPr>
          <w:rFonts w:ascii="Arial" w:hAnsi="Arial" w:cs="Arial"/>
          <w:sz w:val="22"/>
          <w:szCs w:val="22"/>
        </w:rPr>
        <w:t xml:space="preserve">dwellings would help </w:t>
      </w:r>
      <w:r w:rsidR="00AF28EE">
        <w:rPr>
          <w:rFonts w:ascii="Arial" w:hAnsi="Arial" w:cs="Arial"/>
          <w:sz w:val="22"/>
          <w:szCs w:val="22"/>
        </w:rPr>
        <w:t>address these concerns in that up to nine residences w</w:t>
      </w:r>
      <w:r w:rsidR="00533BF3">
        <w:rPr>
          <w:rFonts w:ascii="Arial" w:hAnsi="Arial" w:cs="Arial"/>
          <w:sz w:val="22"/>
          <w:szCs w:val="22"/>
        </w:rPr>
        <w:t>ould</w:t>
      </w:r>
      <w:r w:rsidR="00AF28EE">
        <w:rPr>
          <w:rFonts w:ascii="Arial" w:hAnsi="Arial" w:cs="Arial"/>
          <w:sz w:val="22"/>
          <w:szCs w:val="22"/>
        </w:rPr>
        <w:t xml:space="preserve"> be able to be constructed before the Scheme applies, regardless of the cost. </w:t>
      </w:r>
    </w:p>
    <w:p w:rsidR="00084542" w:rsidRPr="007B320F" w:rsidRDefault="00084542" w:rsidP="00FC27DD">
      <w:pPr>
        <w:pStyle w:val="PlainText"/>
        <w:rPr>
          <w:rFonts w:ascii="Arial" w:hAnsi="Arial" w:cs="Arial"/>
        </w:rPr>
      </w:pPr>
    </w:p>
    <w:p w:rsidR="007752BD" w:rsidRPr="00040097" w:rsidRDefault="007752BD" w:rsidP="007752BD">
      <w:pPr>
        <w:rPr>
          <w:rFonts w:ascii="Arial" w:hAnsi="Arial" w:cs="Arial"/>
          <w:b/>
          <w:sz w:val="22"/>
          <w:szCs w:val="22"/>
        </w:rPr>
      </w:pPr>
      <w:r w:rsidRPr="00040097">
        <w:rPr>
          <w:rFonts w:ascii="Arial" w:hAnsi="Arial" w:cs="Arial"/>
          <w:b/>
          <w:sz w:val="22"/>
          <w:szCs w:val="22"/>
        </w:rPr>
        <w:t>Commercial imperatives</w:t>
      </w:r>
    </w:p>
    <w:p w:rsidR="00562E8C" w:rsidRPr="0029243D" w:rsidRDefault="00562E8C" w:rsidP="007752BD">
      <w:pPr>
        <w:rPr>
          <w:rFonts w:ascii="Arial" w:hAnsi="Arial" w:cs="Arial"/>
          <w:i/>
          <w:sz w:val="22"/>
          <w:szCs w:val="22"/>
        </w:rPr>
      </w:pPr>
    </w:p>
    <w:p w:rsidR="007752BD" w:rsidRDefault="00AF28EE" w:rsidP="007752BD">
      <w:pPr>
        <w:rPr>
          <w:rFonts w:ascii="Arial" w:hAnsi="Arial" w:cs="Arial"/>
          <w:sz w:val="22"/>
          <w:szCs w:val="22"/>
        </w:rPr>
      </w:pPr>
      <w:r>
        <w:rPr>
          <w:rFonts w:ascii="Arial" w:hAnsi="Arial" w:cs="Arial"/>
          <w:sz w:val="22"/>
          <w:szCs w:val="22"/>
        </w:rPr>
        <w:t xml:space="preserve">A number of submissions raised the impact of the Scheme on the ability </w:t>
      </w:r>
      <w:r w:rsidR="00533BF3">
        <w:rPr>
          <w:rFonts w:ascii="Arial" w:hAnsi="Arial" w:cs="Arial"/>
          <w:sz w:val="22"/>
          <w:szCs w:val="22"/>
        </w:rPr>
        <w:t xml:space="preserve">of companies </w:t>
      </w:r>
      <w:r>
        <w:rPr>
          <w:rFonts w:ascii="Arial" w:hAnsi="Arial" w:cs="Arial"/>
          <w:sz w:val="22"/>
          <w:szCs w:val="22"/>
        </w:rPr>
        <w:t xml:space="preserve">to remain commercially competitive, citing the </w:t>
      </w:r>
      <w:r w:rsidR="007752BD" w:rsidRPr="004E3C0B">
        <w:rPr>
          <w:rFonts w:ascii="Arial" w:hAnsi="Arial" w:cs="Arial"/>
          <w:sz w:val="22"/>
          <w:szCs w:val="22"/>
        </w:rPr>
        <w:t>view that th</w:t>
      </w:r>
      <w:r w:rsidR="007752BD">
        <w:rPr>
          <w:rFonts w:ascii="Arial" w:hAnsi="Arial" w:cs="Arial"/>
          <w:sz w:val="22"/>
          <w:szCs w:val="22"/>
        </w:rPr>
        <w:t>e Scheme</w:t>
      </w:r>
      <w:r w:rsidR="007752BD" w:rsidRPr="004E3C0B">
        <w:rPr>
          <w:rFonts w:ascii="Arial" w:hAnsi="Arial" w:cs="Arial"/>
          <w:sz w:val="22"/>
          <w:szCs w:val="22"/>
        </w:rPr>
        <w:t xml:space="preserve"> increases costs and reduces the pool of suppliers for certain </w:t>
      </w:r>
      <w:r w:rsidR="00083EE0">
        <w:rPr>
          <w:rFonts w:ascii="Arial" w:hAnsi="Arial" w:cs="Arial"/>
          <w:sz w:val="22"/>
          <w:szCs w:val="22"/>
        </w:rPr>
        <w:t>G</w:t>
      </w:r>
      <w:r w:rsidR="007752BD" w:rsidRPr="004E3C0B">
        <w:rPr>
          <w:rFonts w:ascii="Arial" w:hAnsi="Arial" w:cs="Arial"/>
          <w:sz w:val="22"/>
          <w:szCs w:val="22"/>
        </w:rPr>
        <w:t xml:space="preserve">overnment agencies funding residential projects. </w:t>
      </w:r>
    </w:p>
    <w:p w:rsidR="007752BD" w:rsidRDefault="007752BD" w:rsidP="007752BD">
      <w:pPr>
        <w:rPr>
          <w:rFonts w:ascii="Arial" w:hAnsi="Arial" w:cs="Arial"/>
          <w:sz w:val="22"/>
          <w:szCs w:val="22"/>
        </w:rPr>
      </w:pPr>
    </w:p>
    <w:p w:rsidR="007752BD" w:rsidRDefault="007752BD" w:rsidP="00040097">
      <w:pPr>
        <w:ind w:left="567"/>
        <w:rPr>
          <w:rFonts w:ascii="Arial" w:hAnsi="Arial" w:cs="Arial"/>
          <w:i/>
          <w:sz w:val="22"/>
          <w:szCs w:val="22"/>
        </w:rPr>
      </w:pPr>
      <w:r w:rsidRPr="00D94FE2">
        <w:rPr>
          <w:rFonts w:ascii="Arial" w:hAnsi="Arial" w:cs="Arial"/>
          <w:i/>
          <w:sz w:val="22"/>
          <w:szCs w:val="22"/>
        </w:rPr>
        <w:t xml:space="preserve">“Government business enterprises, like DHA, which undertake large scale residential construction </w:t>
      </w:r>
      <w:r w:rsidR="005A3325" w:rsidRPr="00D94FE2">
        <w:rPr>
          <w:rFonts w:ascii="Arial" w:hAnsi="Arial" w:cs="Arial"/>
          <w:i/>
          <w:sz w:val="22"/>
          <w:szCs w:val="22"/>
        </w:rPr>
        <w:t>activities,</w:t>
      </w:r>
      <w:r w:rsidRPr="00D94FE2">
        <w:rPr>
          <w:rFonts w:ascii="Arial" w:hAnsi="Arial" w:cs="Arial"/>
          <w:i/>
          <w:sz w:val="22"/>
          <w:szCs w:val="22"/>
        </w:rPr>
        <w:t xml:space="preserve"> must compete with private and public developers which are able to use those builders who provide the best ‘value-for-money’. DHA’s ‘value-for-money’ consideration includes a strong focus on the requirements of the Work </w:t>
      </w:r>
      <w:r w:rsidR="00C938A8">
        <w:rPr>
          <w:rFonts w:ascii="Arial" w:hAnsi="Arial" w:cs="Arial"/>
          <w:i/>
          <w:sz w:val="22"/>
          <w:szCs w:val="22"/>
        </w:rPr>
        <w:t>H</w:t>
      </w:r>
      <w:r w:rsidRPr="00D94FE2">
        <w:rPr>
          <w:rFonts w:ascii="Arial" w:hAnsi="Arial" w:cs="Arial"/>
          <w:i/>
          <w:sz w:val="22"/>
          <w:szCs w:val="22"/>
        </w:rPr>
        <w:t xml:space="preserve">ealth </w:t>
      </w:r>
      <w:r w:rsidR="00C938A8">
        <w:rPr>
          <w:rFonts w:ascii="Arial" w:hAnsi="Arial" w:cs="Arial"/>
          <w:i/>
          <w:sz w:val="22"/>
          <w:szCs w:val="22"/>
        </w:rPr>
        <w:t>and S</w:t>
      </w:r>
      <w:r w:rsidRPr="00D94FE2">
        <w:rPr>
          <w:rFonts w:ascii="Arial" w:hAnsi="Arial" w:cs="Arial"/>
          <w:i/>
          <w:sz w:val="22"/>
          <w:szCs w:val="22"/>
        </w:rPr>
        <w:t>afety Act 2011, however, for projects with a building component of over $3 million, DHA must only employ builders who have been accredited under the FSC accreditation scheme, irrespective of the result of DHA’s WHS assessments.”</w:t>
      </w:r>
      <w:r>
        <w:rPr>
          <w:rFonts w:ascii="Arial" w:hAnsi="Arial" w:cs="Arial"/>
          <w:i/>
          <w:sz w:val="22"/>
          <w:szCs w:val="22"/>
        </w:rPr>
        <w:t xml:space="preserve"> </w:t>
      </w:r>
    </w:p>
    <w:p w:rsidR="001C158C" w:rsidRDefault="001C158C" w:rsidP="007752BD">
      <w:pPr>
        <w:ind w:left="720"/>
        <w:rPr>
          <w:rFonts w:ascii="Arial" w:hAnsi="Arial" w:cs="Arial"/>
          <w:sz w:val="22"/>
          <w:szCs w:val="22"/>
        </w:rPr>
      </w:pPr>
    </w:p>
    <w:p w:rsidR="006A571A" w:rsidRPr="004902DE" w:rsidRDefault="006A571A" w:rsidP="004902DE">
      <w:pPr>
        <w:rPr>
          <w:rFonts w:ascii="Arial" w:hAnsi="Arial" w:cs="Arial"/>
          <w:sz w:val="22"/>
          <w:szCs w:val="22"/>
        </w:rPr>
      </w:pPr>
      <w:r w:rsidRPr="004902DE">
        <w:rPr>
          <w:rFonts w:ascii="Arial" w:hAnsi="Arial" w:cs="Arial"/>
          <w:sz w:val="22"/>
          <w:szCs w:val="22"/>
        </w:rPr>
        <w:t>A number of submissions noted that maint</w:t>
      </w:r>
      <w:r w:rsidR="00084542" w:rsidRPr="004902DE">
        <w:rPr>
          <w:rFonts w:ascii="Arial" w:hAnsi="Arial" w:cs="Arial"/>
          <w:sz w:val="22"/>
          <w:szCs w:val="22"/>
        </w:rPr>
        <w:t>a</w:t>
      </w:r>
      <w:r w:rsidRPr="004902DE">
        <w:rPr>
          <w:rFonts w:ascii="Arial" w:hAnsi="Arial" w:cs="Arial"/>
          <w:sz w:val="22"/>
          <w:szCs w:val="22"/>
        </w:rPr>
        <w:t>in</w:t>
      </w:r>
      <w:r w:rsidR="00084542" w:rsidRPr="004902DE">
        <w:rPr>
          <w:rFonts w:ascii="Arial" w:hAnsi="Arial" w:cs="Arial"/>
          <w:sz w:val="22"/>
          <w:szCs w:val="22"/>
        </w:rPr>
        <w:t>in</w:t>
      </w:r>
      <w:r w:rsidRPr="004902DE">
        <w:rPr>
          <w:rFonts w:ascii="Arial" w:hAnsi="Arial" w:cs="Arial"/>
          <w:sz w:val="22"/>
          <w:szCs w:val="22"/>
        </w:rPr>
        <w:t>g accreditation can lead to being less competitive in non</w:t>
      </w:r>
      <w:r w:rsidR="00084542" w:rsidRPr="004902DE">
        <w:rPr>
          <w:rFonts w:ascii="Arial" w:hAnsi="Arial" w:cs="Arial"/>
          <w:sz w:val="22"/>
          <w:szCs w:val="22"/>
        </w:rPr>
        <w:t>-</w:t>
      </w:r>
      <w:r w:rsidR="00351C43" w:rsidRPr="004902DE">
        <w:rPr>
          <w:rFonts w:ascii="Arial" w:hAnsi="Arial" w:cs="Arial"/>
          <w:sz w:val="22"/>
          <w:szCs w:val="22"/>
        </w:rPr>
        <w:t xml:space="preserve">Commonwealth </w:t>
      </w:r>
      <w:r w:rsidRPr="004902DE">
        <w:rPr>
          <w:rFonts w:ascii="Arial" w:hAnsi="Arial" w:cs="Arial"/>
          <w:sz w:val="22"/>
          <w:szCs w:val="22"/>
        </w:rPr>
        <w:t>Govern</w:t>
      </w:r>
      <w:r w:rsidR="00084542" w:rsidRPr="004902DE">
        <w:rPr>
          <w:rFonts w:ascii="Arial" w:hAnsi="Arial" w:cs="Arial"/>
          <w:sz w:val="22"/>
          <w:szCs w:val="22"/>
        </w:rPr>
        <w:t>me</w:t>
      </w:r>
      <w:r w:rsidR="00A82787" w:rsidRPr="004902DE">
        <w:rPr>
          <w:rFonts w:ascii="Arial" w:hAnsi="Arial" w:cs="Arial"/>
          <w:sz w:val="22"/>
          <w:szCs w:val="22"/>
        </w:rPr>
        <w:t>nt funded building work</w:t>
      </w:r>
      <w:r w:rsidR="0072149A" w:rsidRPr="004902DE">
        <w:rPr>
          <w:rFonts w:ascii="Arial" w:hAnsi="Arial" w:cs="Arial"/>
          <w:sz w:val="22"/>
          <w:szCs w:val="22"/>
        </w:rPr>
        <w:t>.</w:t>
      </w:r>
      <w:r w:rsidR="00EA3946" w:rsidRPr="004902DE">
        <w:rPr>
          <w:rFonts w:ascii="Arial" w:hAnsi="Arial" w:cs="Arial"/>
          <w:sz w:val="22"/>
          <w:szCs w:val="22"/>
        </w:rPr>
        <w:t xml:space="preserve"> </w:t>
      </w:r>
    </w:p>
    <w:p w:rsidR="0072149A" w:rsidRPr="004902DE" w:rsidRDefault="0072149A" w:rsidP="004902DE">
      <w:pPr>
        <w:rPr>
          <w:rFonts w:ascii="Arial" w:hAnsi="Arial" w:cs="Arial"/>
          <w:sz w:val="22"/>
          <w:szCs w:val="22"/>
        </w:rPr>
      </w:pPr>
    </w:p>
    <w:p w:rsidR="0072149A" w:rsidRDefault="006F4F1A" w:rsidP="004902DE">
      <w:r w:rsidRPr="004902DE">
        <w:rPr>
          <w:rFonts w:ascii="Arial" w:hAnsi="Arial" w:cs="Arial"/>
          <w:sz w:val="22"/>
          <w:szCs w:val="22"/>
        </w:rPr>
        <w:t xml:space="preserve">Improving safety systems, especially where little or no system has previously been in place, can come with increased costs. However, being unsafe </w:t>
      </w:r>
      <w:r w:rsidR="006A571A" w:rsidRPr="004902DE">
        <w:rPr>
          <w:rFonts w:ascii="Arial" w:hAnsi="Arial" w:cs="Arial"/>
          <w:sz w:val="22"/>
          <w:szCs w:val="22"/>
        </w:rPr>
        <w:t xml:space="preserve">can lead to considerably greater costs in the event that a serious accident or even a fatality occurs. </w:t>
      </w:r>
      <w:r w:rsidR="00BA3630" w:rsidRPr="004902DE">
        <w:rPr>
          <w:rFonts w:ascii="Arial" w:hAnsi="Arial" w:cs="Arial"/>
          <w:sz w:val="22"/>
          <w:szCs w:val="22"/>
        </w:rPr>
        <w:t>Despite acknowledging the costs associated with becomi</w:t>
      </w:r>
      <w:r w:rsidR="00140B86" w:rsidRPr="004902DE">
        <w:rPr>
          <w:rFonts w:ascii="Arial" w:hAnsi="Arial" w:cs="Arial"/>
          <w:sz w:val="22"/>
          <w:szCs w:val="22"/>
        </w:rPr>
        <w:t>n</w:t>
      </w:r>
      <w:r w:rsidR="00BA3630" w:rsidRPr="004902DE">
        <w:rPr>
          <w:rFonts w:ascii="Arial" w:hAnsi="Arial" w:cs="Arial"/>
          <w:sz w:val="22"/>
          <w:szCs w:val="22"/>
        </w:rPr>
        <w:t>g accredited</w:t>
      </w:r>
      <w:r w:rsidR="00BC3FA0" w:rsidRPr="004902DE">
        <w:rPr>
          <w:rFonts w:ascii="Arial" w:hAnsi="Arial" w:cs="Arial"/>
          <w:sz w:val="22"/>
          <w:szCs w:val="22"/>
        </w:rPr>
        <w:t xml:space="preserve"> and as previously stated</w:t>
      </w:r>
      <w:r w:rsidR="00BA3630" w:rsidRPr="004902DE">
        <w:rPr>
          <w:rFonts w:ascii="Arial" w:hAnsi="Arial" w:cs="Arial"/>
          <w:sz w:val="22"/>
          <w:szCs w:val="22"/>
        </w:rPr>
        <w:t xml:space="preserve">, </w:t>
      </w:r>
      <w:r w:rsidR="00140B86" w:rsidRPr="004902DE">
        <w:rPr>
          <w:rFonts w:ascii="Arial" w:hAnsi="Arial" w:cs="Arial"/>
          <w:sz w:val="22"/>
          <w:szCs w:val="22"/>
        </w:rPr>
        <w:t xml:space="preserve">80 per cent of accredited companies </w:t>
      </w:r>
      <w:r w:rsidR="00040097" w:rsidRPr="004902DE">
        <w:rPr>
          <w:rFonts w:ascii="Arial" w:hAnsi="Arial" w:cs="Arial"/>
          <w:sz w:val="22"/>
          <w:szCs w:val="22"/>
        </w:rPr>
        <w:t xml:space="preserve">responding to the Survey </w:t>
      </w:r>
      <w:r w:rsidR="00140B86" w:rsidRPr="004902DE">
        <w:rPr>
          <w:rFonts w:ascii="Arial" w:hAnsi="Arial" w:cs="Arial"/>
          <w:sz w:val="22"/>
          <w:szCs w:val="22"/>
        </w:rPr>
        <w:t xml:space="preserve">say that being accredited has improved safety in their organisation; this figure rises to 94 </w:t>
      </w:r>
      <w:r w:rsidR="0072149A" w:rsidRPr="004902DE">
        <w:rPr>
          <w:rFonts w:ascii="Arial" w:hAnsi="Arial" w:cs="Arial"/>
          <w:sz w:val="22"/>
          <w:szCs w:val="22"/>
        </w:rPr>
        <w:t xml:space="preserve">per cent </w:t>
      </w:r>
      <w:r w:rsidR="00140B86" w:rsidRPr="004902DE">
        <w:rPr>
          <w:rFonts w:ascii="Arial" w:hAnsi="Arial" w:cs="Arial"/>
          <w:sz w:val="22"/>
          <w:szCs w:val="22"/>
        </w:rPr>
        <w:t>amongst s</w:t>
      </w:r>
      <w:r w:rsidR="0072149A" w:rsidRPr="004902DE">
        <w:rPr>
          <w:rFonts w:ascii="Arial" w:hAnsi="Arial" w:cs="Arial"/>
          <w:sz w:val="22"/>
          <w:szCs w:val="22"/>
        </w:rPr>
        <w:t>mall builders</w:t>
      </w:r>
      <w:r w:rsidR="00140B86" w:rsidRPr="004902DE">
        <w:rPr>
          <w:rFonts w:ascii="Arial" w:hAnsi="Arial" w:cs="Arial"/>
          <w:sz w:val="22"/>
          <w:szCs w:val="22"/>
        </w:rPr>
        <w:t>.</w:t>
      </w:r>
      <w:r w:rsidR="00140B86">
        <w:t xml:space="preserve"> </w:t>
      </w:r>
    </w:p>
    <w:p w:rsidR="006A571A" w:rsidRDefault="006A571A" w:rsidP="00FC27DD">
      <w:pPr>
        <w:pStyle w:val="PlainText"/>
        <w:rPr>
          <w:rFonts w:ascii="Arial" w:hAnsi="Arial" w:cs="Arial"/>
          <w:szCs w:val="22"/>
        </w:rPr>
      </w:pPr>
    </w:p>
    <w:p w:rsidR="005C44FE" w:rsidRDefault="006A571A">
      <w:pPr>
        <w:rPr>
          <w:rFonts w:ascii="Arial" w:hAnsi="Arial" w:cs="Arial"/>
          <w:sz w:val="22"/>
          <w:szCs w:val="22"/>
        </w:rPr>
      </w:pPr>
      <w:r>
        <w:rPr>
          <w:rFonts w:ascii="Arial" w:hAnsi="Arial" w:cs="Arial"/>
          <w:sz w:val="22"/>
          <w:szCs w:val="22"/>
        </w:rPr>
        <w:t xml:space="preserve">Noting the general consensus </w:t>
      </w:r>
      <w:r w:rsidR="00083EE0">
        <w:rPr>
          <w:rFonts w:ascii="Arial" w:hAnsi="Arial" w:cs="Arial"/>
          <w:sz w:val="22"/>
          <w:szCs w:val="22"/>
        </w:rPr>
        <w:t>among</w:t>
      </w:r>
      <w:r>
        <w:rPr>
          <w:rFonts w:ascii="Arial" w:hAnsi="Arial" w:cs="Arial"/>
          <w:sz w:val="22"/>
          <w:szCs w:val="22"/>
        </w:rPr>
        <w:t xml:space="preserve"> the majority of submissions that exemptions </w:t>
      </w:r>
      <w:r w:rsidR="00AF28EE">
        <w:rPr>
          <w:rFonts w:ascii="Arial" w:hAnsi="Arial" w:cs="Arial"/>
          <w:sz w:val="22"/>
          <w:szCs w:val="22"/>
        </w:rPr>
        <w:t>weaken the Scheme</w:t>
      </w:r>
      <w:r w:rsidR="00533BF3">
        <w:rPr>
          <w:rFonts w:ascii="Arial" w:hAnsi="Arial" w:cs="Arial"/>
          <w:sz w:val="22"/>
          <w:szCs w:val="22"/>
        </w:rPr>
        <w:t>,</w:t>
      </w:r>
      <w:r w:rsidR="00AF28EE">
        <w:rPr>
          <w:rFonts w:ascii="Arial" w:hAnsi="Arial" w:cs="Arial"/>
          <w:sz w:val="22"/>
          <w:szCs w:val="22"/>
        </w:rPr>
        <w:t xml:space="preserve"> and </w:t>
      </w:r>
      <w:r>
        <w:rPr>
          <w:rFonts w:ascii="Arial" w:hAnsi="Arial" w:cs="Arial"/>
          <w:sz w:val="22"/>
          <w:szCs w:val="22"/>
        </w:rPr>
        <w:t>consistent with earlier recommendations that specific sectors not be excl</w:t>
      </w:r>
      <w:r w:rsidR="00967058">
        <w:rPr>
          <w:rFonts w:ascii="Arial" w:hAnsi="Arial" w:cs="Arial"/>
          <w:sz w:val="22"/>
          <w:szCs w:val="22"/>
        </w:rPr>
        <w:t>uded (e</w:t>
      </w:r>
      <w:r w:rsidR="00DF09A0">
        <w:rPr>
          <w:rFonts w:ascii="Arial" w:hAnsi="Arial" w:cs="Arial"/>
          <w:sz w:val="22"/>
          <w:szCs w:val="22"/>
        </w:rPr>
        <w:t>.</w:t>
      </w:r>
      <w:r w:rsidR="00967058">
        <w:rPr>
          <w:rFonts w:ascii="Arial" w:hAnsi="Arial" w:cs="Arial"/>
          <w:sz w:val="22"/>
          <w:szCs w:val="22"/>
        </w:rPr>
        <w:t>g</w:t>
      </w:r>
      <w:r w:rsidR="00DF09A0">
        <w:rPr>
          <w:rFonts w:ascii="Arial" w:hAnsi="Arial" w:cs="Arial"/>
          <w:sz w:val="22"/>
          <w:szCs w:val="22"/>
        </w:rPr>
        <w:t>. </w:t>
      </w:r>
      <w:r w:rsidR="00967058">
        <w:rPr>
          <w:rFonts w:ascii="Arial" w:hAnsi="Arial" w:cs="Arial"/>
          <w:sz w:val="22"/>
          <w:szCs w:val="22"/>
        </w:rPr>
        <w:t>vertical construction), this report does not recommend that the residential sector be excluded from Scheme requirements</w:t>
      </w:r>
      <w:r w:rsidR="00BC3FA0">
        <w:rPr>
          <w:rFonts w:ascii="Arial" w:hAnsi="Arial" w:cs="Arial"/>
          <w:sz w:val="22"/>
          <w:szCs w:val="22"/>
        </w:rPr>
        <w:t>.</w:t>
      </w:r>
      <w:r w:rsidR="001C158C">
        <w:rPr>
          <w:rFonts w:ascii="Arial" w:hAnsi="Arial" w:cs="Arial"/>
          <w:sz w:val="22"/>
          <w:szCs w:val="22"/>
        </w:rPr>
        <w:t xml:space="preserve"> </w:t>
      </w:r>
      <w:r w:rsidR="005C44FE">
        <w:rPr>
          <w:rFonts w:ascii="Arial" w:hAnsi="Arial" w:cs="Arial"/>
          <w:sz w:val="22"/>
          <w:szCs w:val="22"/>
        </w:rPr>
        <w:br w:type="page"/>
      </w:r>
    </w:p>
    <w:p w:rsidR="006A571A" w:rsidRPr="00127904" w:rsidRDefault="00D94E50" w:rsidP="006A571A">
      <w:pPr>
        <w:rPr>
          <w:rFonts w:ascii="Arial" w:hAnsi="Arial" w:cs="Arial"/>
          <w:sz w:val="22"/>
          <w:szCs w:val="22"/>
        </w:rPr>
      </w:pPr>
      <w:r w:rsidRPr="00927940">
        <w:rPr>
          <w:rFonts w:ascii="Arial" w:hAnsi="Arial" w:cs="Arial"/>
          <w:sz w:val="22"/>
          <w:szCs w:val="22"/>
        </w:rPr>
        <w:t>In conjunction with previous recommendation</w:t>
      </w:r>
      <w:r w:rsidR="00083EE0" w:rsidRPr="00927940">
        <w:rPr>
          <w:rFonts w:ascii="Arial" w:hAnsi="Arial" w:cs="Arial"/>
          <w:sz w:val="22"/>
          <w:szCs w:val="22"/>
        </w:rPr>
        <w:t>s</w:t>
      </w:r>
      <w:r w:rsidRPr="00927940">
        <w:rPr>
          <w:rFonts w:ascii="Arial" w:hAnsi="Arial" w:cs="Arial"/>
          <w:sz w:val="22"/>
          <w:szCs w:val="22"/>
        </w:rPr>
        <w:t xml:space="preserve"> regarding raising</w:t>
      </w:r>
      <w:r w:rsidR="00BC3FA0" w:rsidRPr="00927940">
        <w:rPr>
          <w:rFonts w:ascii="Arial" w:hAnsi="Arial" w:cs="Arial"/>
          <w:sz w:val="22"/>
          <w:szCs w:val="22"/>
        </w:rPr>
        <w:t xml:space="preserve"> and indexing</w:t>
      </w:r>
      <w:r w:rsidRPr="00927940">
        <w:rPr>
          <w:rFonts w:ascii="Arial" w:hAnsi="Arial" w:cs="Arial"/>
          <w:sz w:val="22"/>
          <w:szCs w:val="22"/>
        </w:rPr>
        <w:t xml:space="preserve"> the Scheme thresholds, the following recommendation</w:t>
      </w:r>
      <w:r w:rsidR="005C44FE" w:rsidRPr="00927940">
        <w:rPr>
          <w:rFonts w:ascii="Arial" w:hAnsi="Arial" w:cs="Arial"/>
          <w:sz w:val="22"/>
          <w:szCs w:val="22"/>
        </w:rPr>
        <w:t xml:space="preserve"> amends the definition of building </w:t>
      </w:r>
      <w:r w:rsidR="00AF0B23" w:rsidRPr="00927940">
        <w:rPr>
          <w:rFonts w:ascii="Arial" w:hAnsi="Arial" w:cs="Arial"/>
          <w:sz w:val="22"/>
          <w:szCs w:val="22"/>
        </w:rPr>
        <w:t xml:space="preserve">work </w:t>
      </w:r>
      <w:r w:rsidR="005C44FE" w:rsidRPr="00927940">
        <w:rPr>
          <w:rFonts w:ascii="Arial" w:hAnsi="Arial" w:cs="Arial"/>
          <w:sz w:val="22"/>
          <w:szCs w:val="22"/>
        </w:rPr>
        <w:t xml:space="preserve">to increase </w:t>
      </w:r>
      <w:r w:rsidR="00AF0B23" w:rsidRPr="00927940">
        <w:rPr>
          <w:rFonts w:ascii="Arial" w:hAnsi="Arial" w:cs="Arial"/>
          <w:sz w:val="22"/>
          <w:szCs w:val="22"/>
        </w:rPr>
        <w:t xml:space="preserve">the number of single dwelling houses not subject to Scheme requirements. This </w:t>
      </w:r>
      <w:r w:rsidR="006A571A" w:rsidRPr="00927940">
        <w:rPr>
          <w:rFonts w:ascii="Arial" w:hAnsi="Arial" w:cs="Arial"/>
          <w:sz w:val="22"/>
          <w:szCs w:val="22"/>
        </w:rPr>
        <w:t xml:space="preserve">provides an opportunity to recognise the specific social policy issues associated with </w:t>
      </w:r>
      <w:r w:rsidR="00DF09A0" w:rsidRPr="00927940">
        <w:rPr>
          <w:rFonts w:ascii="Arial" w:hAnsi="Arial" w:cs="Arial"/>
          <w:sz w:val="22"/>
          <w:szCs w:val="22"/>
        </w:rPr>
        <w:t>I</w:t>
      </w:r>
      <w:r w:rsidR="006A571A" w:rsidRPr="00927940">
        <w:rPr>
          <w:rFonts w:ascii="Arial" w:hAnsi="Arial" w:cs="Arial"/>
          <w:sz w:val="22"/>
          <w:szCs w:val="22"/>
        </w:rPr>
        <w:t>ndigenous and public housing while continuing to recognise the need to capture significant building work</w:t>
      </w:r>
      <w:r w:rsidR="00083EE0" w:rsidRPr="00927940">
        <w:rPr>
          <w:rFonts w:ascii="Arial" w:hAnsi="Arial" w:cs="Arial"/>
          <w:sz w:val="22"/>
          <w:szCs w:val="22"/>
        </w:rPr>
        <w:t xml:space="preserve">. </w:t>
      </w:r>
      <w:r w:rsidR="00AF0B23" w:rsidRPr="00927940">
        <w:rPr>
          <w:rFonts w:ascii="Arial" w:hAnsi="Arial" w:cs="Arial"/>
          <w:sz w:val="22"/>
          <w:szCs w:val="22"/>
        </w:rPr>
        <w:t>(</w:t>
      </w:r>
      <w:r w:rsidR="00083EE0" w:rsidRPr="00927940">
        <w:rPr>
          <w:rFonts w:ascii="Arial" w:hAnsi="Arial" w:cs="Arial"/>
          <w:sz w:val="22"/>
          <w:szCs w:val="22"/>
        </w:rPr>
        <w:t>This</w:t>
      </w:r>
      <w:r w:rsidR="006A571A" w:rsidRPr="00927940">
        <w:rPr>
          <w:rFonts w:ascii="Arial" w:hAnsi="Arial" w:cs="Arial"/>
          <w:sz w:val="22"/>
          <w:szCs w:val="22"/>
        </w:rPr>
        <w:t xml:space="preserve"> would be the case in a project constructing 10 or more residential dwellings</w:t>
      </w:r>
      <w:r w:rsidR="00AF0B23" w:rsidRPr="00927940">
        <w:rPr>
          <w:rFonts w:ascii="Arial" w:hAnsi="Arial" w:cs="Arial"/>
          <w:sz w:val="22"/>
          <w:szCs w:val="22"/>
        </w:rPr>
        <w:t>)</w:t>
      </w:r>
      <w:r w:rsidR="006A571A" w:rsidRPr="00927940">
        <w:rPr>
          <w:rFonts w:ascii="Arial" w:hAnsi="Arial" w:cs="Arial"/>
          <w:sz w:val="22"/>
          <w:szCs w:val="22"/>
        </w:rPr>
        <w:t>.</w:t>
      </w:r>
      <w:r w:rsidR="006A571A">
        <w:rPr>
          <w:rFonts w:ascii="Arial" w:hAnsi="Arial" w:cs="Arial"/>
          <w:sz w:val="22"/>
          <w:szCs w:val="22"/>
        </w:rPr>
        <w:t xml:space="preserve"> </w:t>
      </w:r>
    </w:p>
    <w:p w:rsidR="00D94FE2" w:rsidRDefault="00D94FE2" w:rsidP="00D51417">
      <w:pPr>
        <w:rPr>
          <w:rFonts w:ascii="Arial" w:hAnsi="Arial" w:cs="Arial"/>
          <w:sz w:val="22"/>
          <w:szCs w:val="22"/>
        </w:rPr>
      </w:pPr>
    </w:p>
    <w:p w:rsidR="005C2E4D" w:rsidRDefault="005C2E4D" w:rsidP="00DF09A0">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18DE81FD" wp14:editId="2B2D7AD6">
                <wp:extent cx="5743575" cy="533400"/>
                <wp:effectExtent l="0" t="0" r="28575" b="1905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3340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pPr>
                              <w:rPr>
                                <w:rFonts w:ascii="Arial" w:hAnsi="Arial" w:cs="Arial"/>
                                <w:sz w:val="22"/>
                                <w:szCs w:val="22"/>
                              </w:rPr>
                            </w:pPr>
                            <w:r w:rsidRPr="005C2E4D">
                              <w:rPr>
                                <w:rFonts w:ascii="Arial" w:hAnsi="Arial" w:cs="Arial"/>
                                <w:b/>
                                <w:sz w:val="22"/>
                                <w:szCs w:val="22"/>
                                <w:highlight w:val="lightGray"/>
                              </w:rPr>
                              <w:t>Recommendation 4</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For residential projects, the Scheme </w:t>
                            </w:r>
                            <w:r>
                              <w:rPr>
                                <w:rFonts w:ascii="Arial" w:hAnsi="Arial" w:cs="Arial"/>
                                <w:sz w:val="22"/>
                                <w:szCs w:val="22"/>
                              </w:rPr>
                              <w:t>only be applied</w:t>
                            </w:r>
                            <w:r w:rsidRPr="009406F8">
                              <w:rPr>
                                <w:rFonts w:ascii="Arial" w:hAnsi="Arial" w:cs="Arial"/>
                                <w:sz w:val="22"/>
                                <w:szCs w:val="22"/>
                              </w:rPr>
                              <w:t xml:space="preserve"> to projects comprising the construction</w:t>
                            </w:r>
                            <w:r>
                              <w:rPr>
                                <w:rFonts w:ascii="Arial" w:hAnsi="Arial" w:cs="Arial"/>
                                <w:sz w:val="22"/>
                                <w:szCs w:val="22"/>
                              </w:rPr>
                              <w:t xml:space="preserve"> of 10 or more single dwellings</w:t>
                            </w:r>
                            <w:r w:rsidRPr="009406F8">
                              <w:rPr>
                                <w:rFonts w:ascii="Arial" w:hAnsi="Arial" w:cs="Arial"/>
                                <w:sz w:val="22"/>
                                <w:szCs w:val="22"/>
                              </w:rPr>
                              <w:t>, regardless of contract value.</w:t>
                            </w:r>
                          </w:p>
                        </w:txbxContent>
                      </wps:txbx>
                      <wps:bodyPr rot="0" vert="horz" wrap="square" lIns="91440" tIns="45720" rIns="91440" bIns="45720" anchor="ctr" anchorCtr="0">
                        <a:noAutofit/>
                      </wps:bodyPr>
                    </wps:wsp>
                  </a:graphicData>
                </a:graphic>
              </wp:inline>
            </w:drawing>
          </mc:Choice>
          <mc:Fallback>
            <w:pict>
              <v:shape w14:anchorId="18DE81FD" id="_x0000_s1029" type="#_x0000_t202" style="width:452.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" fillcolor="#d8d8d8 [2732]">
                <v:textbox>
                  <w:txbxContent>
                    <w:p w:rsidR="00226B47" w:rsidRPr="005C2E4D" w:rsidRDefault="00226B47">
                      <w:pPr>
                        <w:rPr>
                          <w:rFonts w:ascii="Arial" w:hAnsi="Arial" w:cs="Arial"/>
                          <w:sz w:val="22"/>
                          <w:szCs w:val="22"/>
                        </w:rPr>
                      </w:pPr>
                      <w:r w:rsidRPr="005C2E4D">
                        <w:rPr>
                          <w:rFonts w:ascii="Arial" w:hAnsi="Arial" w:cs="Arial"/>
                          <w:b/>
                          <w:sz w:val="22"/>
                          <w:szCs w:val="22"/>
                          <w:highlight w:val="lightGray"/>
                        </w:rPr>
                        <w:t>Recommendation 4</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For residential projects, the Scheme </w:t>
                      </w:r>
                      <w:r>
                        <w:rPr>
                          <w:rFonts w:ascii="Arial" w:hAnsi="Arial" w:cs="Arial"/>
                          <w:sz w:val="22"/>
                          <w:szCs w:val="22"/>
                        </w:rPr>
                        <w:t>only be applied</w:t>
                      </w:r>
                      <w:r w:rsidRPr="009406F8">
                        <w:rPr>
                          <w:rFonts w:ascii="Arial" w:hAnsi="Arial" w:cs="Arial"/>
                          <w:sz w:val="22"/>
                          <w:szCs w:val="22"/>
                        </w:rPr>
                        <w:t xml:space="preserve"> to projects comprising the construction</w:t>
                      </w:r>
                      <w:r>
                        <w:rPr>
                          <w:rFonts w:ascii="Arial" w:hAnsi="Arial" w:cs="Arial"/>
                          <w:sz w:val="22"/>
                          <w:szCs w:val="22"/>
                        </w:rPr>
                        <w:t xml:space="preserve"> of 10 or more single dwellings</w:t>
                      </w:r>
                      <w:r w:rsidRPr="009406F8">
                        <w:rPr>
                          <w:rFonts w:ascii="Arial" w:hAnsi="Arial" w:cs="Arial"/>
                          <w:sz w:val="22"/>
                          <w:szCs w:val="22"/>
                        </w:rPr>
                        <w:t>, regardless of contract value.</w:t>
                      </w:r>
                    </w:p>
                  </w:txbxContent>
                </v:textbox>
                <w10:anchorlock/>
              </v:shape>
            </w:pict>
          </mc:Fallback>
        </mc:AlternateContent>
      </w:r>
    </w:p>
    <w:p w:rsidR="00D94FE2" w:rsidRDefault="00D94FE2" w:rsidP="00D51417">
      <w:pPr>
        <w:rPr>
          <w:rFonts w:ascii="Arial" w:hAnsi="Arial" w:cs="Arial"/>
          <w:sz w:val="22"/>
          <w:szCs w:val="22"/>
        </w:rPr>
      </w:pPr>
    </w:p>
    <w:p w:rsidR="00B07B41" w:rsidRPr="003B4116" w:rsidRDefault="00B07B41" w:rsidP="00D51417">
      <w:pPr>
        <w:rPr>
          <w:rFonts w:ascii="Arial" w:hAnsi="Arial" w:cs="Arial"/>
          <w:sz w:val="22"/>
          <w:szCs w:val="22"/>
        </w:rPr>
      </w:pPr>
    </w:p>
    <w:p w:rsidR="00BC3FA0" w:rsidRPr="005A3325" w:rsidRDefault="00BC3FA0" w:rsidP="00D51417">
      <w:pPr>
        <w:rPr>
          <w:rFonts w:ascii="Arial" w:hAnsi="Arial" w:cs="Arial"/>
          <w:b/>
          <w:sz w:val="22"/>
          <w:szCs w:val="22"/>
        </w:rPr>
      </w:pPr>
      <w:r w:rsidRPr="005A3325">
        <w:rPr>
          <w:rFonts w:ascii="Arial" w:hAnsi="Arial" w:cs="Arial"/>
          <w:b/>
          <w:sz w:val="22"/>
          <w:szCs w:val="22"/>
        </w:rPr>
        <w:t>Refurbishment of residential houses</w:t>
      </w:r>
    </w:p>
    <w:p w:rsidR="00BC3FA0" w:rsidRDefault="00BC3FA0" w:rsidP="00D51417">
      <w:pPr>
        <w:rPr>
          <w:rFonts w:ascii="Arial" w:hAnsi="Arial" w:cs="Arial"/>
          <w:sz w:val="22"/>
          <w:szCs w:val="22"/>
        </w:rPr>
      </w:pPr>
    </w:p>
    <w:p w:rsidR="00D51417" w:rsidRDefault="00D51417" w:rsidP="00D51417">
      <w:pPr>
        <w:rPr>
          <w:rFonts w:ascii="Arial" w:hAnsi="Arial" w:cs="Arial"/>
          <w:sz w:val="22"/>
          <w:szCs w:val="22"/>
        </w:rPr>
      </w:pPr>
      <w:r w:rsidRPr="003B4116">
        <w:rPr>
          <w:rFonts w:ascii="Arial" w:hAnsi="Arial" w:cs="Arial"/>
          <w:sz w:val="22"/>
          <w:szCs w:val="22"/>
        </w:rPr>
        <w:t xml:space="preserve">Scheme coverage of the refurbishment of existing dwellings is related to </w:t>
      </w:r>
      <w:r w:rsidR="00BC3FA0">
        <w:rPr>
          <w:rFonts w:ascii="Arial" w:hAnsi="Arial" w:cs="Arial"/>
          <w:sz w:val="22"/>
          <w:szCs w:val="22"/>
        </w:rPr>
        <w:t>the residential</w:t>
      </w:r>
      <w:r w:rsidR="00BC3FA0" w:rsidRPr="003B4116">
        <w:rPr>
          <w:rFonts w:ascii="Arial" w:hAnsi="Arial" w:cs="Arial"/>
          <w:sz w:val="22"/>
          <w:szCs w:val="22"/>
        </w:rPr>
        <w:t xml:space="preserve"> </w:t>
      </w:r>
      <w:r w:rsidRPr="003B4116">
        <w:rPr>
          <w:rFonts w:ascii="Arial" w:hAnsi="Arial" w:cs="Arial"/>
          <w:sz w:val="22"/>
          <w:szCs w:val="22"/>
        </w:rPr>
        <w:t>issue.</w:t>
      </w:r>
      <w:r w:rsidR="00D43E5E">
        <w:rPr>
          <w:rFonts w:ascii="Arial" w:hAnsi="Arial" w:cs="Arial"/>
          <w:sz w:val="22"/>
          <w:szCs w:val="22"/>
        </w:rPr>
        <w:t xml:space="preserve"> A number of AGARG agencies have taken the opportunity offered by the </w:t>
      </w:r>
      <w:r w:rsidR="00083EE0">
        <w:rPr>
          <w:rFonts w:ascii="Arial" w:hAnsi="Arial" w:cs="Arial"/>
          <w:sz w:val="22"/>
          <w:szCs w:val="22"/>
        </w:rPr>
        <w:t>R</w:t>
      </w:r>
      <w:r w:rsidR="00D43E5E">
        <w:rPr>
          <w:rFonts w:ascii="Arial" w:hAnsi="Arial" w:cs="Arial"/>
          <w:sz w:val="22"/>
          <w:szCs w:val="22"/>
        </w:rPr>
        <w:t>eview to query the inclusion of refurbishment of residential dwellings in the definition of building work, noting that in most projects of this nature, there is very little building or construction underway</w:t>
      </w:r>
      <w:r w:rsidR="00083EE0">
        <w:rPr>
          <w:rFonts w:ascii="Arial" w:hAnsi="Arial" w:cs="Arial"/>
          <w:sz w:val="22"/>
          <w:szCs w:val="22"/>
        </w:rPr>
        <w:t>.</w:t>
      </w:r>
      <w:r w:rsidR="00D43E5E">
        <w:rPr>
          <w:rFonts w:ascii="Arial" w:hAnsi="Arial" w:cs="Arial"/>
          <w:sz w:val="22"/>
          <w:szCs w:val="22"/>
        </w:rPr>
        <w:t xml:space="preserve"> </w:t>
      </w:r>
      <w:r w:rsidR="00083EE0">
        <w:rPr>
          <w:rFonts w:ascii="Arial" w:hAnsi="Arial" w:cs="Arial"/>
          <w:sz w:val="22"/>
          <w:szCs w:val="22"/>
        </w:rPr>
        <w:t>R</w:t>
      </w:r>
      <w:r w:rsidR="00D43E5E">
        <w:rPr>
          <w:rFonts w:ascii="Arial" w:hAnsi="Arial" w:cs="Arial"/>
          <w:sz w:val="22"/>
          <w:szCs w:val="22"/>
        </w:rPr>
        <w:t>ather</w:t>
      </w:r>
      <w:r w:rsidR="00083EE0">
        <w:rPr>
          <w:rFonts w:ascii="Arial" w:hAnsi="Arial" w:cs="Arial"/>
          <w:sz w:val="22"/>
          <w:szCs w:val="22"/>
        </w:rPr>
        <w:t>,</w:t>
      </w:r>
      <w:r w:rsidR="00D43E5E">
        <w:rPr>
          <w:rFonts w:ascii="Arial" w:hAnsi="Arial" w:cs="Arial"/>
          <w:sz w:val="22"/>
          <w:szCs w:val="22"/>
        </w:rPr>
        <w:t xml:space="preserve"> quite minor activities</w:t>
      </w:r>
      <w:r w:rsidR="00083EE0">
        <w:rPr>
          <w:rFonts w:ascii="Arial" w:hAnsi="Arial" w:cs="Arial"/>
          <w:sz w:val="22"/>
          <w:szCs w:val="22"/>
        </w:rPr>
        <w:t>,</w:t>
      </w:r>
      <w:r w:rsidR="00D43E5E">
        <w:rPr>
          <w:rFonts w:ascii="Arial" w:hAnsi="Arial" w:cs="Arial"/>
          <w:sz w:val="22"/>
          <w:szCs w:val="22"/>
        </w:rPr>
        <w:t xml:space="preserve"> such as painting and tiling</w:t>
      </w:r>
      <w:r w:rsidR="00083EE0">
        <w:rPr>
          <w:rFonts w:ascii="Arial" w:hAnsi="Arial" w:cs="Arial"/>
          <w:sz w:val="22"/>
          <w:szCs w:val="22"/>
        </w:rPr>
        <w:t>,</w:t>
      </w:r>
      <w:r w:rsidR="00D43E5E">
        <w:rPr>
          <w:rFonts w:ascii="Arial" w:hAnsi="Arial" w:cs="Arial"/>
          <w:sz w:val="22"/>
          <w:szCs w:val="22"/>
        </w:rPr>
        <w:t xml:space="preserve"> are more typical. These projects often fall under the Scheme as the contracts are awarded for a large number of individual dwellings or over an extended time period. These types of projects are usually undertaken by companies offering maintenance rather than building services</w:t>
      </w:r>
      <w:r w:rsidR="00543254">
        <w:rPr>
          <w:rFonts w:ascii="Arial" w:hAnsi="Arial" w:cs="Arial"/>
          <w:sz w:val="22"/>
          <w:szCs w:val="22"/>
        </w:rPr>
        <w:t>.</w:t>
      </w:r>
      <w:r w:rsidR="00D43E5E">
        <w:rPr>
          <w:rFonts w:ascii="Arial" w:hAnsi="Arial" w:cs="Arial"/>
          <w:sz w:val="22"/>
          <w:szCs w:val="22"/>
        </w:rPr>
        <w:t xml:space="preserve"> </w:t>
      </w:r>
      <w:r w:rsidR="00543254">
        <w:rPr>
          <w:rFonts w:ascii="Arial" w:hAnsi="Arial" w:cs="Arial"/>
          <w:sz w:val="22"/>
          <w:szCs w:val="22"/>
        </w:rPr>
        <w:t>T</w:t>
      </w:r>
      <w:r w:rsidR="00D43E5E">
        <w:rPr>
          <w:rFonts w:ascii="Arial" w:hAnsi="Arial" w:cs="Arial"/>
          <w:sz w:val="22"/>
          <w:szCs w:val="22"/>
        </w:rPr>
        <w:t>he experience of the OFSC has been that they can be extremely difficult to audit when working on smaller projects.</w:t>
      </w:r>
    </w:p>
    <w:p w:rsidR="00D43E5E" w:rsidRDefault="00D43E5E" w:rsidP="00D51417">
      <w:pPr>
        <w:rPr>
          <w:rFonts w:ascii="Arial" w:hAnsi="Arial" w:cs="Arial"/>
          <w:sz w:val="22"/>
          <w:szCs w:val="22"/>
        </w:rPr>
      </w:pPr>
    </w:p>
    <w:p w:rsidR="00D43E5E" w:rsidRDefault="00083EE0" w:rsidP="00D51417">
      <w:pPr>
        <w:rPr>
          <w:rFonts w:ascii="Arial" w:hAnsi="Arial" w:cs="Arial"/>
          <w:sz w:val="22"/>
          <w:szCs w:val="22"/>
        </w:rPr>
      </w:pPr>
      <w:r>
        <w:rPr>
          <w:rFonts w:ascii="Arial" w:hAnsi="Arial" w:cs="Arial"/>
          <w:sz w:val="22"/>
          <w:szCs w:val="22"/>
        </w:rPr>
        <w:t>However, t</w:t>
      </w:r>
      <w:r w:rsidR="00D43E5E">
        <w:rPr>
          <w:rFonts w:ascii="Arial" w:hAnsi="Arial" w:cs="Arial"/>
          <w:sz w:val="22"/>
          <w:szCs w:val="22"/>
        </w:rPr>
        <w:t>here are a number of larger refurbishment projects, such as office fit</w:t>
      </w:r>
      <w:r w:rsidR="006F4518">
        <w:rPr>
          <w:rFonts w:ascii="Arial" w:hAnsi="Arial" w:cs="Arial"/>
          <w:sz w:val="22"/>
          <w:szCs w:val="22"/>
        </w:rPr>
        <w:t>-</w:t>
      </w:r>
      <w:r w:rsidR="00D43E5E">
        <w:rPr>
          <w:rFonts w:ascii="Arial" w:hAnsi="Arial" w:cs="Arial"/>
          <w:sz w:val="22"/>
          <w:szCs w:val="22"/>
        </w:rPr>
        <w:t xml:space="preserve">outs and demolition of buildings that do not present the same difficulties and it was the view of AGARG that projects of this substance should be subject to Scheme requirements. </w:t>
      </w:r>
    </w:p>
    <w:p w:rsidR="00D43E5E" w:rsidRDefault="00D43E5E" w:rsidP="00D51417">
      <w:pPr>
        <w:rPr>
          <w:rFonts w:ascii="Arial" w:hAnsi="Arial" w:cs="Arial"/>
          <w:sz w:val="22"/>
          <w:szCs w:val="22"/>
        </w:rPr>
      </w:pPr>
    </w:p>
    <w:p w:rsidR="00D43E5E" w:rsidRPr="003B4116" w:rsidRDefault="00D43E5E" w:rsidP="00D51417">
      <w:pPr>
        <w:rPr>
          <w:rFonts w:ascii="Arial" w:hAnsi="Arial" w:cs="Arial"/>
          <w:color w:val="FF0000"/>
          <w:sz w:val="22"/>
          <w:szCs w:val="22"/>
        </w:rPr>
      </w:pPr>
      <w:r>
        <w:rPr>
          <w:rFonts w:ascii="Arial" w:hAnsi="Arial" w:cs="Arial"/>
          <w:sz w:val="22"/>
          <w:szCs w:val="22"/>
        </w:rPr>
        <w:t xml:space="preserve">Overall, it was the view of stakeholders that sufficient distinction can be made between refurbishment of single level residential dwellings </w:t>
      </w:r>
      <w:r w:rsidR="006F4518">
        <w:rPr>
          <w:rFonts w:ascii="Arial" w:hAnsi="Arial" w:cs="Arial"/>
          <w:sz w:val="22"/>
          <w:szCs w:val="22"/>
        </w:rPr>
        <w:t xml:space="preserve">and other refurbishment activities so as to be able to make the following recommendation. </w:t>
      </w:r>
    </w:p>
    <w:p w:rsidR="00A243BA" w:rsidRPr="003B4116" w:rsidRDefault="00A243BA" w:rsidP="00102336">
      <w:pPr>
        <w:rPr>
          <w:rFonts w:ascii="Arial" w:hAnsi="Arial" w:cs="Arial"/>
          <w:sz w:val="22"/>
          <w:szCs w:val="22"/>
        </w:rPr>
      </w:pPr>
    </w:p>
    <w:p w:rsidR="005C2E4D" w:rsidRDefault="005C2E4D" w:rsidP="006F4518">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0ACE38DD" wp14:editId="246836F3">
                <wp:extent cx="5743575" cy="742950"/>
                <wp:effectExtent l="0" t="0" r="28575" b="1905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4295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5C2E4D">
                            <w:pPr>
                              <w:rPr>
                                <w:rFonts w:ascii="Arial" w:hAnsi="Arial" w:cs="Arial"/>
                                <w:sz w:val="22"/>
                                <w:szCs w:val="22"/>
                                <w:highlight w:val="lightGray"/>
                              </w:rPr>
                            </w:pPr>
                            <w:r w:rsidRPr="005C2E4D">
                              <w:rPr>
                                <w:rFonts w:ascii="Arial" w:hAnsi="Arial" w:cs="Arial"/>
                                <w:b/>
                                <w:sz w:val="22"/>
                                <w:szCs w:val="22"/>
                                <w:highlight w:val="lightGray"/>
                              </w:rPr>
                              <w:t>Recommendation 5</w:t>
                            </w:r>
                            <w:r w:rsidRPr="005E46C2">
                              <w:rPr>
                                <w:rFonts w:ascii="Arial" w:hAnsi="Arial" w:cs="Arial"/>
                                <w:sz w:val="22"/>
                                <w:szCs w:val="22"/>
                                <w:highlight w:val="lightGray"/>
                              </w:rPr>
                              <w:t>:</w:t>
                            </w:r>
                            <w:r>
                              <w:rPr>
                                <w:rFonts w:ascii="Arial" w:hAnsi="Arial" w:cs="Arial"/>
                                <w:sz w:val="22"/>
                                <w:szCs w:val="22"/>
                              </w:rPr>
                              <w:t xml:space="preserve"> The Scheme </w:t>
                            </w:r>
                            <w:r w:rsidRPr="00753800">
                              <w:rPr>
                                <w:rFonts w:ascii="Arial" w:hAnsi="Arial" w:cs="Arial"/>
                                <w:sz w:val="22"/>
                                <w:szCs w:val="22"/>
                              </w:rPr>
                              <w:t xml:space="preserve">not </w:t>
                            </w:r>
                            <w:r>
                              <w:rPr>
                                <w:rFonts w:ascii="Arial" w:hAnsi="Arial" w:cs="Arial"/>
                                <w:sz w:val="22"/>
                                <w:szCs w:val="22"/>
                              </w:rPr>
                              <w:t xml:space="preserve">be applied </w:t>
                            </w:r>
                            <w:r w:rsidRPr="00753800">
                              <w:rPr>
                                <w:rFonts w:ascii="Arial" w:hAnsi="Arial" w:cs="Arial"/>
                                <w:sz w:val="22"/>
                                <w:szCs w:val="22"/>
                              </w:rPr>
                              <w:t xml:space="preserve">to the refurbishment of, nor extensions or alterations to, single dwellings regardless of the number of dwellings or the contract value (so long as they remain single dwellings). </w:t>
                            </w:r>
                          </w:p>
                        </w:txbxContent>
                      </wps:txbx>
                      <wps:bodyPr rot="0" vert="horz" wrap="square" lIns="91440" tIns="45720" rIns="91440" bIns="45720" anchor="ctr" anchorCtr="0">
                        <a:noAutofit/>
                      </wps:bodyPr>
                    </wps:wsp>
                  </a:graphicData>
                </a:graphic>
              </wp:inline>
            </w:drawing>
          </mc:Choice>
          <mc:Fallback>
            <w:pict>
              <v:shape w14:anchorId="0ACE38DD" id="_x0000_s1030" type="#_x0000_t202" style="width:452.25pt;height:5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" fillcolor="#d8d8d8 [2732]">
                <v:textbox>
                  <w:txbxContent>
                    <w:p w:rsidR="00226B47" w:rsidRPr="005C2E4D" w:rsidRDefault="00226B47" w:rsidP="005C2E4D">
                      <w:pPr>
                        <w:rPr>
                          <w:rFonts w:ascii="Arial" w:hAnsi="Arial" w:cs="Arial"/>
                          <w:sz w:val="22"/>
                          <w:szCs w:val="22"/>
                          <w:highlight w:val="lightGray"/>
                        </w:rPr>
                      </w:pPr>
                      <w:r w:rsidRPr="005C2E4D">
                        <w:rPr>
                          <w:rFonts w:ascii="Arial" w:hAnsi="Arial" w:cs="Arial"/>
                          <w:b/>
                          <w:sz w:val="22"/>
                          <w:szCs w:val="22"/>
                          <w:highlight w:val="lightGray"/>
                        </w:rPr>
                        <w:t>Recommendation 5</w:t>
                      </w:r>
                      <w:r w:rsidRPr="005E46C2">
                        <w:rPr>
                          <w:rFonts w:ascii="Arial" w:hAnsi="Arial" w:cs="Arial"/>
                          <w:sz w:val="22"/>
                          <w:szCs w:val="22"/>
                          <w:highlight w:val="lightGray"/>
                        </w:rPr>
                        <w:t>:</w:t>
                      </w:r>
                      <w:r>
                        <w:rPr>
                          <w:rFonts w:ascii="Arial" w:hAnsi="Arial" w:cs="Arial"/>
                          <w:sz w:val="22"/>
                          <w:szCs w:val="22"/>
                        </w:rPr>
                        <w:t xml:space="preserve"> The Scheme </w:t>
                      </w:r>
                      <w:r w:rsidRPr="00753800">
                        <w:rPr>
                          <w:rFonts w:ascii="Arial" w:hAnsi="Arial" w:cs="Arial"/>
                          <w:sz w:val="22"/>
                          <w:szCs w:val="22"/>
                        </w:rPr>
                        <w:t xml:space="preserve">not </w:t>
                      </w:r>
                      <w:r>
                        <w:rPr>
                          <w:rFonts w:ascii="Arial" w:hAnsi="Arial" w:cs="Arial"/>
                          <w:sz w:val="22"/>
                          <w:szCs w:val="22"/>
                        </w:rPr>
                        <w:t xml:space="preserve">be applied </w:t>
                      </w:r>
                      <w:r w:rsidRPr="00753800">
                        <w:rPr>
                          <w:rFonts w:ascii="Arial" w:hAnsi="Arial" w:cs="Arial"/>
                          <w:sz w:val="22"/>
                          <w:szCs w:val="22"/>
                        </w:rPr>
                        <w:t xml:space="preserve">to the refurbishment of, nor extensions or alterations to, single dwellings regardless of the number of dwellings or the contract value (so long as they remain single dwellings). </w:t>
                      </w:r>
                    </w:p>
                  </w:txbxContent>
                </v:textbox>
                <w10:anchorlock/>
              </v:shape>
            </w:pict>
          </mc:Fallback>
        </mc:AlternateContent>
      </w:r>
    </w:p>
    <w:p w:rsidR="000A6808" w:rsidRDefault="000A6808">
      <w:pPr>
        <w:rPr>
          <w:rFonts w:ascii="Arial" w:hAnsi="Arial" w:cs="Arial"/>
          <w:b/>
          <w:sz w:val="22"/>
          <w:szCs w:val="22"/>
        </w:rPr>
      </w:pPr>
      <w:bookmarkStart w:id="21" w:name="_Toc382816468"/>
      <w:bookmarkStart w:id="22" w:name="_Toc382816467"/>
    </w:p>
    <w:p w:rsidR="00B07B41" w:rsidRDefault="00B07B41">
      <w:pPr>
        <w:rPr>
          <w:rFonts w:ascii="Arial" w:hAnsi="Arial" w:cs="Arial"/>
          <w:b/>
          <w:sz w:val="22"/>
          <w:szCs w:val="22"/>
        </w:rPr>
      </w:pPr>
    </w:p>
    <w:p w:rsidR="00974DA9" w:rsidRPr="00FC27DD" w:rsidRDefault="000D18E2" w:rsidP="003005B9">
      <w:pPr>
        <w:pStyle w:val="Heading2"/>
        <w:rPr>
          <w:color w:val="FF0000"/>
        </w:rPr>
      </w:pPr>
      <w:bookmarkStart w:id="23" w:name="_Toc390429512"/>
      <w:r>
        <w:t>E</w:t>
      </w:r>
      <w:r w:rsidR="00974DA9" w:rsidRPr="007B5A3A">
        <w:t>xemptions</w:t>
      </w:r>
      <w:bookmarkEnd w:id="21"/>
      <w:bookmarkEnd w:id="23"/>
      <w:r w:rsidR="00974DA9">
        <w:t xml:space="preserve"> </w:t>
      </w:r>
    </w:p>
    <w:p w:rsidR="00974DA9" w:rsidRDefault="00974DA9" w:rsidP="00974DA9"/>
    <w:p w:rsidR="00974DA9" w:rsidRPr="00793E83" w:rsidRDefault="006D664A" w:rsidP="00793E83">
      <w:pPr>
        <w:rPr>
          <w:rFonts w:ascii="Arial" w:hAnsi="Arial" w:cs="Arial"/>
          <w:sz w:val="22"/>
          <w:szCs w:val="22"/>
        </w:rPr>
      </w:pPr>
      <w:r w:rsidRPr="00793E83">
        <w:rPr>
          <w:rFonts w:ascii="Arial" w:hAnsi="Arial" w:cs="Arial"/>
          <w:sz w:val="22"/>
          <w:szCs w:val="22"/>
        </w:rPr>
        <w:t>As discussed above, t</w:t>
      </w:r>
      <w:r w:rsidR="00974DA9" w:rsidRPr="00793E83">
        <w:rPr>
          <w:rFonts w:ascii="Arial" w:hAnsi="Arial" w:cs="Arial"/>
          <w:sz w:val="22"/>
          <w:szCs w:val="22"/>
        </w:rPr>
        <w:t>here is little support for any exemptions to the Scheme</w:t>
      </w:r>
      <w:r w:rsidR="004267CF">
        <w:rPr>
          <w:rFonts w:ascii="Arial" w:hAnsi="Arial" w:cs="Arial"/>
          <w:sz w:val="22"/>
          <w:szCs w:val="22"/>
        </w:rPr>
        <w:t xml:space="preserve">, </w:t>
      </w:r>
      <w:r w:rsidR="00974DA9" w:rsidRPr="00793E83">
        <w:rPr>
          <w:rFonts w:ascii="Arial" w:hAnsi="Arial" w:cs="Arial"/>
          <w:sz w:val="22"/>
          <w:szCs w:val="22"/>
        </w:rPr>
        <w:t>with almost all submissions supporting the current arrangements. The majority view of accredited companies, MBA and other</w:t>
      </w:r>
      <w:r w:rsidR="00951CDC">
        <w:rPr>
          <w:rFonts w:ascii="Arial" w:hAnsi="Arial" w:cs="Arial"/>
          <w:sz w:val="22"/>
          <w:szCs w:val="22"/>
        </w:rPr>
        <w:t xml:space="preserve"> industry association</w:t>
      </w:r>
      <w:r w:rsidR="00974DA9" w:rsidRPr="00793E83">
        <w:rPr>
          <w:rFonts w:ascii="Arial" w:hAnsi="Arial" w:cs="Arial"/>
          <w:sz w:val="22"/>
          <w:szCs w:val="22"/>
        </w:rPr>
        <w:t>s is to avoid downgrading Scheme requirements to the disadvantage of builders that have higher standards</w:t>
      </w:r>
      <w:r w:rsidR="00667C8F">
        <w:rPr>
          <w:rFonts w:ascii="Arial" w:hAnsi="Arial" w:cs="Arial"/>
          <w:sz w:val="22"/>
          <w:szCs w:val="22"/>
        </w:rPr>
        <w:t xml:space="preserve">. </w:t>
      </w:r>
      <w:r w:rsidR="00951CDC">
        <w:rPr>
          <w:rFonts w:ascii="Arial" w:hAnsi="Arial" w:cs="Arial"/>
          <w:sz w:val="22"/>
          <w:szCs w:val="22"/>
        </w:rPr>
        <w:t>They advocate</w:t>
      </w:r>
      <w:r w:rsidR="00974DA9" w:rsidRPr="00793E83">
        <w:rPr>
          <w:rFonts w:ascii="Arial" w:hAnsi="Arial" w:cs="Arial"/>
          <w:sz w:val="22"/>
          <w:szCs w:val="22"/>
        </w:rPr>
        <w:t xml:space="preserve"> instead </w:t>
      </w:r>
      <w:r w:rsidR="00951CDC">
        <w:rPr>
          <w:rFonts w:ascii="Arial" w:hAnsi="Arial" w:cs="Arial"/>
          <w:sz w:val="22"/>
          <w:szCs w:val="22"/>
        </w:rPr>
        <w:t xml:space="preserve">that the </w:t>
      </w:r>
      <w:r w:rsidR="00974DA9" w:rsidRPr="00793E83">
        <w:rPr>
          <w:rFonts w:ascii="Arial" w:hAnsi="Arial" w:cs="Arial"/>
          <w:sz w:val="22"/>
          <w:szCs w:val="22"/>
        </w:rPr>
        <w:t xml:space="preserve">focus </w:t>
      </w:r>
      <w:r w:rsidR="00951CDC">
        <w:rPr>
          <w:rFonts w:ascii="Arial" w:hAnsi="Arial" w:cs="Arial"/>
          <w:sz w:val="22"/>
          <w:szCs w:val="22"/>
        </w:rPr>
        <w:t xml:space="preserve">be </w:t>
      </w:r>
      <w:r w:rsidR="00974DA9" w:rsidRPr="00793E83">
        <w:rPr>
          <w:rFonts w:ascii="Arial" w:hAnsi="Arial" w:cs="Arial"/>
          <w:sz w:val="22"/>
          <w:szCs w:val="22"/>
        </w:rPr>
        <w:t xml:space="preserve">on increasing communications and guidance to assist companies </w:t>
      </w:r>
      <w:r w:rsidR="004267CF">
        <w:rPr>
          <w:rFonts w:ascii="Arial" w:hAnsi="Arial" w:cs="Arial"/>
          <w:sz w:val="22"/>
          <w:szCs w:val="22"/>
        </w:rPr>
        <w:t xml:space="preserve">to </w:t>
      </w:r>
      <w:r w:rsidR="006F4518" w:rsidRPr="00793E83">
        <w:rPr>
          <w:rFonts w:ascii="Arial" w:hAnsi="Arial" w:cs="Arial"/>
          <w:sz w:val="22"/>
          <w:szCs w:val="22"/>
        </w:rPr>
        <w:t>become</w:t>
      </w:r>
      <w:r w:rsidR="00974DA9" w:rsidRPr="00793E83">
        <w:rPr>
          <w:rFonts w:ascii="Arial" w:hAnsi="Arial" w:cs="Arial"/>
          <w:sz w:val="22"/>
          <w:szCs w:val="22"/>
        </w:rPr>
        <w:t xml:space="preserve"> accredited.</w:t>
      </w:r>
      <w:r w:rsidR="00EA3946" w:rsidRPr="00793E83">
        <w:rPr>
          <w:rFonts w:ascii="Arial" w:hAnsi="Arial" w:cs="Arial"/>
          <w:sz w:val="22"/>
          <w:szCs w:val="22"/>
        </w:rPr>
        <w:t xml:space="preserve"> </w:t>
      </w:r>
    </w:p>
    <w:p w:rsidR="00974DA9" w:rsidRPr="00793E83" w:rsidRDefault="00974DA9" w:rsidP="00793E83">
      <w:pPr>
        <w:rPr>
          <w:rFonts w:ascii="Arial" w:hAnsi="Arial" w:cs="Arial"/>
          <w:sz w:val="22"/>
          <w:szCs w:val="22"/>
        </w:rPr>
      </w:pPr>
    </w:p>
    <w:p w:rsidR="00974DA9" w:rsidRPr="00793E83" w:rsidRDefault="00974DA9" w:rsidP="00793E83">
      <w:pPr>
        <w:rPr>
          <w:rFonts w:ascii="Arial" w:hAnsi="Arial" w:cs="Arial"/>
          <w:sz w:val="22"/>
          <w:szCs w:val="22"/>
        </w:rPr>
      </w:pPr>
      <w:r w:rsidRPr="00793E83">
        <w:rPr>
          <w:rFonts w:ascii="Arial" w:hAnsi="Arial" w:cs="Arial"/>
          <w:sz w:val="22"/>
          <w:szCs w:val="22"/>
        </w:rPr>
        <w:t xml:space="preserve">Two clear exceptions to the support for the current arrangements are </w:t>
      </w:r>
      <w:r w:rsidR="00300A05">
        <w:rPr>
          <w:rFonts w:ascii="Arial" w:hAnsi="Arial" w:cs="Arial"/>
          <w:sz w:val="22"/>
          <w:szCs w:val="22"/>
        </w:rPr>
        <w:t xml:space="preserve">DHA </w:t>
      </w:r>
      <w:r w:rsidRPr="00793E83">
        <w:rPr>
          <w:rFonts w:ascii="Arial" w:hAnsi="Arial" w:cs="Arial"/>
          <w:sz w:val="22"/>
          <w:szCs w:val="22"/>
        </w:rPr>
        <w:t>and</w:t>
      </w:r>
      <w:r w:rsidR="004E1FB5">
        <w:rPr>
          <w:rFonts w:ascii="Arial" w:hAnsi="Arial" w:cs="Arial"/>
          <w:sz w:val="22"/>
          <w:szCs w:val="22"/>
        </w:rPr>
        <w:t xml:space="preserve"> </w:t>
      </w:r>
      <w:r w:rsidR="00300A05">
        <w:rPr>
          <w:rFonts w:ascii="Arial" w:hAnsi="Arial" w:cs="Arial"/>
          <w:sz w:val="22"/>
          <w:szCs w:val="22"/>
        </w:rPr>
        <w:t>CCF</w:t>
      </w:r>
      <w:r w:rsidRPr="00793E83">
        <w:rPr>
          <w:rFonts w:ascii="Arial" w:hAnsi="Arial" w:cs="Arial"/>
          <w:sz w:val="22"/>
          <w:szCs w:val="22"/>
        </w:rPr>
        <w:t xml:space="preserve">. DHA’s submission </w:t>
      </w:r>
      <w:r w:rsidR="004267CF" w:rsidRPr="00793E83">
        <w:rPr>
          <w:rFonts w:ascii="Arial" w:hAnsi="Arial" w:cs="Arial"/>
          <w:sz w:val="22"/>
          <w:szCs w:val="22"/>
        </w:rPr>
        <w:t>focuse</w:t>
      </w:r>
      <w:r w:rsidR="00BC3FA0">
        <w:rPr>
          <w:rFonts w:ascii="Arial" w:hAnsi="Arial" w:cs="Arial"/>
          <w:sz w:val="22"/>
          <w:szCs w:val="22"/>
        </w:rPr>
        <w:t>d</w:t>
      </w:r>
      <w:r w:rsidRPr="00793E83">
        <w:rPr>
          <w:rFonts w:ascii="Arial" w:hAnsi="Arial" w:cs="Arial"/>
          <w:sz w:val="22"/>
          <w:szCs w:val="22"/>
        </w:rPr>
        <w:t xml:space="preserve"> on </w:t>
      </w:r>
      <w:r w:rsidR="004267CF">
        <w:rPr>
          <w:rFonts w:ascii="Arial" w:hAnsi="Arial" w:cs="Arial"/>
          <w:sz w:val="22"/>
          <w:szCs w:val="22"/>
        </w:rPr>
        <w:t>i</w:t>
      </w:r>
      <w:r w:rsidRPr="00793E83">
        <w:rPr>
          <w:rFonts w:ascii="Arial" w:hAnsi="Arial" w:cs="Arial"/>
          <w:sz w:val="22"/>
          <w:szCs w:val="22"/>
        </w:rPr>
        <w:t>t</w:t>
      </w:r>
      <w:r w:rsidR="004267CF">
        <w:rPr>
          <w:rFonts w:ascii="Arial" w:hAnsi="Arial" w:cs="Arial"/>
          <w:sz w:val="22"/>
          <w:szCs w:val="22"/>
        </w:rPr>
        <w:t>s</w:t>
      </w:r>
      <w:r w:rsidR="00BC3FA0">
        <w:rPr>
          <w:rFonts w:ascii="Arial" w:hAnsi="Arial" w:cs="Arial"/>
          <w:sz w:val="22"/>
          <w:szCs w:val="22"/>
        </w:rPr>
        <w:t xml:space="preserve"> </w:t>
      </w:r>
      <w:r w:rsidRPr="00793E83">
        <w:rPr>
          <w:rFonts w:ascii="Arial" w:hAnsi="Arial" w:cs="Arial"/>
          <w:sz w:val="22"/>
          <w:szCs w:val="22"/>
        </w:rPr>
        <w:t xml:space="preserve">claims that </w:t>
      </w:r>
      <w:r w:rsidR="004267CF">
        <w:rPr>
          <w:rFonts w:ascii="Arial" w:hAnsi="Arial" w:cs="Arial"/>
          <w:sz w:val="22"/>
          <w:szCs w:val="22"/>
        </w:rPr>
        <w:t>i</w:t>
      </w:r>
      <w:r w:rsidRPr="00793E83">
        <w:rPr>
          <w:rFonts w:ascii="Arial" w:hAnsi="Arial" w:cs="Arial"/>
          <w:sz w:val="22"/>
          <w:szCs w:val="22"/>
        </w:rPr>
        <w:t xml:space="preserve">t </w:t>
      </w:r>
      <w:r w:rsidR="004267CF">
        <w:rPr>
          <w:rFonts w:ascii="Arial" w:hAnsi="Arial" w:cs="Arial"/>
          <w:sz w:val="22"/>
          <w:szCs w:val="22"/>
        </w:rPr>
        <w:t>is</w:t>
      </w:r>
      <w:r w:rsidRPr="00793E83">
        <w:rPr>
          <w:rFonts w:ascii="Arial" w:hAnsi="Arial" w:cs="Arial"/>
          <w:sz w:val="22"/>
          <w:szCs w:val="22"/>
        </w:rPr>
        <w:t xml:space="preserve"> unable to provide value for money to the Government by using accredited builders and is seeking an exemption for residential work – this view is supported by </w:t>
      </w:r>
      <w:r w:rsidR="00BC3FA0">
        <w:rPr>
          <w:rFonts w:ascii="Arial" w:hAnsi="Arial" w:cs="Arial"/>
          <w:sz w:val="22"/>
          <w:szCs w:val="22"/>
        </w:rPr>
        <w:t>HIA</w:t>
      </w:r>
      <w:r w:rsidRPr="00793E83">
        <w:rPr>
          <w:rFonts w:ascii="Arial" w:hAnsi="Arial" w:cs="Arial"/>
          <w:sz w:val="22"/>
          <w:szCs w:val="22"/>
        </w:rPr>
        <w:t>. CCF is seeking exemptions for emergency rehabilitation works</w:t>
      </w:r>
      <w:r w:rsidRPr="00793E83">
        <w:rPr>
          <w:rFonts w:ascii="Arial" w:hAnsi="Arial" w:cs="Arial"/>
          <w:color w:val="FF0000"/>
          <w:sz w:val="22"/>
          <w:szCs w:val="22"/>
        </w:rPr>
        <w:t xml:space="preserve"> </w:t>
      </w:r>
      <w:r w:rsidRPr="00793E83">
        <w:rPr>
          <w:rFonts w:ascii="Arial" w:hAnsi="Arial" w:cs="Arial"/>
          <w:sz w:val="22"/>
          <w:szCs w:val="22"/>
        </w:rPr>
        <w:t>and low</w:t>
      </w:r>
      <w:r w:rsidR="00B164E4">
        <w:rPr>
          <w:rFonts w:ascii="Arial" w:hAnsi="Arial" w:cs="Arial"/>
          <w:sz w:val="22"/>
          <w:szCs w:val="22"/>
        </w:rPr>
        <w:t xml:space="preserve"> </w:t>
      </w:r>
      <w:r w:rsidRPr="00793E83">
        <w:rPr>
          <w:rFonts w:ascii="Arial" w:hAnsi="Arial" w:cs="Arial"/>
          <w:sz w:val="22"/>
          <w:szCs w:val="22"/>
        </w:rPr>
        <w:t>risk</w:t>
      </w:r>
      <w:r w:rsidR="00351C43">
        <w:rPr>
          <w:rFonts w:ascii="Arial" w:hAnsi="Arial" w:cs="Arial"/>
          <w:sz w:val="22"/>
          <w:szCs w:val="22"/>
        </w:rPr>
        <w:t xml:space="preserve">, </w:t>
      </w:r>
      <w:r w:rsidRPr="00793E83">
        <w:rPr>
          <w:rFonts w:ascii="Arial" w:hAnsi="Arial" w:cs="Arial"/>
          <w:sz w:val="22"/>
          <w:szCs w:val="22"/>
        </w:rPr>
        <w:t>remote</w:t>
      </w:r>
      <w:r w:rsidR="00351C43">
        <w:rPr>
          <w:rFonts w:ascii="Arial" w:hAnsi="Arial" w:cs="Arial"/>
          <w:sz w:val="22"/>
          <w:szCs w:val="22"/>
        </w:rPr>
        <w:t xml:space="preserve"> </w:t>
      </w:r>
      <w:r w:rsidRPr="00793E83">
        <w:rPr>
          <w:rFonts w:ascii="Arial" w:hAnsi="Arial" w:cs="Arial"/>
          <w:sz w:val="22"/>
          <w:szCs w:val="22"/>
        </w:rPr>
        <w:t>location projects.</w:t>
      </w:r>
    </w:p>
    <w:p w:rsidR="00974DA9" w:rsidRPr="00793E83" w:rsidRDefault="00974DA9" w:rsidP="00793E83">
      <w:pPr>
        <w:rPr>
          <w:rFonts w:ascii="Arial" w:hAnsi="Arial" w:cs="Arial"/>
          <w:sz w:val="22"/>
          <w:szCs w:val="22"/>
        </w:rPr>
      </w:pPr>
    </w:p>
    <w:p w:rsidR="00AF0B23" w:rsidRDefault="00AF0B23">
      <w:pPr>
        <w:rPr>
          <w:rFonts w:ascii="Arial" w:hAnsi="Arial" w:cs="Arial"/>
          <w:sz w:val="22"/>
          <w:szCs w:val="22"/>
        </w:rPr>
      </w:pPr>
      <w:r>
        <w:rPr>
          <w:rFonts w:ascii="Arial" w:hAnsi="Arial" w:cs="Arial"/>
          <w:sz w:val="22"/>
          <w:szCs w:val="22"/>
        </w:rPr>
        <w:br w:type="page"/>
      </w:r>
    </w:p>
    <w:p w:rsidR="00CF6E76" w:rsidRDefault="003F07FD" w:rsidP="00793E83">
      <w:pPr>
        <w:rPr>
          <w:rFonts w:ascii="Arial" w:hAnsi="Arial" w:cs="Arial"/>
          <w:sz w:val="22"/>
          <w:szCs w:val="22"/>
        </w:rPr>
      </w:pPr>
      <w:r>
        <w:rPr>
          <w:rFonts w:ascii="Arial" w:hAnsi="Arial" w:cs="Arial"/>
          <w:sz w:val="22"/>
          <w:szCs w:val="22"/>
        </w:rPr>
        <w:t>There is</w:t>
      </w:r>
      <w:r w:rsidR="00A47B20" w:rsidRPr="00793E83">
        <w:rPr>
          <w:rFonts w:ascii="Arial" w:hAnsi="Arial" w:cs="Arial"/>
          <w:sz w:val="22"/>
          <w:szCs w:val="22"/>
        </w:rPr>
        <w:t xml:space="preserve"> no evidence that residential construction is inherently safer than other forms of construction and therefore less in need of the Scheme. </w:t>
      </w:r>
      <w:r>
        <w:rPr>
          <w:rFonts w:ascii="Arial" w:hAnsi="Arial" w:cs="Arial"/>
          <w:sz w:val="22"/>
          <w:szCs w:val="22"/>
        </w:rPr>
        <w:t>Indeed, some states and territories</w:t>
      </w:r>
      <w:r w:rsidR="004267CF">
        <w:rPr>
          <w:rFonts w:ascii="Arial" w:hAnsi="Arial" w:cs="Arial"/>
          <w:sz w:val="22"/>
          <w:szCs w:val="22"/>
        </w:rPr>
        <w:t>, for example</w:t>
      </w:r>
      <w:r>
        <w:rPr>
          <w:rFonts w:ascii="Arial" w:hAnsi="Arial" w:cs="Arial"/>
          <w:sz w:val="22"/>
          <w:szCs w:val="22"/>
        </w:rPr>
        <w:t xml:space="preserve"> NSW and the ACT</w:t>
      </w:r>
      <w:r w:rsidR="004267CF">
        <w:rPr>
          <w:rFonts w:ascii="Arial" w:hAnsi="Arial" w:cs="Arial"/>
          <w:sz w:val="22"/>
          <w:szCs w:val="22"/>
        </w:rPr>
        <w:t>,</w:t>
      </w:r>
      <w:r>
        <w:rPr>
          <w:rFonts w:ascii="Arial" w:hAnsi="Arial" w:cs="Arial"/>
          <w:sz w:val="22"/>
          <w:szCs w:val="22"/>
        </w:rPr>
        <w:t xml:space="preserve"> have identified safety concerns in the residential sector as a priority</w:t>
      </w:r>
      <w:r w:rsidR="00AF0B23">
        <w:rPr>
          <w:rFonts w:ascii="Arial" w:hAnsi="Arial" w:cs="Arial"/>
          <w:sz w:val="22"/>
          <w:szCs w:val="22"/>
        </w:rPr>
        <w:t>,</w:t>
      </w:r>
      <w:r>
        <w:rPr>
          <w:rFonts w:ascii="Arial" w:hAnsi="Arial" w:cs="Arial"/>
          <w:sz w:val="22"/>
          <w:szCs w:val="22"/>
        </w:rPr>
        <w:t xml:space="preserve"> </w:t>
      </w:r>
      <w:r w:rsidR="008D6649" w:rsidRPr="00CF6E76">
        <w:rPr>
          <w:rFonts w:ascii="Arial" w:hAnsi="Arial" w:cs="Arial"/>
          <w:sz w:val="22"/>
          <w:szCs w:val="22"/>
        </w:rPr>
        <w:t>with Work</w:t>
      </w:r>
      <w:r w:rsidR="00CF6E76">
        <w:rPr>
          <w:rFonts w:ascii="Arial" w:hAnsi="Arial" w:cs="Arial"/>
          <w:sz w:val="22"/>
          <w:szCs w:val="22"/>
        </w:rPr>
        <w:t>C</w:t>
      </w:r>
      <w:r w:rsidR="008D6649" w:rsidRPr="00CF6E76">
        <w:rPr>
          <w:rFonts w:ascii="Arial" w:hAnsi="Arial" w:cs="Arial"/>
          <w:sz w:val="22"/>
          <w:szCs w:val="22"/>
        </w:rPr>
        <w:t>over NSW suggesting in February 2014</w:t>
      </w:r>
      <w:r w:rsidR="00CF6E76">
        <w:rPr>
          <w:rFonts w:ascii="Arial" w:hAnsi="Arial" w:cs="Arial"/>
          <w:sz w:val="22"/>
          <w:szCs w:val="22"/>
        </w:rPr>
        <w:t>,</w:t>
      </w:r>
      <w:r w:rsidR="008D6649" w:rsidRPr="00CF6E76">
        <w:rPr>
          <w:rFonts w:ascii="Arial" w:hAnsi="Arial" w:cs="Arial"/>
          <w:sz w:val="22"/>
          <w:szCs w:val="22"/>
        </w:rPr>
        <w:t xml:space="preserve"> that </w:t>
      </w:r>
    </w:p>
    <w:p w:rsidR="00CF6E76" w:rsidRDefault="00CF6E76" w:rsidP="00793E83">
      <w:pPr>
        <w:rPr>
          <w:rFonts w:ascii="Arial" w:hAnsi="Arial" w:cs="Arial"/>
          <w:sz w:val="22"/>
          <w:szCs w:val="22"/>
        </w:rPr>
      </w:pPr>
    </w:p>
    <w:p w:rsidR="00CF6E76" w:rsidRPr="00CF6E76" w:rsidRDefault="008D6649" w:rsidP="00CF6E76">
      <w:pPr>
        <w:ind w:left="567"/>
        <w:rPr>
          <w:rFonts w:ascii="Arial" w:hAnsi="Arial" w:cs="Arial"/>
          <w:i/>
          <w:sz w:val="22"/>
          <w:szCs w:val="22"/>
        </w:rPr>
      </w:pPr>
      <w:r w:rsidRPr="00CF6E76">
        <w:rPr>
          <w:rFonts w:ascii="Arial" w:hAnsi="Arial" w:cs="Arial"/>
          <w:i/>
          <w:sz w:val="22"/>
          <w:szCs w:val="22"/>
        </w:rPr>
        <w:t>“WorkCover data shows that the industry, which is involved in the construction of one and two story residential housing, has more than double</w:t>
      </w:r>
      <w:r w:rsidR="00CF6E76">
        <w:rPr>
          <w:rFonts w:ascii="Arial" w:hAnsi="Arial" w:cs="Arial"/>
          <w:i/>
          <w:sz w:val="22"/>
          <w:szCs w:val="22"/>
        </w:rPr>
        <w:t>d</w:t>
      </w:r>
      <w:r w:rsidRPr="00CF6E76">
        <w:rPr>
          <w:rFonts w:ascii="Arial" w:hAnsi="Arial" w:cs="Arial"/>
          <w:i/>
          <w:sz w:val="22"/>
          <w:szCs w:val="22"/>
        </w:rPr>
        <w:t xml:space="preserve"> the amount of workers compensation claims for permanent disability than any other industry.”</w:t>
      </w:r>
    </w:p>
    <w:p w:rsidR="00CF6E76" w:rsidRDefault="00CF6E76" w:rsidP="00793E83">
      <w:pPr>
        <w:rPr>
          <w:rFonts w:ascii="Arial" w:hAnsi="Arial" w:cs="Arial"/>
          <w:sz w:val="22"/>
          <w:szCs w:val="22"/>
        </w:rPr>
      </w:pPr>
    </w:p>
    <w:p w:rsidR="003F07FD" w:rsidRDefault="003F07FD" w:rsidP="00793E83">
      <w:pPr>
        <w:rPr>
          <w:rFonts w:ascii="Arial" w:hAnsi="Arial" w:cs="Arial"/>
          <w:sz w:val="22"/>
          <w:szCs w:val="22"/>
        </w:rPr>
      </w:pPr>
      <w:r>
        <w:rPr>
          <w:rFonts w:ascii="Arial" w:hAnsi="Arial" w:cs="Arial"/>
          <w:sz w:val="22"/>
          <w:szCs w:val="22"/>
        </w:rPr>
        <w:t xml:space="preserve">It could therefore send </w:t>
      </w:r>
      <w:r w:rsidR="004267CF">
        <w:rPr>
          <w:rFonts w:ascii="Arial" w:hAnsi="Arial" w:cs="Arial"/>
          <w:sz w:val="22"/>
          <w:szCs w:val="22"/>
        </w:rPr>
        <w:t xml:space="preserve">potentially </w:t>
      </w:r>
      <w:r>
        <w:rPr>
          <w:rFonts w:ascii="Arial" w:hAnsi="Arial" w:cs="Arial"/>
          <w:sz w:val="22"/>
          <w:szCs w:val="22"/>
        </w:rPr>
        <w:t xml:space="preserve">the wrong signals were the residential sector to be exempted. </w:t>
      </w:r>
      <w:r w:rsidR="004777A4" w:rsidRPr="004777A4">
        <w:rPr>
          <w:rFonts w:ascii="Arial" w:hAnsi="Arial" w:cs="Arial"/>
          <w:sz w:val="22"/>
          <w:szCs w:val="22"/>
        </w:rPr>
        <w:t xml:space="preserve">It </w:t>
      </w:r>
      <w:r w:rsidR="004777A4">
        <w:rPr>
          <w:rFonts w:ascii="Arial" w:hAnsi="Arial" w:cs="Arial"/>
          <w:sz w:val="22"/>
          <w:szCs w:val="22"/>
        </w:rPr>
        <w:t xml:space="preserve">would </w:t>
      </w:r>
      <w:r w:rsidR="004777A4" w:rsidRPr="004777A4">
        <w:rPr>
          <w:rFonts w:ascii="Arial" w:hAnsi="Arial" w:cs="Arial"/>
          <w:sz w:val="22"/>
          <w:szCs w:val="22"/>
        </w:rPr>
        <w:t>also be inequitable for currently accredited residential builders</w:t>
      </w:r>
      <w:r w:rsidR="004777A4">
        <w:rPr>
          <w:rFonts w:ascii="Arial" w:hAnsi="Arial" w:cs="Arial"/>
          <w:sz w:val="22"/>
          <w:szCs w:val="22"/>
        </w:rPr>
        <w:t>.</w:t>
      </w:r>
    </w:p>
    <w:p w:rsidR="004777A4" w:rsidRDefault="004777A4" w:rsidP="00793E83">
      <w:pPr>
        <w:rPr>
          <w:rFonts w:ascii="Arial" w:hAnsi="Arial" w:cs="Arial"/>
          <w:sz w:val="22"/>
          <w:szCs w:val="22"/>
        </w:rPr>
      </w:pPr>
    </w:p>
    <w:p w:rsidR="00D64C97" w:rsidRDefault="004777A4" w:rsidP="004777A4">
      <w:pPr>
        <w:rPr>
          <w:rFonts w:ascii="Arial" w:hAnsi="Arial" w:cs="Arial"/>
          <w:sz w:val="22"/>
          <w:szCs w:val="22"/>
        </w:rPr>
      </w:pPr>
      <w:r>
        <w:rPr>
          <w:rFonts w:ascii="Arial" w:hAnsi="Arial" w:cs="Arial"/>
          <w:sz w:val="22"/>
          <w:szCs w:val="22"/>
        </w:rPr>
        <w:t xml:space="preserve">An alternative view is that while </w:t>
      </w:r>
      <w:r w:rsidRPr="004777A4">
        <w:rPr>
          <w:rFonts w:ascii="Arial" w:hAnsi="Arial" w:cs="Arial"/>
          <w:sz w:val="22"/>
          <w:szCs w:val="22"/>
        </w:rPr>
        <w:t xml:space="preserve">there are safety </w:t>
      </w:r>
      <w:r w:rsidR="00545592">
        <w:rPr>
          <w:rFonts w:ascii="Arial" w:hAnsi="Arial" w:cs="Arial"/>
          <w:sz w:val="22"/>
          <w:szCs w:val="22"/>
        </w:rPr>
        <w:t>issues</w:t>
      </w:r>
      <w:r w:rsidR="00545592" w:rsidRPr="004777A4">
        <w:rPr>
          <w:rFonts w:ascii="Arial" w:hAnsi="Arial" w:cs="Arial"/>
          <w:sz w:val="22"/>
          <w:szCs w:val="22"/>
        </w:rPr>
        <w:t xml:space="preserve"> </w:t>
      </w:r>
      <w:r w:rsidRPr="004777A4">
        <w:rPr>
          <w:rFonts w:ascii="Arial" w:hAnsi="Arial" w:cs="Arial"/>
          <w:sz w:val="22"/>
          <w:szCs w:val="22"/>
        </w:rPr>
        <w:t>in th</w:t>
      </w:r>
      <w:r w:rsidR="004267CF">
        <w:rPr>
          <w:rFonts w:ascii="Arial" w:hAnsi="Arial" w:cs="Arial"/>
          <w:sz w:val="22"/>
          <w:szCs w:val="22"/>
        </w:rPr>
        <w:t>e residential building</w:t>
      </w:r>
      <w:r w:rsidRPr="004777A4">
        <w:rPr>
          <w:rFonts w:ascii="Arial" w:hAnsi="Arial" w:cs="Arial"/>
          <w:sz w:val="22"/>
          <w:szCs w:val="22"/>
        </w:rPr>
        <w:t xml:space="preserve"> sector, the Scheme is arguably not the best tool to address those problems</w:t>
      </w:r>
      <w:r>
        <w:rPr>
          <w:rFonts w:ascii="Arial" w:hAnsi="Arial" w:cs="Arial"/>
          <w:sz w:val="22"/>
          <w:szCs w:val="22"/>
        </w:rPr>
        <w:t xml:space="preserve">. </w:t>
      </w:r>
      <w:r w:rsidR="00545592">
        <w:rPr>
          <w:rFonts w:ascii="Arial" w:hAnsi="Arial" w:cs="Arial"/>
          <w:sz w:val="22"/>
          <w:szCs w:val="22"/>
        </w:rPr>
        <w:t xml:space="preserve">The </w:t>
      </w:r>
      <w:r w:rsidR="00CC7C8F">
        <w:rPr>
          <w:rFonts w:ascii="Arial" w:hAnsi="Arial" w:cs="Arial"/>
          <w:sz w:val="22"/>
          <w:szCs w:val="22"/>
        </w:rPr>
        <w:t>Government</w:t>
      </w:r>
      <w:r w:rsidR="00545592">
        <w:rPr>
          <w:rFonts w:ascii="Arial" w:hAnsi="Arial" w:cs="Arial"/>
          <w:sz w:val="22"/>
          <w:szCs w:val="22"/>
        </w:rPr>
        <w:t xml:space="preserve"> has little involvement and therefore limited influence as a funder of residential works. As such, i</w:t>
      </w:r>
      <w:r>
        <w:rPr>
          <w:rFonts w:ascii="Arial" w:hAnsi="Arial" w:cs="Arial"/>
          <w:sz w:val="22"/>
          <w:szCs w:val="22"/>
        </w:rPr>
        <w:t xml:space="preserve">t </w:t>
      </w:r>
      <w:r w:rsidRPr="004777A4">
        <w:rPr>
          <w:rFonts w:ascii="Arial" w:hAnsi="Arial" w:cs="Arial"/>
          <w:sz w:val="22"/>
          <w:szCs w:val="22"/>
        </w:rPr>
        <w:t xml:space="preserve">may be that minimum legislative standards need to be pursued more actively by state and territory regulators, rather than expecting domestic house builders to implement the best practice systems required under the Scheme. </w:t>
      </w:r>
    </w:p>
    <w:p w:rsidR="00D64C97" w:rsidRDefault="00D64C97" w:rsidP="004777A4">
      <w:pPr>
        <w:rPr>
          <w:rFonts w:ascii="Arial" w:hAnsi="Arial" w:cs="Arial"/>
          <w:sz w:val="22"/>
          <w:szCs w:val="22"/>
        </w:rPr>
      </w:pPr>
    </w:p>
    <w:p w:rsidR="004777A4" w:rsidRPr="00B04A57" w:rsidRDefault="004777A4" w:rsidP="004777A4">
      <w:pPr>
        <w:rPr>
          <w:rFonts w:ascii="Arial" w:hAnsi="Arial" w:cs="Arial"/>
          <w:i/>
        </w:rPr>
      </w:pPr>
      <w:r>
        <w:rPr>
          <w:rFonts w:ascii="Arial" w:hAnsi="Arial" w:cs="Arial"/>
          <w:sz w:val="22"/>
          <w:szCs w:val="22"/>
        </w:rPr>
        <w:t xml:space="preserve">On balance, </w:t>
      </w:r>
      <w:r w:rsidR="00712BEA">
        <w:rPr>
          <w:rFonts w:ascii="Arial" w:hAnsi="Arial" w:cs="Arial"/>
          <w:sz w:val="22"/>
          <w:szCs w:val="22"/>
        </w:rPr>
        <w:t>it is suggested that varying both the financial and residential dwelling thresholds, rather than exempting any particular sector</w:t>
      </w:r>
      <w:r w:rsidR="00AF0B23">
        <w:rPr>
          <w:rFonts w:ascii="Arial" w:hAnsi="Arial" w:cs="Arial"/>
          <w:sz w:val="22"/>
          <w:szCs w:val="22"/>
        </w:rPr>
        <w:t>s</w:t>
      </w:r>
      <w:r w:rsidR="00712BEA">
        <w:rPr>
          <w:rFonts w:ascii="Arial" w:hAnsi="Arial" w:cs="Arial"/>
          <w:sz w:val="22"/>
          <w:szCs w:val="22"/>
        </w:rPr>
        <w:t xml:space="preserve">, regions, projects or agencies, is the more prudent approach and maintains </w:t>
      </w:r>
      <w:r w:rsidR="004267CF">
        <w:rPr>
          <w:rFonts w:ascii="Arial" w:hAnsi="Arial" w:cs="Arial"/>
          <w:sz w:val="22"/>
          <w:szCs w:val="22"/>
        </w:rPr>
        <w:t xml:space="preserve">both </w:t>
      </w:r>
      <w:r w:rsidR="00712BEA">
        <w:rPr>
          <w:rFonts w:ascii="Arial" w:hAnsi="Arial" w:cs="Arial"/>
          <w:sz w:val="22"/>
          <w:szCs w:val="22"/>
        </w:rPr>
        <w:t>the integrity of the Scheme and equity for accredited residential builders</w:t>
      </w:r>
      <w:r w:rsidR="00AF0B23">
        <w:rPr>
          <w:rFonts w:ascii="Arial" w:hAnsi="Arial" w:cs="Arial"/>
          <w:sz w:val="22"/>
          <w:szCs w:val="22"/>
        </w:rPr>
        <w:t>, while going some way to addressing competing policy objectives in this area.</w:t>
      </w:r>
    </w:p>
    <w:p w:rsidR="00974DA9" w:rsidRDefault="00974DA9" w:rsidP="00793E83">
      <w:pPr>
        <w:rPr>
          <w:highlight w:val="cyan"/>
        </w:rPr>
      </w:pPr>
    </w:p>
    <w:p w:rsidR="008A374E" w:rsidRDefault="005C2E4D" w:rsidP="00E26382">
      <w:pPr>
        <w:rPr>
          <w:u w:val="single"/>
        </w:rPr>
      </w:pPr>
      <w:r w:rsidRPr="005C2E4D">
        <w:rPr>
          <w:noProof/>
        </w:rPr>
        <mc:AlternateContent>
          <mc:Choice Requires="wps">
            <w:drawing>
              <wp:inline distT="0" distB="0" distL="0" distR="0" wp14:anchorId="4D10D8C0" wp14:editId="1A581ABD">
                <wp:extent cx="5743575" cy="533400"/>
                <wp:effectExtent l="0" t="0" r="28575" b="1905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3340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5C2E4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6</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Scheme continue</w:t>
                            </w:r>
                            <w:r>
                              <w:rPr>
                                <w:rFonts w:ascii="Arial" w:hAnsi="Arial" w:cs="Arial"/>
                                <w:sz w:val="22"/>
                                <w:szCs w:val="22"/>
                              </w:rPr>
                              <w:t>s</w:t>
                            </w:r>
                            <w:r w:rsidRPr="009406F8">
                              <w:rPr>
                                <w:rFonts w:ascii="Arial" w:hAnsi="Arial" w:cs="Arial"/>
                                <w:sz w:val="22"/>
                                <w:szCs w:val="22"/>
                              </w:rPr>
                              <w:t xml:space="preserve"> to apply consistently with no individual exemptions for particular agencies, projects</w:t>
                            </w:r>
                            <w:r>
                              <w:rPr>
                                <w:rFonts w:ascii="Arial" w:hAnsi="Arial" w:cs="Arial"/>
                                <w:sz w:val="22"/>
                                <w:szCs w:val="22"/>
                              </w:rPr>
                              <w:t>,</w:t>
                            </w:r>
                            <w:r w:rsidRPr="009406F8">
                              <w:rPr>
                                <w:rFonts w:ascii="Arial" w:hAnsi="Arial" w:cs="Arial"/>
                                <w:sz w:val="22"/>
                                <w:szCs w:val="22"/>
                              </w:rPr>
                              <w:t xml:space="preserve"> regions</w:t>
                            </w:r>
                            <w:r>
                              <w:rPr>
                                <w:rFonts w:ascii="Arial" w:hAnsi="Arial" w:cs="Arial"/>
                                <w:sz w:val="22"/>
                                <w:szCs w:val="22"/>
                              </w:rPr>
                              <w:t xml:space="preserve"> or other circumstances</w:t>
                            </w:r>
                            <w:r w:rsidRPr="009406F8">
                              <w:rPr>
                                <w:rFonts w:ascii="Arial" w:hAnsi="Arial" w:cs="Arial"/>
                                <w:sz w:val="22"/>
                                <w:szCs w:val="22"/>
                              </w:rPr>
                              <w:t xml:space="preserve">. </w:t>
                            </w:r>
                          </w:p>
                        </w:txbxContent>
                      </wps:txbx>
                      <wps:bodyPr rot="0" vert="horz" wrap="square" lIns="91440" tIns="45720" rIns="91440" bIns="45720" anchor="ctr" anchorCtr="0">
                        <a:noAutofit/>
                      </wps:bodyPr>
                    </wps:wsp>
                  </a:graphicData>
                </a:graphic>
              </wp:inline>
            </w:drawing>
          </mc:Choice>
          <mc:Fallback>
            <w:pict>
              <v:shape w14:anchorId="4D10D8C0" id="_x0000_s1031" type="#_x0000_t202" style="width:452.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" fillcolor="#d8d8d8 [2732]">
                <v:textbox>
                  <w:txbxContent>
                    <w:p w:rsidR="00226B47" w:rsidRPr="005C2E4D" w:rsidRDefault="00226B47" w:rsidP="005C2E4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6</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Scheme continue</w:t>
                      </w:r>
                      <w:r>
                        <w:rPr>
                          <w:rFonts w:ascii="Arial" w:hAnsi="Arial" w:cs="Arial"/>
                          <w:sz w:val="22"/>
                          <w:szCs w:val="22"/>
                        </w:rPr>
                        <w:t>s</w:t>
                      </w:r>
                      <w:r w:rsidRPr="009406F8">
                        <w:rPr>
                          <w:rFonts w:ascii="Arial" w:hAnsi="Arial" w:cs="Arial"/>
                          <w:sz w:val="22"/>
                          <w:szCs w:val="22"/>
                        </w:rPr>
                        <w:t xml:space="preserve"> to apply consistently with no individual exemptions for particular agencies, projects</w:t>
                      </w:r>
                      <w:r>
                        <w:rPr>
                          <w:rFonts w:ascii="Arial" w:hAnsi="Arial" w:cs="Arial"/>
                          <w:sz w:val="22"/>
                          <w:szCs w:val="22"/>
                        </w:rPr>
                        <w:t>,</w:t>
                      </w:r>
                      <w:r w:rsidRPr="009406F8">
                        <w:rPr>
                          <w:rFonts w:ascii="Arial" w:hAnsi="Arial" w:cs="Arial"/>
                          <w:sz w:val="22"/>
                          <w:szCs w:val="22"/>
                        </w:rPr>
                        <w:t xml:space="preserve"> regions</w:t>
                      </w:r>
                      <w:r>
                        <w:rPr>
                          <w:rFonts w:ascii="Arial" w:hAnsi="Arial" w:cs="Arial"/>
                          <w:sz w:val="22"/>
                          <w:szCs w:val="22"/>
                        </w:rPr>
                        <w:t xml:space="preserve"> or other circumstances</w:t>
                      </w:r>
                      <w:r w:rsidRPr="009406F8">
                        <w:rPr>
                          <w:rFonts w:ascii="Arial" w:hAnsi="Arial" w:cs="Arial"/>
                          <w:sz w:val="22"/>
                          <w:szCs w:val="22"/>
                        </w:rPr>
                        <w:t xml:space="preserve">. </w:t>
                      </w:r>
                    </w:p>
                  </w:txbxContent>
                </v:textbox>
                <w10:anchorlock/>
              </v:shape>
            </w:pict>
          </mc:Fallback>
        </mc:AlternateContent>
      </w:r>
      <w:bookmarkEnd w:id="22"/>
    </w:p>
    <w:p w:rsidR="00E26382" w:rsidRDefault="00E26382" w:rsidP="00E26382">
      <w:pPr>
        <w:rPr>
          <w:u w:val="single"/>
        </w:rPr>
      </w:pPr>
    </w:p>
    <w:p w:rsidR="00B07B41" w:rsidRDefault="00B07B41" w:rsidP="00E26382">
      <w:pPr>
        <w:rPr>
          <w:u w:val="single"/>
        </w:rPr>
      </w:pPr>
    </w:p>
    <w:p w:rsidR="001C158C" w:rsidRPr="007B5A3A" w:rsidRDefault="001C158C" w:rsidP="00B01E1D">
      <w:pPr>
        <w:pStyle w:val="Heading1"/>
      </w:pPr>
      <w:bookmarkStart w:id="24" w:name="_Toc390429513"/>
      <w:r>
        <w:t>Becoming accredited</w:t>
      </w:r>
      <w:bookmarkEnd w:id="24"/>
    </w:p>
    <w:p w:rsidR="001C158C" w:rsidRDefault="001C158C" w:rsidP="003005B9">
      <w:pPr>
        <w:pStyle w:val="Heading2"/>
      </w:pPr>
      <w:bookmarkStart w:id="25" w:name="_Toc382816476"/>
    </w:p>
    <w:p w:rsidR="00F160F7" w:rsidRPr="009A442D" w:rsidRDefault="00300A05" w:rsidP="005F4928">
      <w:pPr>
        <w:pStyle w:val="Heading2"/>
      </w:pPr>
      <w:bookmarkStart w:id="26" w:name="_Toc377032044"/>
      <w:bookmarkStart w:id="27" w:name="_Toc390429514"/>
      <w:bookmarkEnd w:id="25"/>
      <w:r w:rsidRPr="009A442D">
        <w:t>C</w:t>
      </w:r>
      <w:r w:rsidR="00F160F7" w:rsidRPr="009A442D">
        <w:t xml:space="preserve">urrent </w:t>
      </w:r>
      <w:r w:rsidR="00BC3FA0" w:rsidRPr="009A442D">
        <w:t xml:space="preserve">Accreditation </w:t>
      </w:r>
      <w:r w:rsidRPr="009A442D">
        <w:t>P</w:t>
      </w:r>
      <w:r w:rsidR="00F160F7" w:rsidRPr="009A442D">
        <w:t>rocess</w:t>
      </w:r>
      <w:bookmarkEnd w:id="26"/>
      <w:bookmarkEnd w:id="27"/>
      <w:r w:rsidR="00712BEA" w:rsidRPr="009A442D">
        <w:t xml:space="preserve"> </w:t>
      </w:r>
    </w:p>
    <w:p w:rsidR="00F160F7" w:rsidRPr="005C6E42" w:rsidRDefault="00F160F7" w:rsidP="00F160F7">
      <w:pPr>
        <w:outlineLvl w:val="2"/>
        <w:rPr>
          <w:rFonts w:ascii="Arial" w:hAnsi="Arial" w:cs="Arial"/>
          <w:sz w:val="22"/>
          <w:szCs w:val="22"/>
          <w:u w:val="single"/>
        </w:rPr>
      </w:pPr>
    </w:p>
    <w:p w:rsidR="00D64C97" w:rsidRDefault="001C158C" w:rsidP="001C158C">
      <w:pPr>
        <w:rPr>
          <w:rFonts w:ascii="Arial" w:hAnsi="Arial" w:cs="Arial"/>
          <w:sz w:val="22"/>
          <w:szCs w:val="22"/>
        </w:rPr>
      </w:pPr>
      <w:r w:rsidRPr="005C6E42">
        <w:rPr>
          <w:rFonts w:ascii="Arial" w:hAnsi="Arial" w:cs="Arial"/>
          <w:sz w:val="22"/>
          <w:szCs w:val="22"/>
        </w:rPr>
        <w:t>The level of resourcing and WHS expertise of companies seeking accreditation varies dramatically according to size, experience, management culture, location, sector of operation and other factors. Coverage of the Scheme ranges from small, locally</w:t>
      </w:r>
      <w:r w:rsidR="00D64C97">
        <w:rPr>
          <w:rFonts w:ascii="Arial" w:hAnsi="Arial" w:cs="Arial"/>
          <w:sz w:val="22"/>
          <w:szCs w:val="22"/>
        </w:rPr>
        <w:t>-</w:t>
      </w:r>
      <w:r w:rsidRPr="005C6E42">
        <w:rPr>
          <w:rFonts w:ascii="Arial" w:hAnsi="Arial" w:cs="Arial"/>
          <w:sz w:val="22"/>
          <w:szCs w:val="22"/>
        </w:rPr>
        <w:t>focussed “husband</w:t>
      </w:r>
      <w:r w:rsidR="008A374E">
        <w:rPr>
          <w:rFonts w:ascii="Arial" w:hAnsi="Arial" w:cs="Arial"/>
          <w:sz w:val="22"/>
          <w:szCs w:val="22"/>
        </w:rPr>
        <w:t>-</w:t>
      </w:r>
      <w:r w:rsidRPr="005C6E42">
        <w:rPr>
          <w:rFonts w:ascii="Arial" w:hAnsi="Arial" w:cs="Arial"/>
          <w:sz w:val="22"/>
          <w:szCs w:val="22"/>
        </w:rPr>
        <w:t>and</w:t>
      </w:r>
      <w:r w:rsidR="008A374E">
        <w:rPr>
          <w:rFonts w:ascii="Arial" w:hAnsi="Arial" w:cs="Arial"/>
          <w:sz w:val="22"/>
          <w:szCs w:val="22"/>
        </w:rPr>
        <w:t>-</w:t>
      </w:r>
      <w:r w:rsidRPr="005C6E42">
        <w:rPr>
          <w:rFonts w:ascii="Arial" w:hAnsi="Arial" w:cs="Arial"/>
          <w:sz w:val="22"/>
          <w:szCs w:val="22"/>
        </w:rPr>
        <w:t>wife” companies to nearly all of the major national and a number of international construction firms. Accordingly, the complexity and resources associated with safety systems var</w:t>
      </w:r>
      <w:r w:rsidR="009A442D">
        <w:rPr>
          <w:rFonts w:ascii="Arial" w:hAnsi="Arial" w:cs="Arial"/>
          <w:sz w:val="22"/>
          <w:szCs w:val="22"/>
        </w:rPr>
        <w:t>y</w:t>
      </w:r>
      <w:r w:rsidRPr="005C6E42">
        <w:rPr>
          <w:rFonts w:ascii="Arial" w:hAnsi="Arial" w:cs="Arial"/>
          <w:sz w:val="22"/>
          <w:szCs w:val="22"/>
        </w:rPr>
        <w:t xml:space="preserve"> significantly. </w:t>
      </w:r>
    </w:p>
    <w:p w:rsidR="00D64C97" w:rsidRDefault="00D64C97" w:rsidP="001C158C">
      <w:pPr>
        <w:rPr>
          <w:rFonts w:ascii="Arial" w:hAnsi="Arial" w:cs="Arial"/>
          <w:sz w:val="22"/>
          <w:szCs w:val="22"/>
        </w:rPr>
      </w:pPr>
    </w:p>
    <w:p w:rsidR="001C158C" w:rsidRDefault="001C158C" w:rsidP="001C158C">
      <w:pPr>
        <w:rPr>
          <w:rFonts w:ascii="Arial" w:hAnsi="Arial" w:cs="Arial"/>
          <w:sz w:val="22"/>
          <w:szCs w:val="22"/>
        </w:rPr>
      </w:pPr>
      <w:r w:rsidRPr="005C6E42">
        <w:rPr>
          <w:rFonts w:ascii="Arial" w:hAnsi="Arial" w:cs="Arial"/>
          <w:sz w:val="22"/>
          <w:szCs w:val="22"/>
        </w:rPr>
        <w:t>A key challenge is to ensure the Scheme</w:t>
      </w:r>
      <w:r w:rsidR="009D1036">
        <w:rPr>
          <w:rFonts w:ascii="Arial" w:hAnsi="Arial" w:cs="Arial"/>
          <w:sz w:val="22"/>
          <w:szCs w:val="22"/>
        </w:rPr>
        <w:t>’s</w:t>
      </w:r>
      <w:r w:rsidRPr="005C6E42">
        <w:rPr>
          <w:rFonts w:ascii="Arial" w:hAnsi="Arial" w:cs="Arial"/>
          <w:sz w:val="22"/>
          <w:szCs w:val="22"/>
        </w:rPr>
        <w:t xml:space="preserve"> requirements are applied consistently</w:t>
      </w:r>
      <w:r w:rsidR="00543254">
        <w:rPr>
          <w:rFonts w:ascii="Arial" w:hAnsi="Arial" w:cs="Arial"/>
          <w:sz w:val="22"/>
          <w:szCs w:val="22"/>
        </w:rPr>
        <w:t>,</w:t>
      </w:r>
      <w:r w:rsidRPr="005C6E42">
        <w:rPr>
          <w:rFonts w:ascii="Arial" w:hAnsi="Arial" w:cs="Arial"/>
          <w:sz w:val="22"/>
          <w:szCs w:val="22"/>
        </w:rPr>
        <w:t xml:space="preserve"> but in a way that does not create unnecessary barriers to companies considering accreditation.</w:t>
      </w:r>
      <w:r>
        <w:rPr>
          <w:rFonts w:ascii="Arial" w:hAnsi="Arial" w:cs="Arial"/>
          <w:sz w:val="22"/>
          <w:szCs w:val="22"/>
        </w:rPr>
        <w:t xml:space="preserve"> Equally important is further ensuring and communicating that the Scheme is scalable</w:t>
      </w:r>
      <w:r w:rsidR="009A442D">
        <w:rPr>
          <w:rFonts w:ascii="Arial" w:hAnsi="Arial" w:cs="Arial"/>
          <w:sz w:val="22"/>
          <w:szCs w:val="22"/>
        </w:rPr>
        <w:t>,</w:t>
      </w:r>
      <w:r>
        <w:rPr>
          <w:rFonts w:ascii="Arial" w:hAnsi="Arial" w:cs="Arial"/>
          <w:sz w:val="22"/>
          <w:szCs w:val="22"/>
        </w:rPr>
        <w:t xml:space="preserve"> so that the criteria can be met in ways that are appropriate </w:t>
      </w:r>
      <w:r w:rsidR="00D64C97">
        <w:rPr>
          <w:rFonts w:ascii="Arial" w:hAnsi="Arial" w:cs="Arial"/>
          <w:sz w:val="22"/>
          <w:szCs w:val="22"/>
        </w:rPr>
        <w:t>to</w:t>
      </w:r>
      <w:r>
        <w:rPr>
          <w:rFonts w:ascii="Arial" w:hAnsi="Arial" w:cs="Arial"/>
          <w:sz w:val="22"/>
          <w:szCs w:val="22"/>
        </w:rPr>
        <w:t xml:space="preserve"> the smallest builders through to multi</w:t>
      </w:r>
      <w:r w:rsidR="009A442D">
        <w:rPr>
          <w:rFonts w:ascii="Arial" w:hAnsi="Arial" w:cs="Arial"/>
          <w:sz w:val="22"/>
          <w:szCs w:val="22"/>
        </w:rPr>
        <w:t>-</w:t>
      </w:r>
      <w:r>
        <w:rPr>
          <w:rFonts w:ascii="Arial" w:hAnsi="Arial" w:cs="Arial"/>
          <w:sz w:val="22"/>
          <w:szCs w:val="22"/>
        </w:rPr>
        <w:t>national firms.</w:t>
      </w:r>
    </w:p>
    <w:p w:rsidR="00D67A97" w:rsidRPr="005C6E42" w:rsidRDefault="00D67A97" w:rsidP="00D67A97">
      <w:pPr>
        <w:rPr>
          <w:rFonts w:ascii="Arial" w:hAnsi="Arial" w:cs="Arial"/>
          <w:sz w:val="22"/>
          <w:szCs w:val="22"/>
        </w:rPr>
      </w:pPr>
    </w:p>
    <w:p w:rsidR="00D67A97" w:rsidRDefault="00D67A97" w:rsidP="00D67A97">
      <w:pPr>
        <w:rPr>
          <w:rFonts w:ascii="Arial" w:hAnsi="Arial" w:cs="Arial"/>
          <w:sz w:val="22"/>
          <w:szCs w:val="22"/>
        </w:rPr>
      </w:pPr>
      <w:r>
        <w:rPr>
          <w:rFonts w:ascii="Arial" w:hAnsi="Arial" w:cs="Arial"/>
          <w:sz w:val="22"/>
          <w:szCs w:val="22"/>
        </w:rPr>
        <w:t>Under the current accreditation process, t</w:t>
      </w:r>
      <w:r w:rsidRPr="005C6E42">
        <w:rPr>
          <w:rFonts w:ascii="Arial" w:hAnsi="Arial" w:cs="Arial"/>
          <w:sz w:val="22"/>
          <w:szCs w:val="22"/>
        </w:rPr>
        <w:t xml:space="preserve">here is no limit or cap on the number of audits companies may take to achieve accreditation. </w:t>
      </w:r>
      <w:r>
        <w:rPr>
          <w:rFonts w:ascii="Arial" w:hAnsi="Arial" w:cs="Arial"/>
          <w:sz w:val="22"/>
          <w:szCs w:val="22"/>
        </w:rPr>
        <w:t xml:space="preserve">Companies are audited until they have addressed all major corrective actions </w:t>
      </w:r>
      <w:r w:rsidRPr="005C6E42">
        <w:rPr>
          <w:rFonts w:ascii="Arial" w:hAnsi="Arial" w:cs="Arial"/>
          <w:sz w:val="22"/>
          <w:szCs w:val="22"/>
        </w:rPr>
        <w:t>and are in a position to be recommended to the FSC for accreditation</w:t>
      </w:r>
      <w:r>
        <w:rPr>
          <w:rFonts w:ascii="Arial" w:hAnsi="Arial" w:cs="Arial"/>
          <w:sz w:val="22"/>
          <w:szCs w:val="22"/>
        </w:rPr>
        <w:t xml:space="preserve">. Companies take, on average, </w:t>
      </w:r>
      <w:r w:rsidRPr="00927940">
        <w:rPr>
          <w:rFonts w:ascii="Arial" w:hAnsi="Arial" w:cs="Arial"/>
          <w:sz w:val="22"/>
          <w:szCs w:val="22"/>
        </w:rPr>
        <w:t>2</w:t>
      </w:r>
      <w:r w:rsidR="002D2300" w:rsidRPr="00927940">
        <w:rPr>
          <w:rFonts w:ascii="Arial" w:hAnsi="Arial" w:cs="Arial"/>
          <w:sz w:val="22"/>
          <w:szCs w:val="22"/>
        </w:rPr>
        <w:t>.</w:t>
      </w:r>
      <w:r w:rsidRPr="00927940">
        <w:rPr>
          <w:rFonts w:ascii="Arial" w:hAnsi="Arial" w:cs="Arial"/>
          <w:sz w:val="22"/>
          <w:szCs w:val="22"/>
        </w:rPr>
        <w:t xml:space="preserve">3 </w:t>
      </w:r>
      <w:r w:rsidRPr="005C6E42">
        <w:rPr>
          <w:rFonts w:ascii="Arial" w:hAnsi="Arial" w:cs="Arial"/>
          <w:sz w:val="22"/>
          <w:szCs w:val="22"/>
        </w:rPr>
        <w:t xml:space="preserve">audits to achieve accreditation for the first time. Where a company continues to make progress and demonstrates commitment to achieving accreditation, audits continue to be conducted </w:t>
      </w:r>
      <w:r>
        <w:rPr>
          <w:rFonts w:ascii="Arial" w:hAnsi="Arial" w:cs="Arial"/>
          <w:sz w:val="22"/>
          <w:szCs w:val="22"/>
        </w:rPr>
        <w:t>and the OFSC continues to assist companies through the process.</w:t>
      </w:r>
      <w:r w:rsidRPr="005C6E42">
        <w:rPr>
          <w:rFonts w:ascii="Arial" w:hAnsi="Arial" w:cs="Arial"/>
          <w:sz w:val="22"/>
          <w:szCs w:val="22"/>
        </w:rPr>
        <w:t xml:space="preserve"> </w:t>
      </w:r>
    </w:p>
    <w:p w:rsidR="00D67A97" w:rsidRDefault="00D67A97" w:rsidP="00D67A97">
      <w:pPr>
        <w:rPr>
          <w:rFonts w:ascii="Arial" w:hAnsi="Arial" w:cs="Arial"/>
          <w:sz w:val="22"/>
          <w:szCs w:val="22"/>
        </w:rPr>
      </w:pPr>
    </w:p>
    <w:p w:rsidR="00E26382" w:rsidRDefault="00E26382">
      <w:pPr>
        <w:rPr>
          <w:rFonts w:ascii="Arial" w:hAnsi="Arial" w:cs="Arial"/>
          <w:sz w:val="22"/>
          <w:szCs w:val="22"/>
        </w:rPr>
      </w:pPr>
      <w:r>
        <w:rPr>
          <w:rFonts w:ascii="Arial" w:hAnsi="Arial" w:cs="Arial"/>
          <w:sz w:val="22"/>
          <w:szCs w:val="22"/>
        </w:rPr>
        <w:br w:type="page"/>
      </w:r>
    </w:p>
    <w:p w:rsidR="00D67A97" w:rsidRPr="005C6E42" w:rsidRDefault="00D67A97" w:rsidP="00D67A97">
      <w:pPr>
        <w:rPr>
          <w:rFonts w:ascii="Arial" w:hAnsi="Arial" w:cs="Arial"/>
          <w:sz w:val="22"/>
          <w:szCs w:val="22"/>
        </w:rPr>
      </w:pPr>
      <w:r w:rsidRPr="00D9560E">
        <w:rPr>
          <w:rFonts w:ascii="Arial" w:hAnsi="Arial" w:cs="Arial"/>
          <w:sz w:val="22"/>
          <w:szCs w:val="22"/>
        </w:rPr>
        <w:t>Where a company notifies the OFSC that</w:t>
      </w:r>
      <w:r w:rsidR="00D64C97">
        <w:rPr>
          <w:rFonts w:ascii="Arial" w:hAnsi="Arial" w:cs="Arial"/>
          <w:sz w:val="22"/>
          <w:szCs w:val="22"/>
        </w:rPr>
        <w:t xml:space="preserve"> it is</w:t>
      </w:r>
      <w:r w:rsidRPr="00D9560E">
        <w:rPr>
          <w:rFonts w:ascii="Arial" w:hAnsi="Arial" w:cs="Arial"/>
          <w:sz w:val="22"/>
          <w:szCs w:val="22"/>
        </w:rPr>
        <w:t xml:space="preserve"> in a tender</w:t>
      </w:r>
      <w:r w:rsidR="009A442D">
        <w:rPr>
          <w:rFonts w:ascii="Arial" w:hAnsi="Arial" w:cs="Arial"/>
          <w:sz w:val="22"/>
          <w:szCs w:val="22"/>
        </w:rPr>
        <w:t xml:space="preserve"> </w:t>
      </w:r>
      <w:r w:rsidR="00BC3FA0">
        <w:rPr>
          <w:rFonts w:ascii="Arial" w:hAnsi="Arial" w:cs="Arial"/>
          <w:sz w:val="22"/>
          <w:szCs w:val="22"/>
        </w:rPr>
        <w:t>process</w:t>
      </w:r>
      <w:r>
        <w:rPr>
          <w:rFonts w:ascii="Arial" w:hAnsi="Arial" w:cs="Arial"/>
          <w:sz w:val="22"/>
          <w:szCs w:val="22"/>
        </w:rPr>
        <w:t xml:space="preserve">, the application for accreditation can be prioritised ahead of other applications. </w:t>
      </w:r>
      <w:r w:rsidR="009A442D">
        <w:rPr>
          <w:rFonts w:ascii="Arial" w:hAnsi="Arial" w:cs="Arial"/>
          <w:sz w:val="22"/>
          <w:szCs w:val="22"/>
        </w:rPr>
        <w:t>Also, t</w:t>
      </w:r>
      <w:r>
        <w:rPr>
          <w:rFonts w:ascii="Arial" w:hAnsi="Arial" w:cs="Arial"/>
          <w:sz w:val="22"/>
          <w:szCs w:val="22"/>
        </w:rPr>
        <w:t xml:space="preserve">he OFSC will, with the permission of the company, provide an update of the company’s status to the relevant funding agency. </w:t>
      </w:r>
    </w:p>
    <w:p w:rsidR="00D67A97" w:rsidRDefault="00D67A97" w:rsidP="00D67A97">
      <w:pPr>
        <w:rPr>
          <w:rFonts w:ascii="Arial" w:hAnsi="Arial" w:cs="Arial"/>
          <w:sz w:val="22"/>
          <w:szCs w:val="22"/>
        </w:rPr>
      </w:pPr>
    </w:p>
    <w:p w:rsidR="00D67A97" w:rsidRPr="005C6E42" w:rsidRDefault="00D67A97" w:rsidP="00D67A97">
      <w:pPr>
        <w:rPr>
          <w:rFonts w:ascii="Arial" w:hAnsi="Arial" w:cs="Arial"/>
          <w:sz w:val="22"/>
          <w:szCs w:val="22"/>
        </w:rPr>
      </w:pPr>
      <w:r w:rsidRPr="005C6E42">
        <w:rPr>
          <w:rFonts w:ascii="Arial" w:hAnsi="Arial" w:cs="Arial"/>
          <w:sz w:val="22"/>
          <w:szCs w:val="22"/>
        </w:rPr>
        <w:t xml:space="preserve">The time taken to achieve accreditation varies significantly </w:t>
      </w:r>
      <w:r w:rsidR="00D64C97">
        <w:rPr>
          <w:rFonts w:ascii="Arial" w:hAnsi="Arial" w:cs="Arial"/>
          <w:sz w:val="22"/>
          <w:szCs w:val="22"/>
        </w:rPr>
        <w:t>between</w:t>
      </w:r>
      <w:r w:rsidRPr="005C6E42">
        <w:rPr>
          <w:rFonts w:ascii="Arial" w:hAnsi="Arial" w:cs="Arial"/>
          <w:sz w:val="22"/>
          <w:szCs w:val="22"/>
        </w:rPr>
        <w:t xml:space="preserve"> companies. There are two elements that contribute to the time taken from application to accreditation:</w:t>
      </w:r>
    </w:p>
    <w:p w:rsidR="00D67A97" w:rsidRPr="005C6E42" w:rsidRDefault="00D67A97" w:rsidP="00D67A97">
      <w:pPr>
        <w:rPr>
          <w:rFonts w:ascii="Arial" w:hAnsi="Arial" w:cs="Arial"/>
          <w:sz w:val="22"/>
          <w:szCs w:val="22"/>
        </w:rPr>
      </w:pPr>
    </w:p>
    <w:p w:rsidR="00D67A97" w:rsidRPr="005C6E42" w:rsidRDefault="00D67A97" w:rsidP="00D67A97">
      <w:pPr>
        <w:numPr>
          <w:ilvl w:val="0"/>
          <w:numId w:val="4"/>
        </w:numPr>
        <w:contextualSpacing/>
        <w:rPr>
          <w:rFonts w:ascii="Arial" w:hAnsi="Arial" w:cs="Arial"/>
          <w:sz w:val="22"/>
          <w:szCs w:val="22"/>
        </w:rPr>
      </w:pPr>
      <w:r w:rsidRPr="005C6E42">
        <w:rPr>
          <w:rFonts w:ascii="Arial" w:hAnsi="Arial" w:cs="Arial"/>
          <w:sz w:val="22"/>
          <w:szCs w:val="22"/>
        </w:rPr>
        <w:t>OFSC administrative processes; and</w:t>
      </w:r>
    </w:p>
    <w:p w:rsidR="00D67A97" w:rsidRPr="005C6E42" w:rsidRDefault="00D67A97" w:rsidP="00D67A97">
      <w:pPr>
        <w:numPr>
          <w:ilvl w:val="0"/>
          <w:numId w:val="4"/>
        </w:numPr>
        <w:contextualSpacing/>
        <w:rPr>
          <w:rFonts w:ascii="Arial" w:hAnsi="Arial" w:cs="Arial"/>
          <w:sz w:val="22"/>
          <w:szCs w:val="22"/>
        </w:rPr>
      </w:pPr>
      <w:r w:rsidRPr="005C6E42">
        <w:rPr>
          <w:rFonts w:ascii="Arial" w:hAnsi="Arial" w:cs="Arial"/>
          <w:sz w:val="22"/>
          <w:szCs w:val="22"/>
        </w:rPr>
        <w:t>company processes, including audit timing and time taken to address non-conformances identified at audit.</w:t>
      </w:r>
    </w:p>
    <w:p w:rsidR="00D67A97" w:rsidRPr="005C6E42" w:rsidRDefault="00D67A97" w:rsidP="00D67A97">
      <w:pPr>
        <w:rPr>
          <w:rFonts w:ascii="Arial" w:hAnsi="Arial" w:cs="Arial"/>
          <w:sz w:val="22"/>
          <w:szCs w:val="22"/>
        </w:rPr>
      </w:pPr>
    </w:p>
    <w:p w:rsidR="00D67A97" w:rsidRPr="00A91E70" w:rsidRDefault="00D67A97" w:rsidP="00A91E70">
      <w:pPr>
        <w:rPr>
          <w:rFonts w:ascii="Arial" w:hAnsi="Arial" w:cs="Arial"/>
          <w:sz w:val="22"/>
          <w:szCs w:val="22"/>
        </w:rPr>
      </w:pPr>
      <w:r w:rsidRPr="00A91E70">
        <w:rPr>
          <w:rFonts w:ascii="Arial" w:hAnsi="Arial" w:cs="Arial"/>
          <w:sz w:val="22"/>
          <w:szCs w:val="22"/>
        </w:rPr>
        <w:t>Streamlined application processes were introduced in January 2013. These processes included removing the requirement for companies to provide significant volumes of documentary evidence</w:t>
      </w:r>
      <w:r w:rsidR="009C7F4C" w:rsidRPr="00A91E70">
        <w:rPr>
          <w:rFonts w:ascii="Arial" w:hAnsi="Arial" w:cs="Arial"/>
          <w:sz w:val="22"/>
          <w:szCs w:val="22"/>
        </w:rPr>
        <w:t xml:space="preserve">. This evidence was subject to assessment by the OFSC and this process of consultation with companies to ensure a complete application took </w:t>
      </w:r>
      <w:r w:rsidR="00AF0B23" w:rsidRPr="00A91E70">
        <w:rPr>
          <w:rFonts w:ascii="Arial" w:hAnsi="Arial" w:cs="Arial"/>
          <w:sz w:val="22"/>
          <w:szCs w:val="22"/>
        </w:rPr>
        <w:t>several weeks</w:t>
      </w:r>
      <w:r w:rsidR="00B164E4" w:rsidRPr="00A91E70">
        <w:rPr>
          <w:rFonts w:ascii="Arial" w:hAnsi="Arial" w:cs="Arial"/>
          <w:sz w:val="22"/>
          <w:szCs w:val="22"/>
        </w:rPr>
        <w:t xml:space="preserve"> on average</w:t>
      </w:r>
      <w:r w:rsidR="009C7F4C" w:rsidRPr="00A91E70">
        <w:rPr>
          <w:rFonts w:ascii="Arial" w:hAnsi="Arial" w:cs="Arial"/>
          <w:sz w:val="22"/>
          <w:szCs w:val="22"/>
        </w:rPr>
        <w:t xml:space="preserve">. </w:t>
      </w:r>
      <w:r w:rsidR="008C32E1" w:rsidRPr="00A91E70">
        <w:rPr>
          <w:rFonts w:ascii="Arial" w:hAnsi="Arial" w:cs="Arial"/>
          <w:sz w:val="22"/>
          <w:szCs w:val="22"/>
        </w:rPr>
        <w:t>The requirements for documentary evidence and a desktop assessment have</w:t>
      </w:r>
      <w:r w:rsidR="009C7F4C" w:rsidRPr="00A91E70">
        <w:rPr>
          <w:rFonts w:ascii="Arial" w:hAnsi="Arial" w:cs="Arial"/>
          <w:sz w:val="22"/>
          <w:szCs w:val="22"/>
        </w:rPr>
        <w:t xml:space="preserve"> been replaced by </w:t>
      </w:r>
      <w:r w:rsidRPr="00A91E70">
        <w:rPr>
          <w:rFonts w:ascii="Arial" w:hAnsi="Arial" w:cs="Arial"/>
          <w:sz w:val="22"/>
          <w:szCs w:val="22"/>
        </w:rPr>
        <w:t>a simplified gap analysis</w:t>
      </w:r>
      <w:r w:rsidR="00D64C97" w:rsidRPr="00A91E70">
        <w:rPr>
          <w:rFonts w:ascii="Arial" w:hAnsi="Arial" w:cs="Arial"/>
          <w:sz w:val="22"/>
          <w:szCs w:val="22"/>
        </w:rPr>
        <w:t>. This is</w:t>
      </w:r>
      <w:r w:rsidRPr="00A91E70">
        <w:rPr>
          <w:rFonts w:ascii="Arial" w:hAnsi="Arial" w:cs="Arial"/>
          <w:sz w:val="22"/>
          <w:szCs w:val="22"/>
        </w:rPr>
        <w:t xml:space="preserve"> a form of self-assessment whereby companies identify relevant procedures and documentation that will be provided as evidence at the audit. </w:t>
      </w:r>
    </w:p>
    <w:p w:rsidR="00D67A97" w:rsidRPr="00A91E70" w:rsidRDefault="00D67A97" w:rsidP="00A91E70">
      <w:pPr>
        <w:rPr>
          <w:rFonts w:ascii="Arial" w:hAnsi="Arial" w:cs="Arial"/>
          <w:sz w:val="22"/>
          <w:szCs w:val="22"/>
        </w:rPr>
      </w:pPr>
    </w:p>
    <w:p w:rsidR="00267E6F" w:rsidRPr="00015C20" w:rsidRDefault="00D67A97" w:rsidP="00A91E70">
      <w:r w:rsidRPr="00A91E70">
        <w:rPr>
          <w:rFonts w:ascii="Arial" w:hAnsi="Arial" w:cs="Arial"/>
          <w:sz w:val="22"/>
          <w:szCs w:val="22"/>
        </w:rPr>
        <w:t>Applications received under the streamlined arrangements</w:t>
      </w:r>
      <w:r w:rsidR="008C32E1" w:rsidRPr="00A91E70">
        <w:rPr>
          <w:rFonts w:ascii="Arial" w:hAnsi="Arial" w:cs="Arial"/>
          <w:sz w:val="22"/>
          <w:szCs w:val="22"/>
        </w:rPr>
        <w:t xml:space="preserve"> are being processed in a significantly reduced timeframe. Prior to December 2012, the average OFSC processing time from receiving an application until referral to audit organisation was 42 days. That figure currently stands at 6.75 days. This is significantly impacting on the time taken to achieve accreditation.</w:t>
      </w:r>
      <w:r w:rsidR="00657899" w:rsidRPr="00A91E70">
        <w:rPr>
          <w:rFonts w:ascii="Arial" w:hAnsi="Arial" w:cs="Arial"/>
          <w:sz w:val="22"/>
          <w:szCs w:val="22"/>
        </w:rPr>
        <w:t xml:space="preserve"> Some companies have become accredited within </w:t>
      </w:r>
      <w:r w:rsidR="00B164E4" w:rsidRPr="00A91E70">
        <w:rPr>
          <w:rFonts w:ascii="Arial" w:hAnsi="Arial" w:cs="Arial"/>
          <w:sz w:val="22"/>
          <w:szCs w:val="22"/>
        </w:rPr>
        <w:t xml:space="preserve">three to six </w:t>
      </w:r>
      <w:r w:rsidR="00657899" w:rsidRPr="00A91E70">
        <w:rPr>
          <w:rFonts w:ascii="Arial" w:hAnsi="Arial" w:cs="Arial"/>
          <w:sz w:val="22"/>
          <w:szCs w:val="22"/>
        </w:rPr>
        <w:t>weeks</w:t>
      </w:r>
      <w:r w:rsidR="0031357B" w:rsidRPr="00A91E70">
        <w:rPr>
          <w:rFonts w:ascii="Arial" w:hAnsi="Arial" w:cs="Arial"/>
          <w:sz w:val="22"/>
          <w:szCs w:val="22"/>
        </w:rPr>
        <w:t xml:space="preserve"> of their first audit</w:t>
      </w:r>
      <w:r w:rsidR="00657899" w:rsidRPr="00A91E70">
        <w:rPr>
          <w:rFonts w:ascii="Arial" w:hAnsi="Arial" w:cs="Arial"/>
          <w:sz w:val="22"/>
          <w:szCs w:val="22"/>
        </w:rPr>
        <w:t xml:space="preserve"> under the new arrangements, including smaller companies.</w:t>
      </w:r>
    </w:p>
    <w:p w:rsidR="00267E6F" w:rsidRDefault="00267E6F" w:rsidP="003005B9">
      <w:pPr>
        <w:pStyle w:val="Heading2"/>
      </w:pPr>
    </w:p>
    <w:p w:rsidR="000E416C" w:rsidRPr="002316BF" w:rsidRDefault="00A840F6" w:rsidP="003005B9">
      <w:pPr>
        <w:pStyle w:val="Heading2"/>
      </w:pPr>
      <w:bookmarkStart w:id="28" w:name="_Toc390429515"/>
      <w:r>
        <w:t>Accreditation</w:t>
      </w:r>
      <w:r w:rsidR="00300A05">
        <w:t xml:space="preserve"> Fees</w:t>
      </w:r>
      <w:bookmarkEnd w:id="28"/>
    </w:p>
    <w:p w:rsidR="00D67A97" w:rsidRDefault="00D67A97" w:rsidP="00D67A97">
      <w:pPr>
        <w:rPr>
          <w:rFonts w:ascii="Arial" w:hAnsi="Arial" w:cs="Arial"/>
          <w:sz w:val="22"/>
          <w:szCs w:val="22"/>
        </w:rPr>
      </w:pPr>
    </w:p>
    <w:p w:rsidR="000E416C" w:rsidRPr="00A91E70" w:rsidRDefault="000E416C" w:rsidP="00A91E70">
      <w:pPr>
        <w:rPr>
          <w:rFonts w:ascii="Arial" w:hAnsi="Arial" w:cs="Arial"/>
          <w:sz w:val="22"/>
          <w:szCs w:val="22"/>
        </w:rPr>
      </w:pPr>
      <w:r w:rsidRPr="00A91E70">
        <w:rPr>
          <w:rFonts w:ascii="Arial" w:hAnsi="Arial" w:cs="Arial"/>
          <w:sz w:val="22"/>
          <w:szCs w:val="22"/>
        </w:rPr>
        <w:t xml:space="preserve">The Discussion Paper canvassed whether a fee might be applied for Scheme accreditation. There was almost unanimous response that there should not be an annual fee for accreditation, </w:t>
      </w:r>
      <w:r w:rsidR="007656EE" w:rsidRPr="00A91E70">
        <w:rPr>
          <w:rFonts w:ascii="Arial" w:hAnsi="Arial" w:cs="Arial"/>
          <w:sz w:val="22"/>
          <w:szCs w:val="22"/>
        </w:rPr>
        <w:t xml:space="preserve">although the </w:t>
      </w:r>
      <w:r w:rsidR="000B6FBE" w:rsidRPr="00A91E70">
        <w:rPr>
          <w:rFonts w:ascii="Arial" w:hAnsi="Arial" w:cs="Arial"/>
          <w:sz w:val="22"/>
          <w:szCs w:val="22"/>
        </w:rPr>
        <w:t>ACTU</w:t>
      </w:r>
      <w:r w:rsidRPr="00A91E70">
        <w:rPr>
          <w:rFonts w:ascii="Arial" w:hAnsi="Arial" w:cs="Arial"/>
          <w:sz w:val="22"/>
          <w:szCs w:val="22"/>
        </w:rPr>
        <w:t xml:space="preserve"> raised the possibility of a charge for lodging an application and that consideration should be given to charging an additional fee where it is necessary to conduct more than two audits. </w:t>
      </w:r>
    </w:p>
    <w:p w:rsidR="00A91E70" w:rsidRDefault="00A91E70" w:rsidP="00A91E70">
      <w:pPr>
        <w:rPr>
          <w:rFonts w:ascii="Arial" w:hAnsi="Arial" w:cs="Arial"/>
          <w:sz w:val="22"/>
          <w:szCs w:val="22"/>
        </w:rPr>
      </w:pPr>
    </w:p>
    <w:p w:rsidR="000E416C" w:rsidRPr="00A91E70" w:rsidRDefault="000E416C" w:rsidP="00A91E70">
      <w:pPr>
        <w:rPr>
          <w:rFonts w:ascii="Arial" w:hAnsi="Arial" w:cs="Arial"/>
          <w:sz w:val="22"/>
          <w:szCs w:val="22"/>
        </w:rPr>
      </w:pPr>
      <w:r w:rsidRPr="00A91E70">
        <w:rPr>
          <w:rFonts w:ascii="Arial" w:hAnsi="Arial" w:cs="Arial"/>
          <w:sz w:val="22"/>
          <w:szCs w:val="22"/>
        </w:rPr>
        <w:t xml:space="preserve">There are significant cost pressures associated with </w:t>
      </w:r>
      <w:r w:rsidR="00A840F6" w:rsidRPr="00A91E70">
        <w:rPr>
          <w:rFonts w:ascii="Arial" w:hAnsi="Arial" w:cs="Arial"/>
          <w:sz w:val="22"/>
          <w:szCs w:val="22"/>
        </w:rPr>
        <w:t xml:space="preserve">managing an </w:t>
      </w:r>
      <w:r w:rsidRPr="00A91E70">
        <w:rPr>
          <w:rFonts w:ascii="Arial" w:hAnsi="Arial" w:cs="Arial"/>
          <w:sz w:val="22"/>
          <w:szCs w:val="22"/>
        </w:rPr>
        <w:t xml:space="preserve">escalating number of accredited companies within </w:t>
      </w:r>
      <w:r w:rsidR="000B6FBE" w:rsidRPr="00A91E70">
        <w:rPr>
          <w:rFonts w:ascii="Arial" w:hAnsi="Arial" w:cs="Arial"/>
          <w:sz w:val="22"/>
          <w:szCs w:val="22"/>
        </w:rPr>
        <w:t>the OFSC’s</w:t>
      </w:r>
      <w:r w:rsidRPr="00A91E70">
        <w:rPr>
          <w:rFonts w:ascii="Arial" w:hAnsi="Arial" w:cs="Arial"/>
          <w:sz w:val="22"/>
          <w:szCs w:val="22"/>
        </w:rPr>
        <w:t xml:space="preserve"> funding base that is not demand-driven. One response is to better target resources in the post</w:t>
      </w:r>
      <w:r w:rsidR="005C68B1" w:rsidRPr="00A91E70">
        <w:rPr>
          <w:rFonts w:ascii="Arial" w:hAnsi="Arial" w:cs="Arial"/>
          <w:sz w:val="22"/>
          <w:szCs w:val="22"/>
        </w:rPr>
        <w:t>-</w:t>
      </w:r>
      <w:r w:rsidRPr="00A91E70">
        <w:rPr>
          <w:rFonts w:ascii="Arial" w:hAnsi="Arial" w:cs="Arial"/>
          <w:sz w:val="22"/>
          <w:szCs w:val="22"/>
        </w:rPr>
        <w:t xml:space="preserve">accreditation compliance monitoring processes </w:t>
      </w:r>
      <w:r w:rsidR="00A840F6" w:rsidRPr="00A91E70">
        <w:rPr>
          <w:rFonts w:ascii="Arial" w:hAnsi="Arial" w:cs="Arial"/>
          <w:sz w:val="22"/>
          <w:szCs w:val="22"/>
        </w:rPr>
        <w:t xml:space="preserve">by adopting a </w:t>
      </w:r>
      <w:r w:rsidRPr="00A91E70">
        <w:rPr>
          <w:rFonts w:ascii="Arial" w:hAnsi="Arial" w:cs="Arial"/>
          <w:sz w:val="22"/>
          <w:szCs w:val="22"/>
        </w:rPr>
        <w:t xml:space="preserve">risk-based approach. This is discussed further under the </w:t>
      </w:r>
      <w:r w:rsidR="00267E6F" w:rsidRPr="00A91E70">
        <w:rPr>
          <w:rFonts w:ascii="Arial" w:hAnsi="Arial" w:cs="Arial"/>
          <w:sz w:val="22"/>
          <w:szCs w:val="22"/>
        </w:rPr>
        <w:t xml:space="preserve">section </w:t>
      </w:r>
      <w:r w:rsidRPr="00A91E70">
        <w:rPr>
          <w:rFonts w:ascii="Arial" w:hAnsi="Arial" w:cs="Arial"/>
          <w:sz w:val="22"/>
          <w:szCs w:val="22"/>
        </w:rPr>
        <w:t>‘</w:t>
      </w:r>
      <w:r w:rsidR="00267E6F" w:rsidRPr="00A91E70">
        <w:rPr>
          <w:rFonts w:ascii="Arial" w:hAnsi="Arial" w:cs="Arial"/>
          <w:sz w:val="22"/>
          <w:szCs w:val="22"/>
        </w:rPr>
        <w:t>Maintaining</w:t>
      </w:r>
      <w:r w:rsidRPr="00A91E70">
        <w:rPr>
          <w:rFonts w:ascii="Arial" w:hAnsi="Arial" w:cs="Arial"/>
          <w:sz w:val="22"/>
          <w:szCs w:val="22"/>
        </w:rPr>
        <w:t xml:space="preserve"> Accredit</w:t>
      </w:r>
      <w:r w:rsidR="00267E6F" w:rsidRPr="00A91E70">
        <w:rPr>
          <w:rFonts w:ascii="Arial" w:hAnsi="Arial" w:cs="Arial"/>
          <w:sz w:val="22"/>
          <w:szCs w:val="22"/>
        </w:rPr>
        <w:t>ation</w:t>
      </w:r>
      <w:r w:rsidR="007656EE" w:rsidRPr="00A91E70">
        <w:rPr>
          <w:rFonts w:ascii="Arial" w:hAnsi="Arial" w:cs="Arial"/>
          <w:sz w:val="22"/>
          <w:szCs w:val="22"/>
        </w:rPr>
        <w:t>’</w:t>
      </w:r>
      <w:r w:rsidRPr="00A91E70">
        <w:rPr>
          <w:rFonts w:ascii="Arial" w:hAnsi="Arial" w:cs="Arial"/>
          <w:sz w:val="22"/>
          <w:szCs w:val="22"/>
        </w:rPr>
        <w:t xml:space="preserve">. </w:t>
      </w:r>
    </w:p>
    <w:p w:rsidR="00A91E70" w:rsidRDefault="00A91E70" w:rsidP="00A91E70">
      <w:pPr>
        <w:rPr>
          <w:rFonts w:ascii="Arial" w:hAnsi="Arial" w:cs="Arial"/>
          <w:sz w:val="22"/>
          <w:szCs w:val="22"/>
        </w:rPr>
      </w:pPr>
    </w:p>
    <w:p w:rsidR="000E416C" w:rsidRPr="00A91E70" w:rsidRDefault="000E416C" w:rsidP="00A91E70">
      <w:pPr>
        <w:rPr>
          <w:rFonts w:ascii="Arial" w:hAnsi="Arial" w:cs="Arial"/>
          <w:sz w:val="22"/>
          <w:szCs w:val="22"/>
        </w:rPr>
      </w:pPr>
      <w:r w:rsidRPr="00A91E70">
        <w:rPr>
          <w:rFonts w:ascii="Arial" w:hAnsi="Arial" w:cs="Arial"/>
          <w:sz w:val="22"/>
          <w:szCs w:val="22"/>
        </w:rPr>
        <w:t xml:space="preserve">Another possibility raised by </w:t>
      </w:r>
      <w:r w:rsidR="00A840F6" w:rsidRPr="00A91E70">
        <w:rPr>
          <w:rFonts w:ascii="Arial" w:hAnsi="Arial" w:cs="Arial"/>
          <w:sz w:val="22"/>
          <w:szCs w:val="22"/>
        </w:rPr>
        <w:t xml:space="preserve">some </w:t>
      </w:r>
      <w:r w:rsidR="00267E6F" w:rsidRPr="00A91E70">
        <w:rPr>
          <w:rFonts w:ascii="Arial" w:hAnsi="Arial" w:cs="Arial"/>
          <w:sz w:val="22"/>
          <w:szCs w:val="22"/>
        </w:rPr>
        <w:t xml:space="preserve">Australian </w:t>
      </w:r>
      <w:r w:rsidR="005C68B1" w:rsidRPr="00A91E70">
        <w:rPr>
          <w:rFonts w:ascii="Arial" w:hAnsi="Arial" w:cs="Arial"/>
          <w:sz w:val="22"/>
          <w:szCs w:val="22"/>
        </w:rPr>
        <w:t>G</w:t>
      </w:r>
      <w:r w:rsidRPr="00A91E70">
        <w:rPr>
          <w:rFonts w:ascii="Arial" w:hAnsi="Arial" w:cs="Arial"/>
          <w:sz w:val="22"/>
          <w:szCs w:val="22"/>
        </w:rPr>
        <w:t xml:space="preserve">overnment agencies is that, in the future, consideration could be given to incorporating an OFSC accreditation and compliance cost element in new policy proposals for building and infrastructure initiatives being considered by </w:t>
      </w:r>
      <w:r w:rsidR="005C68B1" w:rsidRPr="00A91E70">
        <w:rPr>
          <w:rFonts w:ascii="Arial" w:hAnsi="Arial" w:cs="Arial"/>
          <w:sz w:val="22"/>
          <w:szCs w:val="22"/>
        </w:rPr>
        <w:t>G</w:t>
      </w:r>
      <w:r w:rsidRPr="00A91E70">
        <w:rPr>
          <w:rFonts w:ascii="Arial" w:hAnsi="Arial" w:cs="Arial"/>
          <w:sz w:val="22"/>
          <w:szCs w:val="22"/>
        </w:rPr>
        <w:t xml:space="preserve">overnment. Agencies would then provide funding to the OFSC as part of their project management responsibilities and costs. </w:t>
      </w:r>
      <w:r w:rsidR="00A840F6" w:rsidRPr="00A91E70">
        <w:rPr>
          <w:rFonts w:ascii="Arial" w:hAnsi="Arial" w:cs="Arial"/>
          <w:sz w:val="22"/>
          <w:szCs w:val="22"/>
        </w:rPr>
        <w:t>This may assist in providing some degree of demand</w:t>
      </w:r>
      <w:r w:rsidR="005C68B1" w:rsidRPr="00A91E70">
        <w:rPr>
          <w:rFonts w:ascii="Arial" w:hAnsi="Arial" w:cs="Arial"/>
          <w:sz w:val="22"/>
          <w:szCs w:val="22"/>
        </w:rPr>
        <w:t>-</w:t>
      </w:r>
      <w:r w:rsidR="00A840F6" w:rsidRPr="00A91E70">
        <w:rPr>
          <w:rFonts w:ascii="Arial" w:hAnsi="Arial" w:cs="Arial"/>
          <w:sz w:val="22"/>
          <w:szCs w:val="22"/>
        </w:rPr>
        <w:t>driven funding that reflects the increase in demand from builders to become and remain accredited.</w:t>
      </w:r>
    </w:p>
    <w:p w:rsidR="00A91E70" w:rsidRDefault="00A91E70" w:rsidP="00A91E70">
      <w:pPr>
        <w:rPr>
          <w:rFonts w:ascii="Arial" w:hAnsi="Arial" w:cs="Arial"/>
          <w:sz w:val="22"/>
          <w:szCs w:val="22"/>
        </w:rPr>
      </w:pPr>
    </w:p>
    <w:p w:rsidR="000E416C" w:rsidRDefault="000E416C" w:rsidP="00A91E70">
      <w:pPr>
        <w:rPr>
          <w:rFonts w:ascii="Arial" w:hAnsi="Arial" w:cs="Arial"/>
          <w:sz w:val="22"/>
          <w:szCs w:val="22"/>
        </w:rPr>
      </w:pPr>
      <w:r w:rsidRPr="00A91E70">
        <w:rPr>
          <w:rFonts w:ascii="Arial" w:hAnsi="Arial" w:cs="Arial"/>
          <w:sz w:val="22"/>
          <w:szCs w:val="22"/>
        </w:rPr>
        <w:t xml:space="preserve">The following recommendation reflects the </w:t>
      </w:r>
      <w:r w:rsidR="00A840F6" w:rsidRPr="00A91E70">
        <w:rPr>
          <w:rFonts w:ascii="Arial" w:hAnsi="Arial" w:cs="Arial"/>
          <w:sz w:val="22"/>
          <w:szCs w:val="22"/>
        </w:rPr>
        <w:t xml:space="preserve">majority of </w:t>
      </w:r>
      <w:r w:rsidRPr="00A91E70">
        <w:rPr>
          <w:rFonts w:ascii="Arial" w:hAnsi="Arial" w:cs="Arial"/>
          <w:sz w:val="22"/>
          <w:szCs w:val="22"/>
        </w:rPr>
        <w:t>feedback and desirability of minimising disincentives for companies to improve safety through the accreditation process. The Advisory</w:t>
      </w:r>
      <w:r w:rsidR="004E1FB5" w:rsidRPr="00A91E70">
        <w:rPr>
          <w:rFonts w:ascii="Arial" w:hAnsi="Arial" w:cs="Arial"/>
          <w:sz w:val="22"/>
          <w:szCs w:val="22"/>
        </w:rPr>
        <w:t> </w:t>
      </w:r>
      <w:r w:rsidRPr="00A91E70">
        <w:rPr>
          <w:rFonts w:ascii="Arial" w:hAnsi="Arial" w:cs="Arial"/>
          <w:sz w:val="22"/>
          <w:szCs w:val="22"/>
        </w:rPr>
        <w:t>Panel supported this view.</w:t>
      </w:r>
    </w:p>
    <w:p w:rsidR="00A60F1C" w:rsidRDefault="00A60F1C" w:rsidP="00A91E70"/>
    <w:p w:rsidR="000E416C" w:rsidRDefault="000E416C" w:rsidP="000E416C">
      <w:pPr>
        <w:pStyle w:val="CommentText"/>
        <w:spacing w:after="0"/>
      </w:pPr>
      <w:r w:rsidRPr="005C2E4D">
        <w:rPr>
          <w:rFonts w:ascii="Arial" w:hAnsi="Arial" w:cs="Arial"/>
          <w:noProof/>
          <w:sz w:val="22"/>
          <w:szCs w:val="22"/>
          <w:lang w:eastAsia="en-AU"/>
        </w:rPr>
        <mc:AlternateContent>
          <mc:Choice Requires="wps">
            <w:drawing>
              <wp:inline distT="0" distB="0" distL="0" distR="0" wp14:anchorId="41068819" wp14:editId="329FECD7">
                <wp:extent cx="5743575" cy="533400"/>
                <wp:effectExtent l="0" t="0" r="28575" b="1905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3340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0E416C">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7</w:t>
                            </w:r>
                            <w:r w:rsidRPr="005E46C2">
                              <w:rPr>
                                <w:rFonts w:ascii="Arial" w:hAnsi="Arial" w:cs="Arial"/>
                                <w:sz w:val="22"/>
                                <w:szCs w:val="22"/>
                                <w:highlight w:val="lightGray"/>
                              </w:rPr>
                              <w:t>:</w:t>
                            </w:r>
                            <w:r>
                              <w:rPr>
                                <w:rFonts w:ascii="Arial" w:hAnsi="Arial" w:cs="Arial"/>
                                <w:sz w:val="22"/>
                                <w:szCs w:val="22"/>
                              </w:rPr>
                              <w:t xml:space="preserve"> </w:t>
                            </w:r>
                            <w:r w:rsidRPr="0081575B">
                              <w:rPr>
                                <w:rFonts w:ascii="Arial" w:hAnsi="Arial" w:cs="Arial"/>
                                <w:sz w:val="22"/>
                                <w:szCs w:val="22"/>
                              </w:rPr>
                              <w:t xml:space="preserve">The </w:t>
                            </w:r>
                            <w:r>
                              <w:rPr>
                                <w:rFonts w:ascii="Arial" w:hAnsi="Arial" w:cs="Arial"/>
                                <w:sz w:val="22"/>
                                <w:szCs w:val="22"/>
                              </w:rPr>
                              <w:t xml:space="preserve">Government </w:t>
                            </w:r>
                            <w:r w:rsidRPr="0081575B">
                              <w:rPr>
                                <w:rFonts w:ascii="Arial" w:hAnsi="Arial" w:cs="Arial"/>
                                <w:sz w:val="22"/>
                                <w:szCs w:val="22"/>
                              </w:rPr>
                              <w:t xml:space="preserve">continues to meet </w:t>
                            </w:r>
                            <w:r>
                              <w:rPr>
                                <w:rFonts w:ascii="Arial" w:hAnsi="Arial" w:cs="Arial"/>
                                <w:sz w:val="22"/>
                                <w:szCs w:val="22"/>
                              </w:rPr>
                              <w:t xml:space="preserve">OFSC </w:t>
                            </w:r>
                            <w:r w:rsidRPr="0081575B">
                              <w:rPr>
                                <w:rFonts w:ascii="Arial" w:hAnsi="Arial" w:cs="Arial"/>
                                <w:sz w:val="22"/>
                                <w:szCs w:val="22"/>
                              </w:rPr>
                              <w:t>costs</w:t>
                            </w:r>
                            <w:r>
                              <w:rPr>
                                <w:rFonts w:ascii="Arial" w:hAnsi="Arial" w:cs="Arial"/>
                                <w:sz w:val="22"/>
                                <w:szCs w:val="22"/>
                              </w:rPr>
                              <w:t>, including for a</w:t>
                            </w:r>
                            <w:r w:rsidRPr="0081575B">
                              <w:rPr>
                                <w:rFonts w:ascii="Arial" w:hAnsi="Arial" w:cs="Arial"/>
                                <w:sz w:val="22"/>
                                <w:szCs w:val="22"/>
                              </w:rPr>
                              <w:t xml:space="preserve">ccreditation and </w:t>
                            </w:r>
                            <w:r>
                              <w:rPr>
                                <w:rFonts w:ascii="Arial" w:hAnsi="Arial" w:cs="Arial"/>
                                <w:sz w:val="22"/>
                                <w:szCs w:val="22"/>
                              </w:rPr>
                              <w:t xml:space="preserve">compliance </w:t>
                            </w:r>
                            <w:r w:rsidRPr="0081575B">
                              <w:rPr>
                                <w:rFonts w:ascii="Arial" w:hAnsi="Arial" w:cs="Arial"/>
                                <w:sz w:val="22"/>
                                <w:szCs w:val="22"/>
                              </w:rPr>
                              <w:t>audits</w:t>
                            </w:r>
                            <w:r>
                              <w:rPr>
                                <w:rFonts w:ascii="Arial" w:hAnsi="Arial" w:cs="Arial"/>
                                <w:sz w:val="22"/>
                                <w:szCs w:val="22"/>
                              </w:rPr>
                              <w:t>, with no charge to companies</w:t>
                            </w:r>
                            <w:r w:rsidRPr="0081575B">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41068819" id="_x0000_s1032" type="#_x0000_t202" style="width:452.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" fillcolor="#d8d8d8 [2732]">
                <v:textbox>
                  <w:txbxContent>
                    <w:p w:rsidR="00226B47" w:rsidRPr="005C2E4D" w:rsidRDefault="00226B47" w:rsidP="000E416C">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7</w:t>
                      </w:r>
                      <w:r w:rsidRPr="005E46C2">
                        <w:rPr>
                          <w:rFonts w:ascii="Arial" w:hAnsi="Arial" w:cs="Arial"/>
                          <w:sz w:val="22"/>
                          <w:szCs w:val="22"/>
                          <w:highlight w:val="lightGray"/>
                        </w:rPr>
                        <w:t>:</w:t>
                      </w:r>
                      <w:r>
                        <w:rPr>
                          <w:rFonts w:ascii="Arial" w:hAnsi="Arial" w:cs="Arial"/>
                          <w:sz w:val="22"/>
                          <w:szCs w:val="22"/>
                        </w:rPr>
                        <w:t xml:space="preserve"> </w:t>
                      </w:r>
                      <w:r w:rsidRPr="0081575B">
                        <w:rPr>
                          <w:rFonts w:ascii="Arial" w:hAnsi="Arial" w:cs="Arial"/>
                          <w:sz w:val="22"/>
                          <w:szCs w:val="22"/>
                        </w:rPr>
                        <w:t xml:space="preserve">The </w:t>
                      </w:r>
                      <w:r>
                        <w:rPr>
                          <w:rFonts w:ascii="Arial" w:hAnsi="Arial" w:cs="Arial"/>
                          <w:sz w:val="22"/>
                          <w:szCs w:val="22"/>
                        </w:rPr>
                        <w:t xml:space="preserve">Government </w:t>
                      </w:r>
                      <w:r w:rsidRPr="0081575B">
                        <w:rPr>
                          <w:rFonts w:ascii="Arial" w:hAnsi="Arial" w:cs="Arial"/>
                          <w:sz w:val="22"/>
                          <w:szCs w:val="22"/>
                        </w:rPr>
                        <w:t xml:space="preserve">continues to meet </w:t>
                      </w:r>
                      <w:r>
                        <w:rPr>
                          <w:rFonts w:ascii="Arial" w:hAnsi="Arial" w:cs="Arial"/>
                          <w:sz w:val="22"/>
                          <w:szCs w:val="22"/>
                        </w:rPr>
                        <w:t xml:space="preserve">OFSC </w:t>
                      </w:r>
                      <w:r w:rsidRPr="0081575B">
                        <w:rPr>
                          <w:rFonts w:ascii="Arial" w:hAnsi="Arial" w:cs="Arial"/>
                          <w:sz w:val="22"/>
                          <w:szCs w:val="22"/>
                        </w:rPr>
                        <w:t>costs</w:t>
                      </w:r>
                      <w:r>
                        <w:rPr>
                          <w:rFonts w:ascii="Arial" w:hAnsi="Arial" w:cs="Arial"/>
                          <w:sz w:val="22"/>
                          <w:szCs w:val="22"/>
                        </w:rPr>
                        <w:t>, including for a</w:t>
                      </w:r>
                      <w:r w:rsidRPr="0081575B">
                        <w:rPr>
                          <w:rFonts w:ascii="Arial" w:hAnsi="Arial" w:cs="Arial"/>
                          <w:sz w:val="22"/>
                          <w:szCs w:val="22"/>
                        </w:rPr>
                        <w:t xml:space="preserve">ccreditation and </w:t>
                      </w:r>
                      <w:r>
                        <w:rPr>
                          <w:rFonts w:ascii="Arial" w:hAnsi="Arial" w:cs="Arial"/>
                          <w:sz w:val="22"/>
                          <w:szCs w:val="22"/>
                        </w:rPr>
                        <w:t xml:space="preserve">compliance </w:t>
                      </w:r>
                      <w:r w:rsidRPr="0081575B">
                        <w:rPr>
                          <w:rFonts w:ascii="Arial" w:hAnsi="Arial" w:cs="Arial"/>
                          <w:sz w:val="22"/>
                          <w:szCs w:val="22"/>
                        </w:rPr>
                        <w:t>audits</w:t>
                      </w:r>
                      <w:r>
                        <w:rPr>
                          <w:rFonts w:ascii="Arial" w:hAnsi="Arial" w:cs="Arial"/>
                          <w:sz w:val="22"/>
                          <w:szCs w:val="22"/>
                        </w:rPr>
                        <w:t>, with no charge to companies</w:t>
                      </w:r>
                      <w:r w:rsidRPr="0081575B">
                        <w:rPr>
                          <w:rFonts w:ascii="Arial" w:hAnsi="Arial" w:cs="Arial"/>
                          <w:sz w:val="22"/>
                          <w:szCs w:val="22"/>
                        </w:rPr>
                        <w:t>.</w:t>
                      </w:r>
                    </w:p>
                  </w:txbxContent>
                </v:textbox>
                <w10:anchorlock/>
              </v:shape>
            </w:pict>
          </mc:Fallback>
        </mc:AlternateContent>
      </w:r>
    </w:p>
    <w:p w:rsidR="000E416C" w:rsidRDefault="000E416C" w:rsidP="000E416C">
      <w:pPr>
        <w:pStyle w:val="CommentText"/>
        <w:spacing w:after="0"/>
        <w:rPr>
          <w:rFonts w:ascii="Arial" w:hAnsi="Arial" w:cs="Arial"/>
          <w:sz w:val="22"/>
          <w:szCs w:val="22"/>
        </w:rPr>
      </w:pPr>
    </w:p>
    <w:p w:rsidR="00B07B41" w:rsidRPr="007D0E4D" w:rsidRDefault="00B07B41" w:rsidP="000E416C">
      <w:pPr>
        <w:pStyle w:val="CommentText"/>
        <w:spacing w:after="0"/>
        <w:rPr>
          <w:rFonts w:ascii="Arial" w:hAnsi="Arial" w:cs="Arial"/>
          <w:sz w:val="22"/>
          <w:szCs w:val="22"/>
        </w:rPr>
      </w:pPr>
    </w:p>
    <w:p w:rsidR="00F160F7" w:rsidRDefault="00EF46A5" w:rsidP="003005B9">
      <w:pPr>
        <w:pStyle w:val="Heading2"/>
      </w:pPr>
      <w:bookmarkStart w:id="29" w:name="_Toc390429516"/>
      <w:r>
        <w:t xml:space="preserve">Application </w:t>
      </w:r>
      <w:r w:rsidR="008F3909">
        <w:t>Prerequisite</w:t>
      </w:r>
      <w:r w:rsidR="00712BEA">
        <w:t xml:space="preserve"> - </w:t>
      </w:r>
      <w:r w:rsidR="00F160F7" w:rsidRPr="007B5A3A">
        <w:t>AS</w:t>
      </w:r>
      <w:r w:rsidR="00F160F7">
        <w:t xml:space="preserve">/NZS </w:t>
      </w:r>
      <w:r w:rsidR="00F160F7" w:rsidRPr="007B5A3A">
        <w:t>4801</w:t>
      </w:r>
      <w:r w:rsidR="00F160F7">
        <w:t>:2001</w:t>
      </w:r>
      <w:bookmarkEnd w:id="29"/>
    </w:p>
    <w:p w:rsidR="00F160F7" w:rsidRDefault="00F160F7" w:rsidP="00F160F7"/>
    <w:p w:rsidR="005C68B1" w:rsidRDefault="00F160F7" w:rsidP="00F160F7">
      <w:pPr>
        <w:rPr>
          <w:rFonts w:ascii="Arial" w:hAnsi="Arial" w:cs="Arial"/>
          <w:sz w:val="22"/>
          <w:szCs w:val="22"/>
        </w:rPr>
      </w:pPr>
      <w:r w:rsidRPr="001A1425">
        <w:rPr>
          <w:rFonts w:ascii="Arial" w:hAnsi="Arial" w:cs="Arial"/>
          <w:sz w:val="22"/>
          <w:szCs w:val="22"/>
        </w:rPr>
        <w:t xml:space="preserve">The Scheme Regulations </w:t>
      </w:r>
      <w:r w:rsidR="00712BEA">
        <w:rPr>
          <w:rFonts w:ascii="Arial" w:hAnsi="Arial" w:cs="Arial"/>
          <w:sz w:val="22"/>
          <w:szCs w:val="22"/>
        </w:rPr>
        <w:t xml:space="preserve">currently </w:t>
      </w:r>
      <w:r w:rsidRPr="001A1425">
        <w:rPr>
          <w:rFonts w:ascii="Arial" w:hAnsi="Arial" w:cs="Arial"/>
          <w:sz w:val="22"/>
          <w:szCs w:val="22"/>
        </w:rPr>
        <w:t>require that a company’s WHSMS has been certified to AS/NZS</w:t>
      </w:r>
      <w:r>
        <w:rPr>
          <w:rFonts w:ascii="Arial" w:hAnsi="Arial" w:cs="Arial"/>
          <w:sz w:val="22"/>
          <w:szCs w:val="22"/>
        </w:rPr>
        <w:t> </w:t>
      </w:r>
      <w:r w:rsidRPr="001A1425">
        <w:rPr>
          <w:rFonts w:ascii="Arial" w:hAnsi="Arial" w:cs="Arial"/>
          <w:sz w:val="22"/>
          <w:szCs w:val="22"/>
        </w:rPr>
        <w:t>4801:2001</w:t>
      </w:r>
      <w:r w:rsidR="00EF46A5">
        <w:rPr>
          <w:rFonts w:ascii="Arial" w:hAnsi="Arial" w:cs="Arial"/>
          <w:sz w:val="22"/>
          <w:szCs w:val="22"/>
        </w:rPr>
        <w:t xml:space="preserve">(or the equivalent international standard </w:t>
      </w:r>
      <w:r w:rsidR="00D15894">
        <w:rPr>
          <w:rFonts w:ascii="Arial" w:hAnsi="Arial" w:cs="Arial"/>
          <w:sz w:val="22"/>
          <w:szCs w:val="22"/>
        </w:rPr>
        <w:t>OHSAS 18001:2007</w:t>
      </w:r>
      <w:r w:rsidR="00EF46A5">
        <w:rPr>
          <w:rFonts w:ascii="Arial" w:hAnsi="Arial" w:cs="Arial"/>
          <w:sz w:val="22"/>
          <w:szCs w:val="22"/>
        </w:rPr>
        <w:t>)</w:t>
      </w:r>
      <w:r w:rsidRPr="001A1425">
        <w:rPr>
          <w:rFonts w:ascii="Arial" w:hAnsi="Arial" w:cs="Arial"/>
          <w:sz w:val="22"/>
          <w:szCs w:val="22"/>
        </w:rPr>
        <w:t xml:space="preserve"> before the FSC can </w:t>
      </w:r>
      <w:r w:rsidR="00712BEA">
        <w:rPr>
          <w:rFonts w:ascii="Arial" w:hAnsi="Arial" w:cs="Arial"/>
          <w:sz w:val="22"/>
          <w:szCs w:val="22"/>
        </w:rPr>
        <w:t xml:space="preserve">consider </w:t>
      </w:r>
      <w:r w:rsidRPr="001A1425">
        <w:rPr>
          <w:rFonts w:ascii="Arial" w:hAnsi="Arial" w:cs="Arial"/>
          <w:sz w:val="22"/>
          <w:szCs w:val="22"/>
        </w:rPr>
        <w:t xml:space="preserve">an application for accreditation. The OFSC requires evidence of this certification as part of the initial application process. </w:t>
      </w:r>
    </w:p>
    <w:p w:rsidR="005C68B1" w:rsidRDefault="005C68B1" w:rsidP="00F160F7">
      <w:pPr>
        <w:rPr>
          <w:rFonts w:ascii="Arial" w:hAnsi="Arial" w:cs="Arial"/>
          <w:sz w:val="22"/>
          <w:szCs w:val="22"/>
        </w:rPr>
      </w:pPr>
    </w:p>
    <w:p w:rsidR="00F160F7" w:rsidRPr="001A1425" w:rsidRDefault="00F160F7" w:rsidP="00F160F7">
      <w:pPr>
        <w:rPr>
          <w:rFonts w:ascii="Arial" w:hAnsi="Arial" w:cs="Arial"/>
          <w:sz w:val="22"/>
          <w:szCs w:val="22"/>
        </w:rPr>
      </w:pPr>
      <w:r w:rsidRPr="001A1425">
        <w:rPr>
          <w:rFonts w:ascii="Arial" w:hAnsi="Arial" w:cs="Arial"/>
          <w:sz w:val="22"/>
          <w:szCs w:val="22"/>
        </w:rPr>
        <w:t xml:space="preserve">This certification was required </w:t>
      </w:r>
      <w:r w:rsidR="005C68B1" w:rsidRPr="001A1425">
        <w:rPr>
          <w:rFonts w:ascii="Arial" w:hAnsi="Arial" w:cs="Arial"/>
          <w:sz w:val="22"/>
          <w:szCs w:val="22"/>
        </w:rPr>
        <w:t xml:space="preserve">initially </w:t>
      </w:r>
      <w:r w:rsidR="007D0E4D">
        <w:rPr>
          <w:rFonts w:ascii="Arial" w:hAnsi="Arial" w:cs="Arial"/>
          <w:sz w:val="22"/>
          <w:szCs w:val="22"/>
        </w:rPr>
        <w:t xml:space="preserve">as a prerequisite </w:t>
      </w:r>
      <w:r w:rsidRPr="001A1425">
        <w:rPr>
          <w:rFonts w:ascii="Arial" w:hAnsi="Arial" w:cs="Arial"/>
          <w:sz w:val="22"/>
          <w:szCs w:val="22"/>
        </w:rPr>
        <w:t xml:space="preserve">to ensure that any company applying for accreditation had, as a minimum, an existing WHSMS. The WHSMS criteria applicable under the Scheme were based </w:t>
      </w:r>
      <w:r w:rsidR="0085282D" w:rsidRPr="001A1425">
        <w:rPr>
          <w:rFonts w:ascii="Arial" w:hAnsi="Arial" w:cs="Arial"/>
          <w:sz w:val="22"/>
          <w:szCs w:val="22"/>
        </w:rPr>
        <w:t xml:space="preserve">initially </w:t>
      </w:r>
      <w:r w:rsidRPr="001A1425">
        <w:rPr>
          <w:rFonts w:ascii="Arial" w:hAnsi="Arial" w:cs="Arial"/>
          <w:sz w:val="22"/>
          <w:szCs w:val="22"/>
        </w:rPr>
        <w:t>on the criteria for an AS/NZS 4801:2001 certification.</w:t>
      </w:r>
    </w:p>
    <w:p w:rsidR="00F160F7" w:rsidRPr="001A1425" w:rsidRDefault="00F160F7" w:rsidP="00F160F7">
      <w:pPr>
        <w:rPr>
          <w:rFonts w:ascii="Arial" w:hAnsi="Arial" w:cs="Arial"/>
          <w:sz w:val="22"/>
          <w:szCs w:val="22"/>
        </w:rPr>
      </w:pPr>
    </w:p>
    <w:p w:rsidR="002F1D1A" w:rsidRDefault="000B6FBE" w:rsidP="00F160F7">
      <w:pPr>
        <w:rPr>
          <w:rFonts w:ascii="Arial" w:hAnsi="Arial" w:cs="Arial"/>
          <w:sz w:val="22"/>
          <w:szCs w:val="22"/>
        </w:rPr>
      </w:pPr>
      <w:r>
        <w:rPr>
          <w:rFonts w:ascii="Arial" w:hAnsi="Arial" w:cs="Arial"/>
          <w:sz w:val="22"/>
          <w:szCs w:val="22"/>
        </w:rPr>
        <w:t>However, t</w:t>
      </w:r>
      <w:r w:rsidR="002F1D1A">
        <w:rPr>
          <w:rFonts w:ascii="Arial" w:hAnsi="Arial" w:cs="Arial"/>
          <w:sz w:val="22"/>
          <w:szCs w:val="22"/>
        </w:rPr>
        <w:t>he Scheme</w:t>
      </w:r>
      <w:r>
        <w:rPr>
          <w:rFonts w:ascii="Arial" w:hAnsi="Arial" w:cs="Arial"/>
          <w:sz w:val="22"/>
          <w:szCs w:val="22"/>
        </w:rPr>
        <w:t>’s</w:t>
      </w:r>
      <w:r w:rsidR="002F1D1A">
        <w:rPr>
          <w:rFonts w:ascii="Arial" w:hAnsi="Arial" w:cs="Arial"/>
          <w:sz w:val="22"/>
          <w:szCs w:val="22"/>
        </w:rPr>
        <w:t xml:space="preserve"> criteria are far more extensive than those </w:t>
      </w:r>
      <w:r w:rsidR="00EF46A5">
        <w:rPr>
          <w:rFonts w:ascii="Arial" w:hAnsi="Arial" w:cs="Arial"/>
          <w:sz w:val="22"/>
          <w:szCs w:val="22"/>
        </w:rPr>
        <w:t>required under</w:t>
      </w:r>
      <w:r w:rsidR="002F1D1A">
        <w:rPr>
          <w:rFonts w:ascii="Arial" w:hAnsi="Arial" w:cs="Arial"/>
          <w:sz w:val="22"/>
          <w:szCs w:val="22"/>
        </w:rPr>
        <w:t xml:space="preserve"> </w:t>
      </w:r>
      <w:r w:rsidR="002F1D1A" w:rsidRPr="001A1425">
        <w:rPr>
          <w:rFonts w:ascii="Arial" w:hAnsi="Arial" w:cs="Arial"/>
          <w:sz w:val="22"/>
          <w:szCs w:val="22"/>
        </w:rPr>
        <w:t>AS/NZS</w:t>
      </w:r>
      <w:r w:rsidR="004E1FB5">
        <w:rPr>
          <w:rFonts w:ascii="Arial" w:hAnsi="Arial" w:cs="Arial"/>
          <w:sz w:val="22"/>
          <w:szCs w:val="22"/>
        </w:rPr>
        <w:t> </w:t>
      </w:r>
      <w:r w:rsidR="002F1D1A" w:rsidRPr="001A1425">
        <w:rPr>
          <w:rFonts w:ascii="Arial" w:hAnsi="Arial" w:cs="Arial"/>
          <w:sz w:val="22"/>
          <w:szCs w:val="22"/>
        </w:rPr>
        <w:t>4801:2001</w:t>
      </w:r>
      <w:r w:rsidR="002F1D1A">
        <w:rPr>
          <w:rFonts w:ascii="Arial" w:hAnsi="Arial" w:cs="Arial"/>
          <w:sz w:val="22"/>
          <w:szCs w:val="22"/>
        </w:rPr>
        <w:t xml:space="preserve">, and unlike that standard, relate specifically to the building and construction industry. </w:t>
      </w:r>
      <w:r>
        <w:rPr>
          <w:rFonts w:ascii="Arial" w:hAnsi="Arial" w:cs="Arial"/>
          <w:sz w:val="22"/>
          <w:szCs w:val="22"/>
        </w:rPr>
        <w:t>In its experience, t</w:t>
      </w:r>
      <w:r w:rsidR="002F1D1A">
        <w:rPr>
          <w:rFonts w:ascii="Arial" w:hAnsi="Arial" w:cs="Arial"/>
          <w:sz w:val="22"/>
          <w:szCs w:val="22"/>
        </w:rPr>
        <w:t>he OFSC</w:t>
      </w:r>
      <w:r w:rsidR="007D0E4D">
        <w:rPr>
          <w:rFonts w:ascii="Arial" w:hAnsi="Arial" w:cs="Arial"/>
          <w:sz w:val="22"/>
          <w:szCs w:val="22"/>
        </w:rPr>
        <w:t xml:space="preserve"> has found</w:t>
      </w:r>
      <w:r w:rsidR="002F1D1A">
        <w:rPr>
          <w:rFonts w:ascii="Arial" w:hAnsi="Arial" w:cs="Arial"/>
          <w:sz w:val="22"/>
          <w:szCs w:val="22"/>
        </w:rPr>
        <w:t xml:space="preserve"> </w:t>
      </w:r>
      <w:r w:rsidR="007D0E4D">
        <w:rPr>
          <w:rFonts w:ascii="Arial" w:hAnsi="Arial" w:cs="Arial"/>
          <w:sz w:val="22"/>
          <w:szCs w:val="22"/>
        </w:rPr>
        <w:t>that</w:t>
      </w:r>
      <w:r w:rsidR="002F1D1A">
        <w:rPr>
          <w:rFonts w:ascii="Arial" w:hAnsi="Arial" w:cs="Arial"/>
          <w:sz w:val="22"/>
          <w:szCs w:val="22"/>
        </w:rPr>
        <w:t xml:space="preserve"> </w:t>
      </w:r>
      <w:r w:rsidR="00EF46A5">
        <w:rPr>
          <w:rFonts w:ascii="Arial" w:hAnsi="Arial" w:cs="Arial"/>
          <w:sz w:val="22"/>
          <w:szCs w:val="22"/>
        </w:rPr>
        <w:t xml:space="preserve">OFSC </w:t>
      </w:r>
      <w:r w:rsidR="002F1D1A">
        <w:rPr>
          <w:rFonts w:ascii="Arial" w:hAnsi="Arial" w:cs="Arial"/>
          <w:sz w:val="22"/>
          <w:szCs w:val="22"/>
        </w:rPr>
        <w:t xml:space="preserve">audits are more </w:t>
      </w:r>
      <w:r w:rsidR="007D0E4D">
        <w:rPr>
          <w:rFonts w:ascii="Arial" w:hAnsi="Arial" w:cs="Arial"/>
          <w:sz w:val="22"/>
          <w:szCs w:val="22"/>
        </w:rPr>
        <w:t xml:space="preserve">extensive and </w:t>
      </w:r>
      <w:r w:rsidR="002F1D1A">
        <w:rPr>
          <w:rFonts w:ascii="Arial" w:hAnsi="Arial" w:cs="Arial"/>
          <w:sz w:val="22"/>
          <w:szCs w:val="22"/>
        </w:rPr>
        <w:t xml:space="preserve">thorough than those undertaken as part of the </w:t>
      </w:r>
      <w:r w:rsidR="002F1D1A" w:rsidRPr="001A1425">
        <w:rPr>
          <w:rFonts w:ascii="Arial" w:hAnsi="Arial" w:cs="Arial"/>
          <w:sz w:val="22"/>
          <w:szCs w:val="22"/>
        </w:rPr>
        <w:t>AS/NZS 4801:2001</w:t>
      </w:r>
      <w:r w:rsidR="002F1D1A">
        <w:rPr>
          <w:rFonts w:ascii="Arial" w:hAnsi="Arial" w:cs="Arial"/>
          <w:sz w:val="22"/>
          <w:szCs w:val="22"/>
        </w:rPr>
        <w:t xml:space="preserve"> audit process. This view </w:t>
      </w:r>
      <w:r w:rsidR="00EF46A5">
        <w:rPr>
          <w:rFonts w:ascii="Arial" w:hAnsi="Arial" w:cs="Arial"/>
          <w:sz w:val="22"/>
          <w:szCs w:val="22"/>
        </w:rPr>
        <w:t>has also been</w:t>
      </w:r>
      <w:r w:rsidR="002F1D1A">
        <w:rPr>
          <w:rFonts w:ascii="Arial" w:hAnsi="Arial" w:cs="Arial"/>
          <w:sz w:val="22"/>
          <w:szCs w:val="22"/>
        </w:rPr>
        <w:t xml:space="preserve"> expressed by many in the industry. </w:t>
      </w:r>
    </w:p>
    <w:p w:rsidR="002F1D1A" w:rsidRDefault="002F1D1A" w:rsidP="00F160F7">
      <w:pPr>
        <w:rPr>
          <w:rFonts w:ascii="Arial" w:hAnsi="Arial" w:cs="Arial"/>
          <w:sz w:val="22"/>
          <w:szCs w:val="22"/>
        </w:rPr>
      </w:pPr>
    </w:p>
    <w:p w:rsidR="00F160F7" w:rsidRPr="001A1425" w:rsidRDefault="00C92B22" w:rsidP="00F160F7">
      <w:pPr>
        <w:rPr>
          <w:rFonts w:ascii="Arial" w:hAnsi="Arial" w:cs="Arial"/>
          <w:sz w:val="22"/>
          <w:szCs w:val="22"/>
        </w:rPr>
      </w:pPr>
      <w:r>
        <w:rPr>
          <w:rFonts w:ascii="Arial" w:hAnsi="Arial" w:cs="Arial"/>
          <w:sz w:val="22"/>
          <w:szCs w:val="22"/>
        </w:rPr>
        <w:t>In addition, there are direct costs</w:t>
      </w:r>
      <w:r w:rsidR="00F160F7" w:rsidRPr="001A1425">
        <w:rPr>
          <w:rFonts w:ascii="Arial" w:hAnsi="Arial" w:cs="Arial"/>
          <w:sz w:val="22"/>
          <w:szCs w:val="22"/>
        </w:rPr>
        <w:t xml:space="preserve"> to a company to achieve certification under AS/NZS</w:t>
      </w:r>
      <w:r>
        <w:rPr>
          <w:rFonts w:ascii="Arial" w:hAnsi="Arial" w:cs="Arial"/>
          <w:sz w:val="22"/>
          <w:szCs w:val="22"/>
        </w:rPr>
        <w:t> </w:t>
      </w:r>
      <w:r w:rsidR="00F160F7" w:rsidRPr="001A1425">
        <w:rPr>
          <w:rFonts w:ascii="Arial" w:hAnsi="Arial" w:cs="Arial"/>
          <w:sz w:val="22"/>
          <w:szCs w:val="22"/>
        </w:rPr>
        <w:t>4801:2001</w:t>
      </w:r>
      <w:r>
        <w:rPr>
          <w:rFonts w:ascii="Arial" w:hAnsi="Arial" w:cs="Arial"/>
          <w:sz w:val="22"/>
          <w:szCs w:val="22"/>
        </w:rPr>
        <w:t xml:space="preserve">. These costs are </w:t>
      </w:r>
      <w:r w:rsidR="00F160F7" w:rsidRPr="001A1425">
        <w:rPr>
          <w:rFonts w:ascii="Arial" w:hAnsi="Arial" w:cs="Arial"/>
          <w:sz w:val="22"/>
          <w:szCs w:val="22"/>
        </w:rPr>
        <w:t>dependent upon a number of factors including the extent to which a WHSMS is already in place within the company, the size of the company, the complexity of the business, the number of permanent and temporary locations the company operates in</w:t>
      </w:r>
      <w:r w:rsidR="003518C9">
        <w:rPr>
          <w:rFonts w:ascii="Arial" w:hAnsi="Arial" w:cs="Arial"/>
          <w:sz w:val="22"/>
          <w:szCs w:val="22"/>
        </w:rPr>
        <w:t>,</w:t>
      </w:r>
      <w:r w:rsidR="00F160F7" w:rsidRPr="001A1425">
        <w:rPr>
          <w:rFonts w:ascii="Arial" w:hAnsi="Arial" w:cs="Arial"/>
          <w:sz w:val="22"/>
          <w:szCs w:val="22"/>
        </w:rPr>
        <w:t xml:space="preserve"> and the number of audit days required to achieve the certification. </w:t>
      </w:r>
    </w:p>
    <w:p w:rsidR="00F160F7" w:rsidRPr="001A1425" w:rsidRDefault="00F160F7" w:rsidP="00F160F7">
      <w:pPr>
        <w:rPr>
          <w:rFonts w:ascii="Arial" w:hAnsi="Arial" w:cs="Arial"/>
          <w:sz w:val="22"/>
          <w:szCs w:val="22"/>
        </w:rPr>
      </w:pPr>
    </w:p>
    <w:p w:rsidR="00F160F7" w:rsidRPr="001A1425" w:rsidRDefault="008636AE" w:rsidP="00F160F7">
      <w:pPr>
        <w:rPr>
          <w:rFonts w:ascii="Arial" w:hAnsi="Arial" w:cs="Arial"/>
          <w:sz w:val="22"/>
          <w:szCs w:val="22"/>
        </w:rPr>
      </w:pPr>
      <w:r>
        <w:rPr>
          <w:rFonts w:ascii="Arial" w:hAnsi="Arial" w:cs="Arial"/>
          <w:sz w:val="22"/>
          <w:szCs w:val="22"/>
        </w:rPr>
        <w:t>Cost</w:t>
      </w:r>
      <w:r w:rsidR="00F160F7" w:rsidRPr="001A1425">
        <w:rPr>
          <w:rFonts w:ascii="Arial" w:hAnsi="Arial" w:cs="Arial"/>
          <w:sz w:val="22"/>
          <w:szCs w:val="22"/>
        </w:rPr>
        <w:t xml:space="preserve">s as advised by an accredited third party certification body would suggest that certification for WHS ranges from approximately $8,000 </w:t>
      </w:r>
      <w:r w:rsidR="007656EE">
        <w:rPr>
          <w:rFonts w:ascii="Arial" w:hAnsi="Arial" w:cs="Arial"/>
          <w:sz w:val="22"/>
          <w:szCs w:val="22"/>
        </w:rPr>
        <w:t>(</w:t>
      </w:r>
      <w:r w:rsidR="00F160F7" w:rsidRPr="001A1425">
        <w:rPr>
          <w:rFonts w:ascii="Arial" w:hAnsi="Arial" w:cs="Arial"/>
          <w:sz w:val="22"/>
          <w:szCs w:val="22"/>
        </w:rPr>
        <w:t xml:space="preserve">for the smallest of </w:t>
      </w:r>
      <w:r w:rsidR="0085282D">
        <w:rPr>
          <w:rFonts w:ascii="Arial" w:hAnsi="Arial" w:cs="Arial"/>
          <w:sz w:val="22"/>
          <w:szCs w:val="22"/>
        </w:rPr>
        <w:t>companies</w:t>
      </w:r>
      <w:r w:rsidR="007656EE">
        <w:rPr>
          <w:rFonts w:ascii="Arial" w:hAnsi="Arial" w:cs="Arial"/>
          <w:sz w:val="22"/>
          <w:szCs w:val="22"/>
        </w:rPr>
        <w:t>)</w:t>
      </w:r>
      <w:r w:rsidR="00F160F7" w:rsidRPr="001A1425">
        <w:rPr>
          <w:rFonts w:ascii="Arial" w:hAnsi="Arial" w:cs="Arial"/>
          <w:sz w:val="22"/>
          <w:szCs w:val="22"/>
        </w:rPr>
        <w:t xml:space="preserve"> up to $80,000 or more. </w:t>
      </w:r>
      <w:r w:rsidR="0085282D">
        <w:rPr>
          <w:rFonts w:ascii="Arial" w:hAnsi="Arial" w:cs="Arial"/>
          <w:sz w:val="22"/>
          <w:szCs w:val="22"/>
        </w:rPr>
        <w:t>Companies</w:t>
      </w:r>
      <w:r w:rsidR="00F160F7" w:rsidRPr="001A1425">
        <w:rPr>
          <w:rFonts w:ascii="Arial" w:hAnsi="Arial" w:cs="Arial"/>
          <w:sz w:val="22"/>
          <w:szCs w:val="22"/>
        </w:rPr>
        <w:t xml:space="preserve"> that engage consultants to deliver certification could spend between $10,000</w:t>
      </w:r>
      <w:r w:rsidR="0085282D">
        <w:rPr>
          <w:rFonts w:ascii="Arial" w:hAnsi="Arial" w:cs="Arial"/>
          <w:sz w:val="22"/>
          <w:szCs w:val="22"/>
        </w:rPr>
        <w:t>,</w:t>
      </w:r>
      <w:r w:rsidR="00F160F7" w:rsidRPr="001A1425">
        <w:rPr>
          <w:rFonts w:ascii="Arial" w:hAnsi="Arial" w:cs="Arial"/>
          <w:sz w:val="22"/>
          <w:szCs w:val="22"/>
        </w:rPr>
        <w:t xml:space="preserve"> for a small three to four person business</w:t>
      </w:r>
      <w:r w:rsidR="0085282D">
        <w:rPr>
          <w:rFonts w:ascii="Arial" w:hAnsi="Arial" w:cs="Arial"/>
          <w:sz w:val="22"/>
          <w:szCs w:val="22"/>
        </w:rPr>
        <w:t>,</w:t>
      </w:r>
      <w:r w:rsidR="00F160F7" w:rsidRPr="001A1425">
        <w:rPr>
          <w:rFonts w:ascii="Arial" w:hAnsi="Arial" w:cs="Arial"/>
          <w:sz w:val="22"/>
          <w:szCs w:val="22"/>
        </w:rPr>
        <w:t xml:space="preserve"> </w:t>
      </w:r>
      <w:r w:rsidR="00F160F7">
        <w:rPr>
          <w:rFonts w:ascii="Arial" w:hAnsi="Arial" w:cs="Arial"/>
          <w:sz w:val="22"/>
          <w:szCs w:val="22"/>
        </w:rPr>
        <w:t xml:space="preserve">and </w:t>
      </w:r>
      <w:r w:rsidR="00F160F7" w:rsidRPr="001A1425">
        <w:rPr>
          <w:rFonts w:ascii="Arial" w:hAnsi="Arial" w:cs="Arial"/>
          <w:sz w:val="22"/>
          <w:szCs w:val="22"/>
        </w:rPr>
        <w:t>up to $200,000 or more for a large organisation. Surveillance audits and recertification audits are required over a three year period to maintain certification.</w:t>
      </w:r>
    </w:p>
    <w:p w:rsidR="00F160F7" w:rsidRPr="001A1425" w:rsidRDefault="00F160F7" w:rsidP="00F160F7">
      <w:pPr>
        <w:rPr>
          <w:rFonts w:ascii="Arial" w:eastAsiaTheme="minorHAnsi" w:hAnsi="Arial" w:cs="Arial"/>
          <w:sz w:val="22"/>
          <w:szCs w:val="22"/>
          <w:lang w:eastAsia="en-US"/>
        </w:rPr>
      </w:pPr>
    </w:p>
    <w:p w:rsidR="00F160F7" w:rsidRDefault="00F160F7" w:rsidP="00F160F7">
      <w:pPr>
        <w:rPr>
          <w:rFonts w:ascii="Arial" w:eastAsiaTheme="minorHAnsi" w:hAnsi="Arial" w:cs="Arial"/>
          <w:sz w:val="22"/>
          <w:szCs w:val="22"/>
          <w:lang w:eastAsia="en-US"/>
        </w:rPr>
      </w:pPr>
      <w:r w:rsidRPr="001A1425">
        <w:rPr>
          <w:rFonts w:ascii="Arial" w:eastAsiaTheme="minorHAnsi" w:hAnsi="Arial" w:cs="Arial"/>
          <w:sz w:val="22"/>
          <w:szCs w:val="22"/>
          <w:lang w:eastAsia="en-US"/>
        </w:rPr>
        <w:t xml:space="preserve">An option </w:t>
      </w:r>
      <w:r w:rsidR="00A567A0">
        <w:rPr>
          <w:rFonts w:ascii="Arial" w:eastAsiaTheme="minorHAnsi" w:hAnsi="Arial" w:cs="Arial"/>
          <w:sz w:val="22"/>
          <w:szCs w:val="22"/>
          <w:lang w:eastAsia="en-US"/>
        </w:rPr>
        <w:t xml:space="preserve">raised in the Discussion Paper </w:t>
      </w:r>
      <w:r w:rsidRPr="001A1425">
        <w:rPr>
          <w:rFonts w:ascii="Arial" w:eastAsiaTheme="minorHAnsi" w:hAnsi="Arial" w:cs="Arial"/>
          <w:sz w:val="22"/>
          <w:szCs w:val="22"/>
          <w:lang w:eastAsia="en-US"/>
        </w:rPr>
        <w:t xml:space="preserve">is to remove the requirement of AS/NZS 4801:2001 certification as a </w:t>
      </w:r>
      <w:r w:rsidR="008F3909">
        <w:rPr>
          <w:rFonts w:ascii="Arial" w:eastAsiaTheme="minorHAnsi" w:hAnsi="Arial" w:cs="Arial"/>
          <w:sz w:val="22"/>
          <w:szCs w:val="22"/>
          <w:lang w:eastAsia="en-US"/>
        </w:rPr>
        <w:t>prerequisite</w:t>
      </w:r>
      <w:r w:rsidRPr="001A1425">
        <w:rPr>
          <w:rFonts w:ascii="Arial" w:eastAsiaTheme="minorHAnsi" w:hAnsi="Arial" w:cs="Arial"/>
          <w:sz w:val="22"/>
          <w:szCs w:val="22"/>
          <w:lang w:eastAsia="en-US"/>
        </w:rPr>
        <w:t xml:space="preserve"> </w:t>
      </w:r>
      <w:r w:rsidR="0085282D">
        <w:rPr>
          <w:rFonts w:ascii="Arial" w:eastAsiaTheme="minorHAnsi" w:hAnsi="Arial" w:cs="Arial"/>
          <w:sz w:val="22"/>
          <w:szCs w:val="22"/>
          <w:lang w:eastAsia="en-US"/>
        </w:rPr>
        <w:t>f</w:t>
      </w:r>
      <w:r w:rsidRPr="001A1425">
        <w:rPr>
          <w:rFonts w:ascii="Arial" w:eastAsiaTheme="minorHAnsi" w:hAnsi="Arial" w:cs="Arial"/>
          <w:sz w:val="22"/>
          <w:szCs w:val="22"/>
          <w:lang w:eastAsia="en-US"/>
        </w:rPr>
        <w:t>o</w:t>
      </w:r>
      <w:r w:rsidR="0085282D">
        <w:rPr>
          <w:rFonts w:ascii="Arial" w:eastAsiaTheme="minorHAnsi" w:hAnsi="Arial" w:cs="Arial"/>
          <w:sz w:val="22"/>
          <w:szCs w:val="22"/>
          <w:lang w:eastAsia="en-US"/>
        </w:rPr>
        <w:t>r</w:t>
      </w:r>
      <w:r w:rsidRPr="001A1425">
        <w:rPr>
          <w:rFonts w:ascii="Arial" w:eastAsiaTheme="minorHAnsi" w:hAnsi="Arial" w:cs="Arial"/>
          <w:sz w:val="22"/>
          <w:szCs w:val="22"/>
          <w:lang w:eastAsia="en-US"/>
        </w:rPr>
        <w:t xml:space="preserve"> applying for accreditation</w:t>
      </w:r>
      <w:r w:rsidR="00EF46A5">
        <w:rPr>
          <w:rFonts w:ascii="Arial" w:eastAsiaTheme="minorHAnsi" w:hAnsi="Arial" w:cs="Arial"/>
          <w:sz w:val="22"/>
          <w:szCs w:val="22"/>
          <w:lang w:eastAsia="en-US"/>
        </w:rPr>
        <w:t>,</w:t>
      </w:r>
      <w:r w:rsidRPr="001A1425">
        <w:rPr>
          <w:rFonts w:ascii="Arial" w:eastAsiaTheme="minorHAnsi" w:hAnsi="Arial" w:cs="Arial"/>
          <w:sz w:val="22"/>
          <w:szCs w:val="22"/>
          <w:lang w:eastAsia="en-US"/>
        </w:rPr>
        <w:t xml:space="preserve"> as Scheme requirements currently subsume AS/NZS 4801:2001 requirements. </w:t>
      </w:r>
      <w:r w:rsidRPr="00A325B1">
        <w:rPr>
          <w:rFonts w:ascii="Arial" w:eastAsiaTheme="minorHAnsi" w:hAnsi="Arial" w:cs="Arial"/>
          <w:sz w:val="22"/>
          <w:szCs w:val="22"/>
          <w:lang w:eastAsia="en-US"/>
        </w:rPr>
        <w:t xml:space="preserve">MBA </w:t>
      </w:r>
      <w:r w:rsidR="00A567A0">
        <w:rPr>
          <w:rFonts w:ascii="Arial" w:eastAsiaTheme="minorHAnsi" w:hAnsi="Arial" w:cs="Arial"/>
          <w:sz w:val="22"/>
          <w:szCs w:val="22"/>
          <w:lang w:eastAsia="en-US"/>
        </w:rPr>
        <w:t xml:space="preserve">and the FSC indicated that </w:t>
      </w:r>
      <w:r w:rsidRPr="00A325B1">
        <w:rPr>
          <w:rFonts w:ascii="Arial" w:eastAsiaTheme="minorHAnsi" w:hAnsi="Arial" w:cs="Arial"/>
          <w:sz w:val="22"/>
          <w:szCs w:val="22"/>
          <w:lang w:eastAsia="en-US"/>
        </w:rPr>
        <w:t xml:space="preserve">this prerequisite </w:t>
      </w:r>
      <w:r w:rsidR="00A567A0">
        <w:rPr>
          <w:rFonts w:ascii="Arial" w:eastAsiaTheme="minorHAnsi" w:hAnsi="Arial" w:cs="Arial"/>
          <w:sz w:val="22"/>
          <w:szCs w:val="22"/>
          <w:lang w:eastAsia="en-US"/>
        </w:rPr>
        <w:t xml:space="preserve">creates </w:t>
      </w:r>
      <w:r w:rsidRPr="00A325B1">
        <w:rPr>
          <w:rFonts w:ascii="Arial" w:eastAsiaTheme="minorHAnsi" w:hAnsi="Arial" w:cs="Arial"/>
          <w:sz w:val="22"/>
          <w:szCs w:val="22"/>
          <w:lang w:eastAsia="en-US"/>
        </w:rPr>
        <w:t>a barrier to entry for small builders</w:t>
      </w:r>
      <w:r>
        <w:rPr>
          <w:rFonts w:ascii="Arial" w:eastAsiaTheme="minorHAnsi" w:hAnsi="Arial" w:cs="Arial"/>
          <w:sz w:val="22"/>
          <w:szCs w:val="22"/>
          <w:lang w:eastAsia="en-US"/>
        </w:rPr>
        <w:t xml:space="preserve"> in that it </w:t>
      </w:r>
      <w:r w:rsidRPr="00A325B1">
        <w:rPr>
          <w:rFonts w:ascii="Arial" w:eastAsiaTheme="minorHAnsi" w:hAnsi="Arial" w:cs="Arial"/>
          <w:sz w:val="22"/>
          <w:szCs w:val="22"/>
          <w:lang w:eastAsia="en-US"/>
        </w:rPr>
        <w:t>creates delays, is costly</w:t>
      </w:r>
      <w:r w:rsidR="0085282D">
        <w:rPr>
          <w:rFonts w:ascii="Arial" w:eastAsiaTheme="minorHAnsi" w:hAnsi="Arial" w:cs="Arial"/>
          <w:sz w:val="22"/>
          <w:szCs w:val="22"/>
          <w:lang w:eastAsia="en-US"/>
        </w:rPr>
        <w:t>, involves</w:t>
      </w:r>
      <w:r w:rsidRPr="00A325B1">
        <w:rPr>
          <w:rFonts w:ascii="Arial" w:eastAsiaTheme="minorHAnsi" w:hAnsi="Arial" w:cs="Arial"/>
          <w:sz w:val="22"/>
          <w:szCs w:val="22"/>
          <w:lang w:eastAsia="en-US"/>
        </w:rPr>
        <w:t xml:space="preserve"> unnecessary red tape, and adds no value to the OFSC audit process.</w:t>
      </w:r>
      <w:r>
        <w:rPr>
          <w:rFonts w:ascii="Arial" w:eastAsiaTheme="minorHAnsi" w:hAnsi="Arial" w:cs="Arial"/>
          <w:sz w:val="22"/>
          <w:szCs w:val="22"/>
          <w:lang w:eastAsia="en-US"/>
        </w:rPr>
        <w:t xml:space="preserve"> </w:t>
      </w:r>
    </w:p>
    <w:p w:rsidR="00F160F7" w:rsidRDefault="00F160F7" w:rsidP="00F160F7">
      <w:pPr>
        <w:rPr>
          <w:rFonts w:ascii="Arial" w:eastAsiaTheme="minorHAnsi" w:hAnsi="Arial" w:cs="Arial"/>
          <w:sz w:val="22"/>
          <w:szCs w:val="22"/>
          <w:lang w:eastAsia="en-US"/>
        </w:rPr>
      </w:pPr>
    </w:p>
    <w:p w:rsidR="0085282D" w:rsidRDefault="00EF46A5" w:rsidP="00F160F7">
      <w:pPr>
        <w:rPr>
          <w:rFonts w:ascii="Arial" w:eastAsiaTheme="minorHAnsi" w:hAnsi="Arial" w:cs="Arial"/>
          <w:sz w:val="22"/>
          <w:szCs w:val="22"/>
          <w:lang w:eastAsia="en-US"/>
        </w:rPr>
      </w:pPr>
      <w:r>
        <w:rPr>
          <w:rFonts w:ascii="Arial" w:eastAsiaTheme="minorHAnsi" w:hAnsi="Arial" w:cs="Arial"/>
          <w:sz w:val="22"/>
          <w:szCs w:val="22"/>
          <w:lang w:eastAsia="en-US"/>
        </w:rPr>
        <w:t>O</w:t>
      </w:r>
      <w:r w:rsidR="00F160F7" w:rsidRPr="005D0C4A">
        <w:rPr>
          <w:rFonts w:ascii="Arial" w:eastAsiaTheme="minorHAnsi" w:hAnsi="Arial" w:cs="Arial"/>
          <w:sz w:val="22"/>
          <w:szCs w:val="22"/>
          <w:lang w:eastAsia="en-US"/>
        </w:rPr>
        <w:t xml:space="preserve">ther stakeholders </w:t>
      </w:r>
      <w:r w:rsidR="00A567A0">
        <w:rPr>
          <w:rFonts w:ascii="Arial" w:eastAsiaTheme="minorHAnsi" w:hAnsi="Arial" w:cs="Arial"/>
          <w:sz w:val="22"/>
          <w:szCs w:val="22"/>
          <w:lang w:eastAsia="en-US"/>
        </w:rPr>
        <w:t>s</w:t>
      </w:r>
      <w:r w:rsidR="0085282D">
        <w:rPr>
          <w:rFonts w:ascii="Arial" w:eastAsiaTheme="minorHAnsi" w:hAnsi="Arial" w:cs="Arial"/>
          <w:sz w:val="22"/>
          <w:szCs w:val="22"/>
          <w:lang w:eastAsia="en-US"/>
        </w:rPr>
        <w:t>ubmitted</w:t>
      </w:r>
      <w:r w:rsidR="00A567A0">
        <w:rPr>
          <w:rFonts w:ascii="Arial" w:eastAsiaTheme="minorHAnsi" w:hAnsi="Arial" w:cs="Arial"/>
          <w:sz w:val="22"/>
          <w:szCs w:val="22"/>
          <w:lang w:eastAsia="en-US"/>
        </w:rPr>
        <w:t xml:space="preserve"> </w:t>
      </w:r>
      <w:r w:rsidR="00F160F7" w:rsidRPr="005D0C4A">
        <w:rPr>
          <w:rFonts w:ascii="Arial" w:eastAsiaTheme="minorHAnsi" w:hAnsi="Arial" w:cs="Arial"/>
          <w:sz w:val="22"/>
          <w:szCs w:val="22"/>
          <w:lang w:eastAsia="en-US"/>
        </w:rPr>
        <w:t>that AS/NZS 4801:2001 represents a good minimum standard or starting point for companies seeking Scheme accreditation</w:t>
      </w:r>
      <w:r>
        <w:rPr>
          <w:rFonts w:ascii="Arial" w:eastAsiaTheme="minorHAnsi" w:hAnsi="Arial" w:cs="Arial"/>
          <w:sz w:val="22"/>
          <w:szCs w:val="22"/>
          <w:lang w:eastAsia="en-US"/>
        </w:rPr>
        <w:t>,</w:t>
      </w:r>
      <w:r w:rsidR="00F160F7" w:rsidRPr="005D0C4A">
        <w:rPr>
          <w:rFonts w:ascii="Arial" w:eastAsiaTheme="minorHAnsi" w:hAnsi="Arial" w:cs="Arial"/>
          <w:sz w:val="22"/>
          <w:szCs w:val="22"/>
          <w:lang w:eastAsia="en-US"/>
        </w:rPr>
        <w:t xml:space="preserve"> </w:t>
      </w:r>
      <w:r>
        <w:rPr>
          <w:rFonts w:ascii="Arial" w:eastAsiaTheme="minorHAnsi" w:hAnsi="Arial" w:cs="Arial"/>
          <w:sz w:val="22"/>
          <w:szCs w:val="22"/>
          <w:lang w:eastAsia="en-US"/>
        </w:rPr>
        <w:t>b</w:t>
      </w:r>
      <w:r w:rsidR="00F160F7" w:rsidRPr="005D0C4A">
        <w:rPr>
          <w:rFonts w:ascii="Arial" w:eastAsiaTheme="minorHAnsi" w:hAnsi="Arial" w:cs="Arial"/>
          <w:sz w:val="22"/>
          <w:szCs w:val="22"/>
          <w:lang w:eastAsia="en-US"/>
        </w:rPr>
        <w:t xml:space="preserve">ut many noted the opportunity for savings by removing this requirement. </w:t>
      </w:r>
      <w:r w:rsidR="00A567A0">
        <w:rPr>
          <w:rFonts w:ascii="Arial" w:eastAsiaTheme="minorHAnsi" w:hAnsi="Arial" w:cs="Arial"/>
          <w:sz w:val="22"/>
          <w:szCs w:val="22"/>
          <w:lang w:eastAsia="en-US"/>
        </w:rPr>
        <w:t xml:space="preserve">The </w:t>
      </w:r>
      <w:r w:rsidR="00300A05">
        <w:rPr>
          <w:rFonts w:ascii="Arial" w:eastAsiaTheme="minorHAnsi" w:hAnsi="Arial" w:cs="Arial"/>
          <w:sz w:val="22"/>
          <w:szCs w:val="22"/>
          <w:lang w:eastAsia="en-US"/>
        </w:rPr>
        <w:t>OFSC</w:t>
      </w:r>
      <w:r w:rsidR="00A567A0">
        <w:rPr>
          <w:rFonts w:ascii="Arial" w:eastAsiaTheme="minorHAnsi" w:hAnsi="Arial" w:cs="Arial"/>
          <w:sz w:val="22"/>
          <w:szCs w:val="22"/>
          <w:lang w:eastAsia="en-US"/>
        </w:rPr>
        <w:t xml:space="preserve">’s discussions </w:t>
      </w:r>
      <w:r w:rsidR="00F160F7" w:rsidRPr="005D0C4A">
        <w:rPr>
          <w:rFonts w:ascii="Arial" w:eastAsiaTheme="minorHAnsi" w:hAnsi="Arial" w:cs="Arial"/>
          <w:sz w:val="22"/>
          <w:szCs w:val="22"/>
          <w:lang w:eastAsia="en-US"/>
        </w:rPr>
        <w:t xml:space="preserve">with </w:t>
      </w:r>
      <w:r w:rsidR="008C32E1">
        <w:rPr>
          <w:rFonts w:ascii="Arial" w:eastAsiaTheme="minorHAnsi" w:hAnsi="Arial" w:cs="Arial"/>
          <w:sz w:val="22"/>
          <w:szCs w:val="22"/>
          <w:lang w:eastAsia="en-US"/>
        </w:rPr>
        <w:t>J</w:t>
      </w:r>
      <w:r w:rsidR="00F160F7" w:rsidRPr="005D0C4A">
        <w:rPr>
          <w:rFonts w:ascii="Arial" w:eastAsiaTheme="minorHAnsi" w:hAnsi="Arial" w:cs="Arial"/>
          <w:sz w:val="22"/>
          <w:szCs w:val="22"/>
          <w:lang w:eastAsia="en-US"/>
        </w:rPr>
        <w:t>AS-</w:t>
      </w:r>
      <w:r w:rsidR="004E1FB5">
        <w:rPr>
          <w:rFonts w:ascii="Arial" w:eastAsiaTheme="minorHAnsi" w:hAnsi="Arial" w:cs="Arial"/>
          <w:sz w:val="22"/>
          <w:szCs w:val="22"/>
          <w:lang w:eastAsia="en-US"/>
        </w:rPr>
        <w:t> A</w:t>
      </w:r>
      <w:r w:rsidR="00F160F7" w:rsidRPr="005D0C4A">
        <w:rPr>
          <w:rFonts w:ascii="Arial" w:eastAsiaTheme="minorHAnsi" w:hAnsi="Arial" w:cs="Arial"/>
          <w:sz w:val="22"/>
          <w:szCs w:val="22"/>
          <w:lang w:eastAsia="en-US"/>
        </w:rPr>
        <w:t>NZ</w:t>
      </w:r>
      <w:r w:rsidR="008C32E1">
        <w:rPr>
          <w:rStyle w:val="FootnoteReference"/>
          <w:rFonts w:ascii="Arial" w:eastAsiaTheme="minorHAnsi" w:hAnsi="Arial" w:cs="Arial"/>
          <w:sz w:val="22"/>
          <w:szCs w:val="22"/>
          <w:lang w:eastAsia="en-US"/>
        </w:rPr>
        <w:footnoteReference w:id="5"/>
      </w:r>
      <w:r w:rsidR="00F160F7" w:rsidRPr="005D0C4A">
        <w:rPr>
          <w:rFonts w:ascii="Arial" w:eastAsiaTheme="minorHAnsi" w:hAnsi="Arial" w:cs="Arial"/>
          <w:sz w:val="22"/>
          <w:szCs w:val="22"/>
          <w:lang w:eastAsia="en-US"/>
        </w:rPr>
        <w:t xml:space="preserve"> confirmed the shortcomings in endeavouring to use AS/NZS 4801:2001 criteria and assessment (which cover a variety of industries) in relation to the specific risks of the building and construction industry.</w:t>
      </w:r>
      <w:r w:rsidR="00F160F7">
        <w:rPr>
          <w:rFonts w:ascii="Arial" w:eastAsiaTheme="minorHAnsi" w:hAnsi="Arial" w:cs="Arial"/>
          <w:sz w:val="22"/>
          <w:szCs w:val="22"/>
          <w:lang w:eastAsia="en-US"/>
        </w:rPr>
        <w:t xml:space="preserve"> </w:t>
      </w:r>
    </w:p>
    <w:p w:rsidR="00131F34" w:rsidRDefault="00131F34">
      <w:pPr>
        <w:rPr>
          <w:rFonts w:ascii="Arial" w:eastAsiaTheme="minorHAnsi" w:hAnsi="Arial" w:cs="Arial"/>
          <w:sz w:val="22"/>
          <w:szCs w:val="22"/>
          <w:lang w:eastAsia="en-US"/>
        </w:rPr>
      </w:pPr>
      <w:r>
        <w:rPr>
          <w:rFonts w:ascii="Arial" w:eastAsiaTheme="minorHAnsi" w:hAnsi="Arial" w:cs="Arial"/>
          <w:sz w:val="22"/>
          <w:szCs w:val="22"/>
          <w:lang w:eastAsia="en-US"/>
        </w:rPr>
        <w:br w:type="page"/>
      </w:r>
    </w:p>
    <w:p w:rsidR="00F160F7" w:rsidRPr="00672516" w:rsidRDefault="00B03528" w:rsidP="00F160F7">
      <w:pPr>
        <w:rPr>
          <w:rFonts w:ascii="Arial" w:eastAsiaTheme="minorHAnsi" w:hAnsi="Arial" w:cs="Arial"/>
          <w:sz w:val="22"/>
          <w:szCs w:val="22"/>
          <w:lang w:eastAsia="en-US"/>
        </w:rPr>
      </w:pPr>
      <w:r>
        <w:rPr>
          <w:rFonts w:ascii="Arial" w:eastAsiaTheme="minorHAnsi" w:hAnsi="Arial" w:cs="Arial"/>
          <w:sz w:val="22"/>
          <w:szCs w:val="22"/>
          <w:lang w:eastAsia="en-US"/>
        </w:rPr>
        <w:t xml:space="preserve">CCF </w:t>
      </w:r>
      <w:r w:rsidR="002F1D1A" w:rsidRPr="00672516">
        <w:rPr>
          <w:rFonts w:ascii="Arial" w:hAnsi="Arial" w:cs="Arial"/>
          <w:sz w:val="22"/>
          <w:szCs w:val="22"/>
        </w:rPr>
        <w:t xml:space="preserve">proposed that the </w:t>
      </w:r>
      <w:r w:rsidR="002F1D1A" w:rsidRPr="00672516">
        <w:rPr>
          <w:rFonts w:ascii="Arial" w:eastAsiaTheme="minorHAnsi" w:hAnsi="Arial" w:cs="Arial"/>
          <w:sz w:val="22"/>
          <w:szCs w:val="22"/>
          <w:lang w:eastAsia="en-US"/>
        </w:rPr>
        <w:t xml:space="preserve">OFSC work with JAS-ANZ to set in place strategies to improve the consistency of </w:t>
      </w:r>
      <w:r w:rsidR="002F1D1A" w:rsidRPr="005D0C4A">
        <w:rPr>
          <w:rFonts w:ascii="Arial" w:eastAsiaTheme="minorHAnsi" w:hAnsi="Arial" w:cs="Arial"/>
          <w:sz w:val="22"/>
          <w:szCs w:val="22"/>
          <w:lang w:eastAsia="en-US"/>
        </w:rPr>
        <w:t xml:space="preserve">AS/NZS 4801:2001 </w:t>
      </w:r>
      <w:r w:rsidR="002F1D1A" w:rsidRPr="00672516">
        <w:rPr>
          <w:rFonts w:ascii="Arial" w:eastAsiaTheme="minorHAnsi" w:hAnsi="Arial" w:cs="Arial"/>
          <w:sz w:val="22"/>
          <w:szCs w:val="22"/>
          <w:lang w:eastAsia="en-US"/>
        </w:rPr>
        <w:t>auditing and</w:t>
      </w:r>
      <w:r w:rsidR="002F1D1A">
        <w:rPr>
          <w:rFonts w:ascii="Arial" w:eastAsiaTheme="minorHAnsi" w:hAnsi="Arial" w:cs="Arial"/>
          <w:sz w:val="22"/>
          <w:szCs w:val="22"/>
          <w:lang w:eastAsia="en-US"/>
        </w:rPr>
        <w:t xml:space="preserve"> certification across industry. T</w:t>
      </w:r>
      <w:r w:rsidR="00A567A0">
        <w:rPr>
          <w:rFonts w:ascii="Arial" w:eastAsiaTheme="minorHAnsi" w:hAnsi="Arial" w:cs="Arial"/>
          <w:sz w:val="22"/>
          <w:szCs w:val="22"/>
          <w:lang w:eastAsia="en-US"/>
        </w:rPr>
        <w:t xml:space="preserve">he </w:t>
      </w:r>
      <w:r w:rsidR="003518C9">
        <w:rPr>
          <w:rFonts w:ascii="Arial" w:eastAsiaTheme="minorHAnsi" w:hAnsi="Arial" w:cs="Arial"/>
          <w:sz w:val="22"/>
          <w:szCs w:val="22"/>
          <w:lang w:eastAsia="en-US"/>
        </w:rPr>
        <w:t>OFSC</w:t>
      </w:r>
      <w:r w:rsidR="00A567A0">
        <w:rPr>
          <w:rFonts w:ascii="Arial" w:eastAsiaTheme="minorHAnsi" w:hAnsi="Arial" w:cs="Arial"/>
          <w:sz w:val="22"/>
          <w:szCs w:val="22"/>
          <w:lang w:eastAsia="en-US"/>
        </w:rPr>
        <w:t xml:space="preserve"> </w:t>
      </w:r>
      <w:r w:rsidR="002F1D1A">
        <w:rPr>
          <w:rFonts w:ascii="Arial" w:eastAsiaTheme="minorHAnsi" w:hAnsi="Arial" w:cs="Arial"/>
          <w:sz w:val="22"/>
          <w:szCs w:val="22"/>
          <w:lang w:eastAsia="en-US"/>
        </w:rPr>
        <w:t xml:space="preserve">has </w:t>
      </w:r>
      <w:r w:rsidR="00A567A0">
        <w:rPr>
          <w:rFonts w:ascii="Arial" w:eastAsiaTheme="minorHAnsi" w:hAnsi="Arial" w:cs="Arial"/>
          <w:sz w:val="22"/>
          <w:szCs w:val="22"/>
          <w:lang w:eastAsia="en-US"/>
        </w:rPr>
        <w:t xml:space="preserve">agreed to </w:t>
      </w:r>
      <w:r w:rsidR="002F1D1A">
        <w:rPr>
          <w:rFonts w:ascii="Arial" w:eastAsiaTheme="minorHAnsi" w:hAnsi="Arial" w:cs="Arial"/>
          <w:sz w:val="22"/>
          <w:szCs w:val="22"/>
          <w:lang w:eastAsia="en-US"/>
        </w:rPr>
        <w:t xml:space="preserve">work with </w:t>
      </w:r>
      <w:r w:rsidR="00A567A0">
        <w:rPr>
          <w:rFonts w:ascii="Arial" w:eastAsiaTheme="minorHAnsi" w:hAnsi="Arial" w:cs="Arial"/>
          <w:sz w:val="22"/>
          <w:szCs w:val="22"/>
          <w:lang w:eastAsia="en-US"/>
        </w:rPr>
        <w:t xml:space="preserve">JAS-ANZ </w:t>
      </w:r>
      <w:r w:rsidR="002F1D1A">
        <w:rPr>
          <w:rFonts w:ascii="Arial" w:eastAsiaTheme="minorHAnsi" w:hAnsi="Arial" w:cs="Arial"/>
          <w:sz w:val="22"/>
          <w:szCs w:val="22"/>
          <w:lang w:eastAsia="en-US"/>
        </w:rPr>
        <w:t xml:space="preserve">to provide advice about </w:t>
      </w:r>
      <w:r w:rsidR="003518C9">
        <w:rPr>
          <w:rFonts w:ascii="Arial" w:eastAsiaTheme="minorHAnsi" w:hAnsi="Arial" w:cs="Arial"/>
          <w:sz w:val="22"/>
          <w:szCs w:val="22"/>
          <w:lang w:eastAsia="en-US"/>
        </w:rPr>
        <w:t>its</w:t>
      </w:r>
      <w:r w:rsidR="00A567A0">
        <w:rPr>
          <w:rFonts w:ascii="Arial" w:eastAsiaTheme="minorHAnsi" w:hAnsi="Arial" w:cs="Arial"/>
          <w:sz w:val="22"/>
          <w:szCs w:val="22"/>
          <w:lang w:eastAsia="en-US"/>
        </w:rPr>
        <w:t xml:space="preserve"> approaches </w:t>
      </w:r>
      <w:r w:rsidR="002F1D1A">
        <w:rPr>
          <w:rFonts w:ascii="Arial" w:eastAsiaTheme="minorHAnsi" w:hAnsi="Arial" w:cs="Arial"/>
          <w:sz w:val="22"/>
          <w:szCs w:val="22"/>
          <w:lang w:eastAsia="en-US"/>
        </w:rPr>
        <w:t>to</w:t>
      </w:r>
      <w:r w:rsidR="00A567A0">
        <w:rPr>
          <w:rFonts w:ascii="Arial" w:eastAsiaTheme="minorHAnsi" w:hAnsi="Arial" w:cs="Arial"/>
          <w:sz w:val="22"/>
          <w:szCs w:val="22"/>
          <w:lang w:eastAsia="en-US"/>
        </w:rPr>
        <w:t xml:space="preserve"> assist with improvements and alignment </w:t>
      </w:r>
      <w:r w:rsidR="002F1D1A">
        <w:rPr>
          <w:rFonts w:ascii="Arial" w:eastAsiaTheme="minorHAnsi" w:hAnsi="Arial" w:cs="Arial"/>
          <w:sz w:val="22"/>
          <w:szCs w:val="22"/>
          <w:lang w:eastAsia="en-US"/>
        </w:rPr>
        <w:t xml:space="preserve">of </w:t>
      </w:r>
      <w:r w:rsidR="002F1D1A" w:rsidRPr="005D0C4A">
        <w:rPr>
          <w:rFonts w:ascii="Arial" w:eastAsiaTheme="minorHAnsi" w:hAnsi="Arial" w:cs="Arial"/>
          <w:sz w:val="22"/>
          <w:szCs w:val="22"/>
          <w:lang w:eastAsia="en-US"/>
        </w:rPr>
        <w:t xml:space="preserve">AS/NZS 4801:2001 </w:t>
      </w:r>
      <w:r w:rsidR="002F1D1A">
        <w:rPr>
          <w:rFonts w:ascii="Arial" w:eastAsiaTheme="minorHAnsi" w:hAnsi="Arial" w:cs="Arial"/>
          <w:sz w:val="22"/>
          <w:szCs w:val="22"/>
          <w:lang w:eastAsia="en-US"/>
        </w:rPr>
        <w:t>with</w:t>
      </w:r>
      <w:r w:rsidR="00A567A0">
        <w:rPr>
          <w:rFonts w:ascii="Arial" w:eastAsiaTheme="minorHAnsi" w:hAnsi="Arial" w:cs="Arial"/>
          <w:sz w:val="22"/>
          <w:szCs w:val="22"/>
          <w:lang w:eastAsia="en-US"/>
        </w:rPr>
        <w:t xml:space="preserve"> Scheme auditing </w:t>
      </w:r>
      <w:r w:rsidR="002F1D1A">
        <w:rPr>
          <w:rFonts w:ascii="Arial" w:eastAsiaTheme="minorHAnsi" w:hAnsi="Arial" w:cs="Arial"/>
          <w:sz w:val="22"/>
          <w:szCs w:val="22"/>
          <w:lang w:eastAsia="en-US"/>
        </w:rPr>
        <w:t xml:space="preserve">standards. </w:t>
      </w:r>
    </w:p>
    <w:p w:rsidR="00F160F7" w:rsidRPr="00672516" w:rsidRDefault="00F160F7" w:rsidP="00F160F7">
      <w:pPr>
        <w:rPr>
          <w:rFonts w:ascii="Arial" w:eastAsiaTheme="minorHAnsi" w:hAnsi="Arial" w:cs="Arial"/>
          <w:sz w:val="22"/>
          <w:szCs w:val="22"/>
          <w:lang w:eastAsia="en-US"/>
        </w:rPr>
      </w:pPr>
    </w:p>
    <w:p w:rsidR="00F160F7" w:rsidRDefault="00F160F7" w:rsidP="00F160F7">
      <w:pPr>
        <w:rPr>
          <w:rFonts w:ascii="Arial" w:eastAsiaTheme="minorHAnsi" w:hAnsi="Arial" w:cs="Arial"/>
          <w:sz w:val="22"/>
          <w:szCs w:val="22"/>
          <w:lang w:eastAsia="en-US"/>
        </w:rPr>
      </w:pPr>
      <w:r w:rsidRPr="005D0C4A">
        <w:rPr>
          <w:rFonts w:ascii="Arial" w:eastAsiaTheme="minorHAnsi" w:hAnsi="Arial" w:cs="Arial"/>
          <w:sz w:val="22"/>
          <w:szCs w:val="22"/>
          <w:lang w:eastAsia="en-US"/>
        </w:rPr>
        <w:t>A key argument for retention of AS/NZS 4801:2001 is that it g</w:t>
      </w:r>
      <w:r>
        <w:rPr>
          <w:rFonts w:ascii="Arial" w:eastAsiaTheme="minorHAnsi" w:hAnsi="Arial" w:cs="Arial"/>
          <w:sz w:val="22"/>
          <w:szCs w:val="22"/>
          <w:lang w:eastAsia="en-US"/>
        </w:rPr>
        <w:t xml:space="preserve">ives </w:t>
      </w:r>
      <w:r w:rsidRPr="005D0C4A">
        <w:rPr>
          <w:rFonts w:ascii="Arial" w:eastAsiaTheme="minorHAnsi" w:hAnsi="Arial" w:cs="Arial"/>
          <w:sz w:val="22"/>
          <w:szCs w:val="22"/>
          <w:lang w:eastAsia="en-US"/>
        </w:rPr>
        <w:t xml:space="preserve">companies some insight into what to expect at OFSC audits. </w:t>
      </w:r>
      <w:r>
        <w:rPr>
          <w:rFonts w:ascii="Arial" w:eastAsiaTheme="minorHAnsi" w:hAnsi="Arial" w:cs="Arial"/>
          <w:sz w:val="22"/>
          <w:szCs w:val="22"/>
          <w:lang w:eastAsia="en-US"/>
        </w:rPr>
        <w:t>The OFSC audit experience indicate</w:t>
      </w:r>
      <w:r w:rsidR="008D690A">
        <w:rPr>
          <w:rFonts w:ascii="Arial" w:eastAsiaTheme="minorHAnsi" w:hAnsi="Arial" w:cs="Arial"/>
          <w:sz w:val="22"/>
          <w:szCs w:val="22"/>
          <w:lang w:eastAsia="en-US"/>
        </w:rPr>
        <w:t>s</w:t>
      </w:r>
      <w:r>
        <w:rPr>
          <w:rFonts w:ascii="Arial" w:eastAsiaTheme="minorHAnsi" w:hAnsi="Arial" w:cs="Arial"/>
          <w:sz w:val="22"/>
          <w:szCs w:val="22"/>
          <w:lang w:eastAsia="en-US"/>
        </w:rPr>
        <w:t xml:space="preserve"> that</w:t>
      </w:r>
      <w:r w:rsidR="002F1D1A">
        <w:rPr>
          <w:rFonts w:ascii="Arial" w:eastAsiaTheme="minorHAnsi" w:hAnsi="Arial" w:cs="Arial"/>
          <w:sz w:val="22"/>
          <w:szCs w:val="22"/>
          <w:lang w:eastAsia="en-US"/>
        </w:rPr>
        <w:t xml:space="preserve"> more commonly</w:t>
      </w:r>
      <w:r>
        <w:rPr>
          <w:rFonts w:ascii="Arial" w:eastAsiaTheme="minorHAnsi" w:hAnsi="Arial" w:cs="Arial"/>
          <w:sz w:val="22"/>
          <w:szCs w:val="22"/>
          <w:lang w:eastAsia="en-US"/>
        </w:rPr>
        <w:t xml:space="preserve"> it </w:t>
      </w:r>
      <w:r w:rsidR="008D690A">
        <w:rPr>
          <w:rFonts w:ascii="Arial" w:eastAsiaTheme="minorHAnsi" w:hAnsi="Arial" w:cs="Arial"/>
          <w:sz w:val="22"/>
          <w:szCs w:val="22"/>
          <w:lang w:eastAsia="en-US"/>
        </w:rPr>
        <w:t>may</w:t>
      </w:r>
      <w:r>
        <w:rPr>
          <w:rFonts w:ascii="Arial" w:eastAsiaTheme="minorHAnsi" w:hAnsi="Arial" w:cs="Arial"/>
          <w:sz w:val="22"/>
          <w:szCs w:val="22"/>
          <w:lang w:eastAsia="en-US"/>
        </w:rPr>
        <w:t xml:space="preserve"> give </w:t>
      </w:r>
      <w:r w:rsidR="008D690A">
        <w:rPr>
          <w:rFonts w:ascii="Arial" w:eastAsiaTheme="minorHAnsi" w:hAnsi="Arial" w:cs="Arial"/>
          <w:sz w:val="22"/>
          <w:szCs w:val="22"/>
          <w:lang w:eastAsia="en-US"/>
        </w:rPr>
        <w:t xml:space="preserve">some </w:t>
      </w:r>
      <w:r>
        <w:rPr>
          <w:rFonts w:ascii="Arial" w:eastAsiaTheme="minorHAnsi" w:hAnsi="Arial" w:cs="Arial"/>
          <w:sz w:val="22"/>
          <w:szCs w:val="22"/>
          <w:lang w:eastAsia="en-US"/>
        </w:rPr>
        <w:t xml:space="preserve">companies a false sense that they will meet all the OFSC requirements by having received certification against a small subset of criteria audited by the OFSC. This leads to a level of confusion and frustration. </w:t>
      </w:r>
    </w:p>
    <w:p w:rsidR="00F160F7" w:rsidRDefault="00F160F7" w:rsidP="00F160F7">
      <w:pPr>
        <w:rPr>
          <w:rFonts w:ascii="Arial" w:eastAsiaTheme="minorHAnsi" w:hAnsi="Arial" w:cs="Arial"/>
          <w:sz w:val="22"/>
          <w:szCs w:val="22"/>
          <w:lang w:eastAsia="en-US"/>
        </w:rPr>
      </w:pPr>
    </w:p>
    <w:p w:rsidR="00F160F7" w:rsidRPr="005D0C4A" w:rsidRDefault="00F160F7" w:rsidP="00F160F7">
      <w:pPr>
        <w:rPr>
          <w:rFonts w:ascii="Arial" w:eastAsiaTheme="minorHAnsi" w:hAnsi="Arial" w:cs="Arial"/>
          <w:sz w:val="22"/>
          <w:szCs w:val="22"/>
          <w:lang w:eastAsia="en-US"/>
        </w:rPr>
      </w:pPr>
      <w:r w:rsidRPr="005D0C4A">
        <w:rPr>
          <w:rFonts w:ascii="Arial" w:eastAsiaTheme="minorHAnsi" w:hAnsi="Arial" w:cs="Arial"/>
          <w:sz w:val="22"/>
          <w:szCs w:val="22"/>
          <w:lang w:eastAsia="en-US"/>
        </w:rPr>
        <w:t>A number of review recommendations deal specifically with improved communication of the audit process and guidance for companies to improve the accreditation process. It is appropriate, therefore, to replace the requirement for AS/NZS</w:t>
      </w:r>
      <w:r>
        <w:rPr>
          <w:rFonts w:ascii="Arial" w:eastAsiaTheme="minorHAnsi" w:hAnsi="Arial" w:cs="Arial"/>
          <w:sz w:val="22"/>
          <w:szCs w:val="22"/>
          <w:lang w:eastAsia="en-US"/>
        </w:rPr>
        <w:t> </w:t>
      </w:r>
      <w:r w:rsidRPr="005D0C4A">
        <w:rPr>
          <w:rFonts w:ascii="Arial" w:eastAsiaTheme="minorHAnsi" w:hAnsi="Arial" w:cs="Arial"/>
          <w:sz w:val="22"/>
          <w:szCs w:val="22"/>
          <w:lang w:eastAsia="en-US"/>
        </w:rPr>
        <w:t xml:space="preserve">4801:2001 with these measures, increasing clarity of requirements and offering </w:t>
      </w:r>
      <w:r w:rsidR="0085282D">
        <w:rPr>
          <w:rFonts w:ascii="Arial" w:eastAsiaTheme="minorHAnsi" w:hAnsi="Arial" w:cs="Arial"/>
          <w:sz w:val="22"/>
          <w:szCs w:val="22"/>
          <w:lang w:eastAsia="en-US"/>
        </w:rPr>
        <w:t>companies</w:t>
      </w:r>
      <w:r w:rsidRPr="005D0C4A">
        <w:rPr>
          <w:rFonts w:ascii="Arial" w:eastAsiaTheme="minorHAnsi" w:hAnsi="Arial" w:cs="Arial"/>
          <w:sz w:val="22"/>
          <w:szCs w:val="22"/>
          <w:lang w:eastAsia="en-US"/>
        </w:rPr>
        <w:t xml:space="preserve"> an immediate reduction in red tape and costs.</w:t>
      </w:r>
    </w:p>
    <w:p w:rsidR="00F160F7" w:rsidRDefault="00F160F7" w:rsidP="00F160F7">
      <w:pPr>
        <w:rPr>
          <w:rFonts w:ascii="Arial" w:eastAsiaTheme="minorHAnsi" w:hAnsi="Arial" w:cs="Arial"/>
          <w:color w:val="FF0000"/>
          <w:sz w:val="22"/>
          <w:szCs w:val="22"/>
          <w:lang w:eastAsia="en-US"/>
        </w:rPr>
      </w:pPr>
    </w:p>
    <w:p w:rsidR="00F160F7" w:rsidRDefault="00F160F7" w:rsidP="00F160F7">
      <w:pPr>
        <w:spacing w:after="200" w:line="276" w:lineRule="auto"/>
        <w:contextualSpacing/>
        <w:rPr>
          <w:rFonts w:ascii="Arial" w:eastAsiaTheme="minorHAnsi" w:hAnsi="Arial" w:cs="Arial"/>
          <w:sz w:val="22"/>
          <w:szCs w:val="22"/>
          <w:highlight w:val="cyan"/>
          <w:lang w:eastAsia="en-US"/>
        </w:rPr>
      </w:pPr>
      <w:r w:rsidRPr="005C2E4D">
        <w:rPr>
          <w:rFonts w:ascii="Arial" w:hAnsi="Arial" w:cs="Arial"/>
          <w:noProof/>
          <w:sz w:val="22"/>
          <w:szCs w:val="22"/>
        </w:rPr>
        <mc:AlternateContent>
          <mc:Choice Requires="wps">
            <w:drawing>
              <wp:inline distT="0" distB="0" distL="0" distR="0" wp14:anchorId="3C4DD211" wp14:editId="1080A77A">
                <wp:extent cx="5743575" cy="533400"/>
                <wp:effectExtent l="0" t="0" r="28575" b="1905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3340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F160F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8</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Certification to AS/NZS 4801:2001 </w:t>
                            </w:r>
                            <w:r>
                              <w:rPr>
                                <w:rFonts w:ascii="Arial" w:hAnsi="Arial" w:cs="Arial"/>
                                <w:sz w:val="22"/>
                                <w:szCs w:val="22"/>
                              </w:rPr>
                              <w:t xml:space="preserve">or OHSAS 18001:2007 </w:t>
                            </w:r>
                            <w:r w:rsidRPr="009406F8">
                              <w:rPr>
                                <w:rFonts w:ascii="Arial" w:hAnsi="Arial" w:cs="Arial"/>
                                <w:sz w:val="22"/>
                                <w:szCs w:val="22"/>
                              </w:rPr>
                              <w:t>cease</w:t>
                            </w:r>
                            <w:r>
                              <w:rPr>
                                <w:rFonts w:ascii="Arial" w:hAnsi="Arial" w:cs="Arial"/>
                                <w:sz w:val="22"/>
                                <w:szCs w:val="22"/>
                              </w:rPr>
                              <w:t>s</w:t>
                            </w:r>
                            <w:r w:rsidRPr="009406F8">
                              <w:rPr>
                                <w:rFonts w:ascii="Arial" w:hAnsi="Arial" w:cs="Arial"/>
                                <w:sz w:val="22"/>
                                <w:szCs w:val="22"/>
                              </w:rPr>
                              <w:t xml:space="preserve"> to be a prerequisite when applying fo</w:t>
                            </w:r>
                            <w:r>
                              <w:rPr>
                                <w:rFonts w:ascii="Arial" w:hAnsi="Arial" w:cs="Arial"/>
                                <w:sz w:val="22"/>
                                <w:szCs w:val="22"/>
                              </w:rPr>
                              <w:t xml:space="preserve">r accreditation. </w:t>
                            </w:r>
                          </w:p>
                        </w:txbxContent>
                      </wps:txbx>
                      <wps:bodyPr rot="0" vert="horz" wrap="square" lIns="91440" tIns="45720" rIns="91440" bIns="45720" anchor="ctr" anchorCtr="0">
                        <a:noAutofit/>
                      </wps:bodyPr>
                    </wps:wsp>
                  </a:graphicData>
                </a:graphic>
              </wp:inline>
            </w:drawing>
          </mc:Choice>
          <mc:Fallback>
            <w:pict>
              <v:shape w14:anchorId="3C4DD211" id="_x0000_s1033" type="#_x0000_t202" style="width:452.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" fillcolor="#d8d8d8 [2732]">
                <v:textbox>
                  <w:txbxContent>
                    <w:p w:rsidR="00226B47" w:rsidRPr="005C2E4D" w:rsidRDefault="00226B47" w:rsidP="00F160F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8</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Certification to AS/NZS 4801:2001 </w:t>
                      </w:r>
                      <w:r>
                        <w:rPr>
                          <w:rFonts w:ascii="Arial" w:hAnsi="Arial" w:cs="Arial"/>
                          <w:sz w:val="22"/>
                          <w:szCs w:val="22"/>
                        </w:rPr>
                        <w:t xml:space="preserve">or OHSAS 18001:2007 </w:t>
                      </w:r>
                      <w:r w:rsidRPr="009406F8">
                        <w:rPr>
                          <w:rFonts w:ascii="Arial" w:hAnsi="Arial" w:cs="Arial"/>
                          <w:sz w:val="22"/>
                          <w:szCs w:val="22"/>
                        </w:rPr>
                        <w:t>cease</w:t>
                      </w:r>
                      <w:r>
                        <w:rPr>
                          <w:rFonts w:ascii="Arial" w:hAnsi="Arial" w:cs="Arial"/>
                          <w:sz w:val="22"/>
                          <w:szCs w:val="22"/>
                        </w:rPr>
                        <w:t>s</w:t>
                      </w:r>
                      <w:r w:rsidRPr="009406F8">
                        <w:rPr>
                          <w:rFonts w:ascii="Arial" w:hAnsi="Arial" w:cs="Arial"/>
                          <w:sz w:val="22"/>
                          <w:szCs w:val="22"/>
                        </w:rPr>
                        <w:t xml:space="preserve"> to be a prerequisite when applying fo</w:t>
                      </w:r>
                      <w:r>
                        <w:rPr>
                          <w:rFonts w:ascii="Arial" w:hAnsi="Arial" w:cs="Arial"/>
                          <w:sz w:val="22"/>
                          <w:szCs w:val="22"/>
                        </w:rPr>
                        <w:t xml:space="preserve">r accreditation. </w:t>
                      </w:r>
                    </w:p>
                  </w:txbxContent>
                </v:textbox>
                <w10:anchorlock/>
              </v:shape>
            </w:pict>
          </mc:Fallback>
        </mc:AlternateContent>
      </w:r>
    </w:p>
    <w:p w:rsidR="000E416C" w:rsidRDefault="000E416C" w:rsidP="00D67A97">
      <w:pPr>
        <w:rPr>
          <w:rFonts w:ascii="Arial" w:hAnsi="Arial" w:cs="Arial"/>
          <w:sz w:val="22"/>
          <w:szCs w:val="22"/>
        </w:rPr>
      </w:pPr>
    </w:p>
    <w:p w:rsidR="00B07B41" w:rsidRDefault="00B07B41" w:rsidP="00D67A97">
      <w:pPr>
        <w:rPr>
          <w:rFonts w:ascii="Arial" w:hAnsi="Arial" w:cs="Arial"/>
          <w:sz w:val="22"/>
          <w:szCs w:val="22"/>
        </w:rPr>
      </w:pPr>
    </w:p>
    <w:p w:rsidR="00583419" w:rsidRPr="00197B5B" w:rsidRDefault="00EF46A5" w:rsidP="005F4928">
      <w:pPr>
        <w:pStyle w:val="Heading2"/>
      </w:pPr>
      <w:bookmarkStart w:id="30" w:name="_Toc390429517"/>
      <w:r>
        <w:t xml:space="preserve">Improvements to the </w:t>
      </w:r>
      <w:r w:rsidR="00300A05" w:rsidRPr="00197B5B">
        <w:t>Accreditation Process</w:t>
      </w:r>
      <w:bookmarkEnd w:id="30"/>
    </w:p>
    <w:p w:rsidR="00300A05" w:rsidRDefault="00300A05" w:rsidP="00D67A97">
      <w:pPr>
        <w:rPr>
          <w:rFonts w:ascii="Arial" w:hAnsi="Arial" w:cs="Arial"/>
          <w:sz w:val="22"/>
          <w:szCs w:val="22"/>
        </w:rPr>
      </w:pPr>
    </w:p>
    <w:p w:rsidR="00D67A97" w:rsidRDefault="00D67A97" w:rsidP="00D67A97">
      <w:pPr>
        <w:rPr>
          <w:rFonts w:ascii="Arial" w:hAnsi="Arial" w:cs="Arial"/>
          <w:sz w:val="22"/>
          <w:szCs w:val="22"/>
        </w:rPr>
      </w:pPr>
      <w:r w:rsidRPr="005C6E42">
        <w:rPr>
          <w:rFonts w:ascii="Arial" w:hAnsi="Arial" w:cs="Arial"/>
          <w:sz w:val="22"/>
          <w:szCs w:val="22"/>
        </w:rPr>
        <w:t xml:space="preserve">Views </w:t>
      </w:r>
      <w:r>
        <w:rPr>
          <w:rFonts w:ascii="Arial" w:hAnsi="Arial" w:cs="Arial"/>
          <w:sz w:val="22"/>
          <w:szCs w:val="22"/>
        </w:rPr>
        <w:t>were</w:t>
      </w:r>
      <w:r w:rsidRPr="005C6E42">
        <w:rPr>
          <w:rFonts w:ascii="Arial" w:hAnsi="Arial" w:cs="Arial"/>
          <w:sz w:val="22"/>
          <w:szCs w:val="22"/>
        </w:rPr>
        <w:t xml:space="preserve"> sought </w:t>
      </w:r>
      <w:r w:rsidR="000E416C">
        <w:rPr>
          <w:rFonts w:ascii="Arial" w:hAnsi="Arial" w:cs="Arial"/>
          <w:sz w:val="22"/>
          <w:szCs w:val="22"/>
        </w:rPr>
        <w:t xml:space="preserve">through the Discussion Paper and from Advisory Panel members </w:t>
      </w:r>
      <w:r w:rsidRPr="005C6E42">
        <w:rPr>
          <w:rFonts w:ascii="Arial" w:hAnsi="Arial" w:cs="Arial"/>
          <w:sz w:val="22"/>
          <w:szCs w:val="22"/>
        </w:rPr>
        <w:t>as to other measures that may be implemented to further reduce the time taken to gain accreditation.</w:t>
      </w:r>
      <w:r>
        <w:rPr>
          <w:rFonts w:ascii="Arial" w:hAnsi="Arial" w:cs="Arial"/>
          <w:sz w:val="22"/>
          <w:szCs w:val="22"/>
        </w:rPr>
        <w:t xml:space="preserve"> </w:t>
      </w:r>
      <w:r w:rsidRPr="00E307FB">
        <w:rPr>
          <w:rFonts w:ascii="Arial" w:hAnsi="Arial" w:cs="Arial"/>
          <w:sz w:val="22"/>
          <w:szCs w:val="22"/>
        </w:rPr>
        <w:t xml:space="preserve">Submissions noted improvements to date with streamlined processes but suggested improved </w:t>
      </w:r>
      <w:r w:rsidR="0078389F">
        <w:rPr>
          <w:rFonts w:ascii="Arial" w:hAnsi="Arial" w:cs="Arial"/>
          <w:sz w:val="22"/>
          <w:szCs w:val="22"/>
        </w:rPr>
        <w:t>plain--</w:t>
      </w:r>
      <w:r w:rsidRPr="008E5E53">
        <w:rPr>
          <w:rFonts w:ascii="Arial" w:hAnsi="Arial" w:cs="Arial"/>
          <w:sz w:val="22"/>
          <w:szCs w:val="22"/>
        </w:rPr>
        <w:t>English guidance and clearer criteria would further</w:t>
      </w:r>
      <w:r w:rsidRPr="00E307FB">
        <w:rPr>
          <w:rFonts w:ascii="Arial" w:hAnsi="Arial" w:cs="Arial"/>
          <w:sz w:val="22"/>
          <w:szCs w:val="22"/>
        </w:rPr>
        <w:t xml:space="preserve"> assist companies – including small businesses</w:t>
      </w:r>
      <w:r>
        <w:rPr>
          <w:rFonts w:ascii="Arial" w:hAnsi="Arial" w:cs="Arial"/>
          <w:sz w:val="22"/>
          <w:szCs w:val="22"/>
        </w:rPr>
        <w:t xml:space="preserve"> -</w:t>
      </w:r>
      <w:r w:rsidRPr="00E307FB">
        <w:rPr>
          <w:rFonts w:ascii="Arial" w:hAnsi="Arial" w:cs="Arial"/>
          <w:sz w:val="22"/>
          <w:szCs w:val="22"/>
        </w:rPr>
        <w:t xml:space="preserve"> in the accreditation process. </w:t>
      </w:r>
    </w:p>
    <w:p w:rsidR="00D67A97" w:rsidRDefault="00D67A97" w:rsidP="00D67A97">
      <w:pPr>
        <w:rPr>
          <w:rFonts w:ascii="Arial" w:hAnsi="Arial" w:cs="Arial"/>
          <w:sz w:val="22"/>
          <w:szCs w:val="22"/>
        </w:rPr>
      </w:pPr>
    </w:p>
    <w:p w:rsidR="00D67A97" w:rsidRDefault="00D67A97" w:rsidP="00D67A97">
      <w:pPr>
        <w:rPr>
          <w:rFonts w:ascii="Arial" w:hAnsi="Arial" w:cs="Arial"/>
          <w:sz w:val="22"/>
          <w:szCs w:val="22"/>
        </w:rPr>
      </w:pPr>
      <w:r>
        <w:rPr>
          <w:rFonts w:ascii="Arial" w:hAnsi="Arial" w:cs="Arial"/>
          <w:sz w:val="22"/>
          <w:szCs w:val="22"/>
        </w:rPr>
        <w:t>There were a broad range of suggestions from submissions about ways to improve the understanding of Scheme requirements and the accreditation process. Increased communication was a consistent message from stakeholders with the majority of submissions focussed on ways to clarify and communicate requirements. Specific examples of communication included dedicated forums</w:t>
      </w:r>
      <w:r w:rsidR="0078389F">
        <w:rPr>
          <w:rFonts w:ascii="Arial" w:hAnsi="Arial" w:cs="Arial"/>
          <w:sz w:val="22"/>
          <w:szCs w:val="22"/>
        </w:rPr>
        <w:t xml:space="preserve"> on the application process, online tutorials and webinars, on</w:t>
      </w:r>
      <w:r>
        <w:rPr>
          <w:rFonts w:ascii="Arial" w:hAnsi="Arial" w:cs="Arial"/>
          <w:sz w:val="22"/>
          <w:szCs w:val="22"/>
        </w:rPr>
        <w:t xml:space="preserve">line lodgement of applications, expanded mentoring arrangements and utilising industry associations to distribute information. </w:t>
      </w:r>
    </w:p>
    <w:p w:rsidR="00D67A97" w:rsidRDefault="00D67A97" w:rsidP="00D67A97">
      <w:pPr>
        <w:rPr>
          <w:rFonts w:ascii="Arial" w:hAnsi="Arial" w:cs="Arial"/>
          <w:sz w:val="22"/>
          <w:szCs w:val="22"/>
        </w:rPr>
      </w:pPr>
    </w:p>
    <w:p w:rsidR="00D67A97" w:rsidRPr="002316BF" w:rsidRDefault="00D67A97" w:rsidP="00D67A97">
      <w:pPr>
        <w:rPr>
          <w:rFonts w:ascii="Arial" w:hAnsi="Arial" w:cs="Arial"/>
          <w:sz w:val="22"/>
          <w:szCs w:val="22"/>
        </w:rPr>
      </w:pPr>
      <w:r w:rsidRPr="002316BF">
        <w:rPr>
          <w:rFonts w:ascii="Arial" w:hAnsi="Arial" w:cs="Arial"/>
          <w:sz w:val="22"/>
          <w:szCs w:val="22"/>
        </w:rPr>
        <w:t>There was significant focus on the benefits to be gained by helping companies become more prepared for a first accreditation audit</w:t>
      </w:r>
      <w:r w:rsidR="00583419">
        <w:rPr>
          <w:rFonts w:ascii="Arial" w:hAnsi="Arial" w:cs="Arial"/>
          <w:sz w:val="22"/>
          <w:szCs w:val="22"/>
        </w:rPr>
        <w:t>. F</w:t>
      </w:r>
      <w:r w:rsidRPr="002316BF">
        <w:rPr>
          <w:rFonts w:ascii="Arial" w:hAnsi="Arial" w:cs="Arial"/>
          <w:sz w:val="22"/>
          <w:szCs w:val="22"/>
        </w:rPr>
        <w:t xml:space="preserve">or example, </w:t>
      </w:r>
      <w:r w:rsidR="008D690A">
        <w:rPr>
          <w:rFonts w:ascii="Arial" w:hAnsi="Arial" w:cs="Arial"/>
          <w:sz w:val="22"/>
          <w:szCs w:val="22"/>
        </w:rPr>
        <w:t xml:space="preserve">offering </w:t>
      </w:r>
      <w:r w:rsidRPr="002316BF">
        <w:rPr>
          <w:rFonts w:ascii="Arial" w:hAnsi="Arial" w:cs="Arial"/>
          <w:sz w:val="22"/>
          <w:szCs w:val="22"/>
        </w:rPr>
        <w:t>information sessions fo</w:t>
      </w:r>
      <w:r w:rsidR="008D690A">
        <w:rPr>
          <w:rFonts w:ascii="Arial" w:hAnsi="Arial" w:cs="Arial"/>
          <w:sz w:val="22"/>
          <w:szCs w:val="22"/>
        </w:rPr>
        <w:t>r</w:t>
      </w:r>
      <w:r w:rsidRPr="002316BF">
        <w:rPr>
          <w:rFonts w:ascii="Arial" w:hAnsi="Arial" w:cs="Arial"/>
          <w:sz w:val="22"/>
          <w:szCs w:val="22"/>
        </w:rPr>
        <w:t xml:space="preserve"> first time</w:t>
      </w:r>
      <w:r>
        <w:rPr>
          <w:rFonts w:ascii="Arial" w:hAnsi="Arial" w:cs="Arial"/>
          <w:sz w:val="22"/>
          <w:szCs w:val="22"/>
        </w:rPr>
        <w:t xml:space="preserve"> applicants, reinforced </w:t>
      </w:r>
      <w:r w:rsidRPr="002316BF">
        <w:rPr>
          <w:rFonts w:ascii="Arial" w:hAnsi="Arial" w:cs="Arial"/>
          <w:sz w:val="22"/>
          <w:szCs w:val="22"/>
        </w:rPr>
        <w:t xml:space="preserve">by simplified, tailored material aimed specifically </w:t>
      </w:r>
      <w:r w:rsidR="008D690A">
        <w:rPr>
          <w:rFonts w:ascii="Arial" w:hAnsi="Arial" w:cs="Arial"/>
          <w:sz w:val="22"/>
          <w:szCs w:val="22"/>
        </w:rPr>
        <w:t>for</w:t>
      </w:r>
      <w:r w:rsidRPr="002316BF">
        <w:rPr>
          <w:rFonts w:ascii="Arial" w:hAnsi="Arial" w:cs="Arial"/>
          <w:sz w:val="22"/>
          <w:szCs w:val="22"/>
        </w:rPr>
        <w:t xml:space="preserve"> those with little</w:t>
      </w:r>
      <w:r w:rsidR="00583419">
        <w:rPr>
          <w:rFonts w:ascii="Arial" w:hAnsi="Arial" w:cs="Arial"/>
          <w:sz w:val="22"/>
          <w:szCs w:val="22"/>
        </w:rPr>
        <w:t>-t</w:t>
      </w:r>
      <w:r>
        <w:rPr>
          <w:rFonts w:ascii="Arial" w:hAnsi="Arial" w:cs="Arial"/>
          <w:sz w:val="22"/>
          <w:szCs w:val="22"/>
        </w:rPr>
        <w:t>o</w:t>
      </w:r>
      <w:r w:rsidR="00583419">
        <w:rPr>
          <w:rFonts w:ascii="Arial" w:hAnsi="Arial" w:cs="Arial"/>
          <w:sz w:val="22"/>
          <w:szCs w:val="22"/>
        </w:rPr>
        <w:t>-</w:t>
      </w:r>
      <w:r>
        <w:rPr>
          <w:rFonts w:ascii="Arial" w:hAnsi="Arial" w:cs="Arial"/>
          <w:sz w:val="22"/>
          <w:szCs w:val="22"/>
        </w:rPr>
        <w:t xml:space="preserve">no knowledge of the Scheme; and </w:t>
      </w:r>
      <w:r w:rsidRPr="002316BF">
        <w:rPr>
          <w:rFonts w:ascii="Arial" w:hAnsi="Arial" w:cs="Arial"/>
          <w:sz w:val="22"/>
          <w:szCs w:val="22"/>
        </w:rPr>
        <w:t>an initial phone call from an OFSC representative to talk through the accreditation process, building relationships from the start and making applicants feel more at ease</w:t>
      </w:r>
      <w:r w:rsidR="00583419">
        <w:rPr>
          <w:rFonts w:ascii="Arial" w:hAnsi="Arial" w:cs="Arial"/>
          <w:sz w:val="22"/>
          <w:szCs w:val="22"/>
        </w:rPr>
        <w:t>.</w:t>
      </w:r>
    </w:p>
    <w:p w:rsidR="00D67A97" w:rsidRPr="002316BF" w:rsidRDefault="00D67A97" w:rsidP="00D67A97">
      <w:pPr>
        <w:rPr>
          <w:rFonts w:ascii="Arial" w:hAnsi="Arial" w:cs="Arial"/>
          <w:sz w:val="22"/>
          <w:szCs w:val="22"/>
        </w:rPr>
      </w:pPr>
    </w:p>
    <w:p w:rsidR="00D67A97" w:rsidRDefault="00D67A97" w:rsidP="00D67A97">
      <w:pPr>
        <w:rPr>
          <w:rFonts w:ascii="Arial" w:hAnsi="Arial" w:cs="Arial"/>
          <w:sz w:val="22"/>
          <w:szCs w:val="22"/>
        </w:rPr>
      </w:pPr>
      <w:r w:rsidRPr="002316BF">
        <w:rPr>
          <w:rFonts w:ascii="Arial" w:hAnsi="Arial" w:cs="Arial"/>
          <w:sz w:val="22"/>
          <w:szCs w:val="22"/>
        </w:rPr>
        <w:t xml:space="preserve">A number of submissions noted that the </w:t>
      </w:r>
      <w:r w:rsidR="00B164E4">
        <w:rPr>
          <w:rFonts w:ascii="Arial" w:hAnsi="Arial" w:cs="Arial"/>
          <w:sz w:val="22"/>
          <w:szCs w:val="22"/>
        </w:rPr>
        <w:t xml:space="preserve">OFSC </w:t>
      </w:r>
      <w:r w:rsidRPr="002316BF">
        <w:rPr>
          <w:rFonts w:ascii="Arial" w:hAnsi="Arial" w:cs="Arial"/>
          <w:sz w:val="22"/>
          <w:szCs w:val="22"/>
        </w:rPr>
        <w:t xml:space="preserve">website can be confusing, that more practical implementation examples and the level of detail required </w:t>
      </w:r>
      <w:r>
        <w:rPr>
          <w:rFonts w:ascii="Arial" w:hAnsi="Arial" w:cs="Arial"/>
          <w:sz w:val="22"/>
          <w:szCs w:val="22"/>
        </w:rPr>
        <w:t xml:space="preserve">to meet audit criteria </w:t>
      </w:r>
      <w:r w:rsidRPr="002316BF">
        <w:rPr>
          <w:rFonts w:ascii="Arial" w:hAnsi="Arial" w:cs="Arial"/>
          <w:sz w:val="22"/>
          <w:szCs w:val="22"/>
        </w:rPr>
        <w:t>would assist, as would</w:t>
      </w:r>
      <w:r>
        <w:rPr>
          <w:rFonts w:ascii="Arial" w:hAnsi="Arial" w:cs="Arial"/>
          <w:sz w:val="22"/>
          <w:szCs w:val="22"/>
        </w:rPr>
        <w:t xml:space="preserve"> more detailed feedback should an initial audit identify a large number of issues. </w:t>
      </w:r>
    </w:p>
    <w:p w:rsidR="00D67A97" w:rsidRDefault="00D67A97" w:rsidP="00D67A97">
      <w:pPr>
        <w:rPr>
          <w:rFonts w:ascii="Arial" w:hAnsi="Arial" w:cs="Arial"/>
          <w:sz w:val="22"/>
          <w:szCs w:val="22"/>
        </w:rPr>
      </w:pPr>
    </w:p>
    <w:p w:rsidR="001F0027" w:rsidRDefault="00D67A97" w:rsidP="00D67A97">
      <w:pPr>
        <w:rPr>
          <w:rFonts w:ascii="Arial" w:hAnsi="Arial" w:cs="Arial"/>
          <w:sz w:val="22"/>
          <w:szCs w:val="22"/>
        </w:rPr>
      </w:pPr>
      <w:r w:rsidRPr="008E5E53">
        <w:rPr>
          <w:rFonts w:ascii="Arial" w:hAnsi="Arial" w:cs="Arial"/>
          <w:sz w:val="22"/>
          <w:szCs w:val="22"/>
        </w:rPr>
        <w:t>Most stakeholders agree that</w:t>
      </w:r>
      <w:r w:rsidR="001F0027">
        <w:rPr>
          <w:rFonts w:ascii="Arial" w:hAnsi="Arial" w:cs="Arial"/>
          <w:sz w:val="22"/>
          <w:szCs w:val="22"/>
        </w:rPr>
        <w:t>,</w:t>
      </w:r>
      <w:r w:rsidRPr="008E5E53">
        <w:rPr>
          <w:rFonts w:ascii="Arial" w:hAnsi="Arial" w:cs="Arial"/>
          <w:sz w:val="22"/>
          <w:szCs w:val="22"/>
        </w:rPr>
        <w:t xml:space="preserve"> </w:t>
      </w:r>
      <w:r w:rsidR="00300A05" w:rsidRPr="008E5E53">
        <w:rPr>
          <w:rFonts w:ascii="Arial" w:hAnsi="Arial" w:cs="Arial"/>
          <w:sz w:val="22"/>
          <w:szCs w:val="22"/>
        </w:rPr>
        <w:t>to maintain the standards and integrity of the Scheme</w:t>
      </w:r>
      <w:r w:rsidR="001F0027">
        <w:rPr>
          <w:rFonts w:ascii="Arial" w:hAnsi="Arial" w:cs="Arial"/>
          <w:sz w:val="22"/>
          <w:szCs w:val="22"/>
        </w:rPr>
        <w:t>,</w:t>
      </w:r>
      <w:r w:rsidR="00300A05" w:rsidRPr="008E5E53">
        <w:rPr>
          <w:rFonts w:ascii="Arial" w:hAnsi="Arial" w:cs="Arial"/>
          <w:sz w:val="22"/>
          <w:szCs w:val="22"/>
        </w:rPr>
        <w:t xml:space="preserve"> </w:t>
      </w:r>
      <w:r w:rsidRPr="008E5E53">
        <w:rPr>
          <w:rFonts w:ascii="Arial" w:hAnsi="Arial" w:cs="Arial"/>
          <w:sz w:val="22"/>
          <w:szCs w:val="22"/>
        </w:rPr>
        <w:t xml:space="preserve">the safety standards and thoroughness of the assessment required to achieve initial accreditation </w:t>
      </w:r>
      <w:r>
        <w:rPr>
          <w:rFonts w:ascii="Arial" w:hAnsi="Arial" w:cs="Arial"/>
          <w:sz w:val="22"/>
          <w:szCs w:val="22"/>
        </w:rPr>
        <w:t xml:space="preserve">should </w:t>
      </w:r>
      <w:r w:rsidRPr="008E5E53">
        <w:rPr>
          <w:rFonts w:ascii="Arial" w:hAnsi="Arial" w:cs="Arial"/>
          <w:sz w:val="22"/>
          <w:szCs w:val="22"/>
        </w:rPr>
        <w:t>not be compromised</w:t>
      </w:r>
      <w:r w:rsidR="001F0027">
        <w:rPr>
          <w:rFonts w:ascii="Arial" w:hAnsi="Arial" w:cs="Arial"/>
          <w:sz w:val="22"/>
          <w:szCs w:val="22"/>
        </w:rPr>
        <w:t>.</w:t>
      </w:r>
      <w:r w:rsidR="004D2E88">
        <w:rPr>
          <w:rFonts w:ascii="Arial" w:hAnsi="Arial" w:cs="Arial"/>
          <w:sz w:val="22"/>
          <w:szCs w:val="22"/>
        </w:rPr>
        <w:t xml:space="preserve"> </w:t>
      </w:r>
      <w:r w:rsidR="001F0027">
        <w:rPr>
          <w:rFonts w:ascii="Arial" w:hAnsi="Arial" w:cs="Arial"/>
          <w:sz w:val="22"/>
          <w:szCs w:val="22"/>
        </w:rPr>
        <w:t>To do so would also reduce the</w:t>
      </w:r>
      <w:r w:rsidRPr="008E5E53">
        <w:rPr>
          <w:rFonts w:ascii="Arial" w:hAnsi="Arial" w:cs="Arial"/>
          <w:sz w:val="22"/>
          <w:szCs w:val="22"/>
        </w:rPr>
        <w:t xml:space="preserve"> equity </w:t>
      </w:r>
      <w:r w:rsidR="001F0027">
        <w:rPr>
          <w:rFonts w:ascii="Arial" w:hAnsi="Arial" w:cs="Arial"/>
          <w:sz w:val="22"/>
          <w:szCs w:val="22"/>
        </w:rPr>
        <w:t>o</w:t>
      </w:r>
      <w:r w:rsidRPr="008E5E53">
        <w:rPr>
          <w:rFonts w:ascii="Arial" w:hAnsi="Arial" w:cs="Arial"/>
          <w:sz w:val="22"/>
          <w:szCs w:val="22"/>
        </w:rPr>
        <w:t>f accredited builders</w:t>
      </w:r>
      <w:r w:rsidR="001F0027">
        <w:rPr>
          <w:rFonts w:ascii="Arial" w:hAnsi="Arial" w:cs="Arial"/>
          <w:sz w:val="22"/>
          <w:szCs w:val="22"/>
        </w:rPr>
        <w:t xml:space="preserve"> in their meeting the Scheme’s standards</w:t>
      </w:r>
      <w:r w:rsidRPr="008E5E53">
        <w:rPr>
          <w:rFonts w:ascii="Arial" w:hAnsi="Arial" w:cs="Arial"/>
          <w:sz w:val="22"/>
          <w:szCs w:val="22"/>
        </w:rPr>
        <w:t xml:space="preserve">. </w:t>
      </w:r>
    </w:p>
    <w:p w:rsidR="00D67A97" w:rsidRPr="008E5E53" w:rsidRDefault="00D67A97" w:rsidP="00D67A97">
      <w:pPr>
        <w:rPr>
          <w:rFonts w:ascii="Arial" w:hAnsi="Arial" w:cs="Arial"/>
          <w:sz w:val="22"/>
          <w:szCs w:val="22"/>
        </w:rPr>
      </w:pPr>
      <w:r>
        <w:rPr>
          <w:rFonts w:ascii="Arial" w:hAnsi="Arial" w:cs="Arial"/>
          <w:sz w:val="22"/>
          <w:szCs w:val="22"/>
        </w:rPr>
        <w:t>There was g</w:t>
      </w:r>
      <w:r w:rsidRPr="008E5E53">
        <w:rPr>
          <w:rFonts w:ascii="Arial" w:hAnsi="Arial" w:cs="Arial"/>
          <w:sz w:val="22"/>
          <w:szCs w:val="22"/>
        </w:rPr>
        <w:t>eneral agreement that more can be done to improve the understanding of the requirements and reduce the actual and perceived barriers in meeting Scheme standards.</w:t>
      </w:r>
    </w:p>
    <w:p w:rsidR="00C75926" w:rsidRDefault="00C75926" w:rsidP="00E307FB">
      <w:pPr>
        <w:rPr>
          <w:rFonts w:ascii="Arial" w:hAnsi="Arial" w:cs="Arial"/>
          <w:sz w:val="22"/>
          <w:szCs w:val="22"/>
        </w:rPr>
      </w:pPr>
      <w:bookmarkStart w:id="31" w:name="_Toc382816469"/>
    </w:p>
    <w:p w:rsidR="00E41FC9" w:rsidRDefault="001F0027" w:rsidP="003005B9">
      <w:pPr>
        <w:pStyle w:val="Heading2"/>
      </w:pPr>
      <w:bookmarkStart w:id="32" w:name="_Toc390429518"/>
      <w:r>
        <w:t>A</w:t>
      </w:r>
      <w:r w:rsidR="003A6C3E">
        <w:t xml:space="preserve">ccessibility </w:t>
      </w:r>
      <w:r w:rsidR="00E41FC9">
        <w:t>for small companies</w:t>
      </w:r>
      <w:bookmarkEnd w:id="32"/>
    </w:p>
    <w:p w:rsidR="00E41FC9" w:rsidRDefault="00E41FC9" w:rsidP="00E41FC9">
      <w:pPr>
        <w:rPr>
          <w:rFonts w:ascii="Arial" w:hAnsi="Arial" w:cs="Arial"/>
          <w:b/>
          <w:sz w:val="22"/>
          <w:szCs w:val="22"/>
        </w:rPr>
      </w:pPr>
    </w:p>
    <w:p w:rsidR="003A6C3E" w:rsidRPr="009E66C7" w:rsidRDefault="003A6C3E" w:rsidP="003A6C3E">
      <w:pPr>
        <w:rPr>
          <w:rFonts w:ascii="Arial" w:hAnsi="Arial" w:cs="Arial"/>
          <w:sz w:val="22"/>
          <w:szCs w:val="22"/>
        </w:rPr>
      </w:pPr>
      <w:r w:rsidRPr="009E66C7">
        <w:rPr>
          <w:rFonts w:ascii="Arial" w:hAnsi="Arial" w:cs="Arial"/>
          <w:sz w:val="22"/>
          <w:szCs w:val="22"/>
        </w:rPr>
        <w:t xml:space="preserve">Improved information and guidance material </w:t>
      </w:r>
      <w:r w:rsidR="00583419">
        <w:rPr>
          <w:rFonts w:ascii="Arial" w:hAnsi="Arial" w:cs="Arial"/>
          <w:sz w:val="22"/>
          <w:szCs w:val="22"/>
        </w:rPr>
        <w:t>(</w:t>
      </w:r>
      <w:r>
        <w:rPr>
          <w:rFonts w:ascii="Arial" w:hAnsi="Arial" w:cs="Arial"/>
          <w:sz w:val="22"/>
          <w:szCs w:val="22"/>
        </w:rPr>
        <w:t xml:space="preserve">as </w:t>
      </w:r>
      <w:r w:rsidR="00583419">
        <w:rPr>
          <w:rFonts w:ascii="Arial" w:hAnsi="Arial" w:cs="Arial"/>
          <w:sz w:val="22"/>
          <w:szCs w:val="22"/>
        </w:rPr>
        <w:t>discussed</w:t>
      </w:r>
      <w:r>
        <w:rPr>
          <w:rFonts w:ascii="Arial" w:hAnsi="Arial" w:cs="Arial"/>
          <w:sz w:val="22"/>
          <w:szCs w:val="22"/>
        </w:rPr>
        <w:t xml:space="preserve"> above</w:t>
      </w:r>
      <w:r w:rsidR="00583419">
        <w:rPr>
          <w:rFonts w:ascii="Arial" w:hAnsi="Arial" w:cs="Arial"/>
          <w:sz w:val="22"/>
          <w:szCs w:val="22"/>
        </w:rPr>
        <w:t>) are</w:t>
      </w:r>
      <w:r w:rsidRPr="009E66C7">
        <w:rPr>
          <w:rFonts w:ascii="Arial" w:hAnsi="Arial" w:cs="Arial"/>
          <w:sz w:val="22"/>
          <w:szCs w:val="22"/>
        </w:rPr>
        <w:t xml:space="preserve"> particularly important to small companies</w:t>
      </w:r>
      <w:r>
        <w:rPr>
          <w:rFonts w:ascii="Arial" w:hAnsi="Arial" w:cs="Arial"/>
          <w:sz w:val="22"/>
          <w:szCs w:val="22"/>
        </w:rPr>
        <w:t>.</w:t>
      </w:r>
    </w:p>
    <w:p w:rsidR="00E41FC9" w:rsidRDefault="00E41FC9" w:rsidP="00E41FC9">
      <w:pPr>
        <w:outlineLvl w:val="2"/>
        <w:rPr>
          <w:rFonts w:ascii="Arial" w:hAnsi="Arial" w:cs="Arial"/>
          <w:sz w:val="22"/>
          <w:szCs w:val="22"/>
          <w:u w:val="single"/>
        </w:rPr>
      </w:pPr>
    </w:p>
    <w:p w:rsidR="00E41FC9" w:rsidRPr="001A1425" w:rsidRDefault="00E41FC9" w:rsidP="00E41FC9">
      <w:pPr>
        <w:rPr>
          <w:rFonts w:ascii="Arial" w:hAnsi="Arial" w:cs="Arial"/>
          <w:sz w:val="22"/>
          <w:szCs w:val="22"/>
        </w:rPr>
      </w:pPr>
      <w:r w:rsidRPr="001A1425">
        <w:rPr>
          <w:rFonts w:ascii="Arial" w:hAnsi="Arial" w:cs="Arial"/>
          <w:sz w:val="22"/>
          <w:szCs w:val="22"/>
        </w:rPr>
        <w:t xml:space="preserve">While </w:t>
      </w:r>
      <w:r w:rsidR="003A6C3E">
        <w:rPr>
          <w:rFonts w:ascii="Arial" w:hAnsi="Arial" w:cs="Arial"/>
          <w:sz w:val="22"/>
          <w:szCs w:val="22"/>
        </w:rPr>
        <w:t xml:space="preserve">a range of information and </w:t>
      </w:r>
      <w:r w:rsidRPr="001A1425">
        <w:rPr>
          <w:rFonts w:ascii="Arial" w:hAnsi="Arial" w:cs="Arial"/>
          <w:sz w:val="22"/>
          <w:szCs w:val="22"/>
        </w:rPr>
        <w:t>fact sheets about various aspects of the Scheme</w:t>
      </w:r>
      <w:r w:rsidR="00583419" w:rsidRPr="00583419">
        <w:rPr>
          <w:rFonts w:ascii="Arial" w:hAnsi="Arial" w:cs="Arial"/>
          <w:sz w:val="22"/>
          <w:szCs w:val="22"/>
        </w:rPr>
        <w:t xml:space="preserve"> </w:t>
      </w:r>
      <w:r w:rsidR="001F0027" w:rsidRPr="001A1425">
        <w:rPr>
          <w:rFonts w:ascii="Arial" w:hAnsi="Arial" w:cs="Arial"/>
          <w:sz w:val="22"/>
          <w:szCs w:val="22"/>
        </w:rPr>
        <w:t xml:space="preserve">are available </w:t>
      </w:r>
      <w:r w:rsidR="00583419" w:rsidRPr="001A1425">
        <w:rPr>
          <w:rFonts w:ascii="Arial" w:hAnsi="Arial" w:cs="Arial"/>
          <w:sz w:val="22"/>
          <w:szCs w:val="22"/>
        </w:rPr>
        <w:t xml:space="preserve">on the </w:t>
      </w:r>
      <w:r w:rsidR="007656EE">
        <w:rPr>
          <w:rFonts w:ascii="Arial" w:hAnsi="Arial" w:cs="Arial"/>
          <w:sz w:val="22"/>
          <w:szCs w:val="22"/>
        </w:rPr>
        <w:t>O</w:t>
      </w:r>
      <w:r w:rsidR="00583419" w:rsidRPr="001A1425">
        <w:rPr>
          <w:rFonts w:ascii="Arial" w:hAnsi="Arial" w:cs="Arial"/>
          <w:sz w:val="22"/>
          <w:szCs w:val="22"/>
        </w:rPr>
        <w:t>FSC</w:t>
      </w:r>
      <w:r w:rsidR="008D690A">
        <w:rPr>
          <w:rFonts w:ascii="Arial" w:hAnsi="Arial" w:cs="Arial"/>
          <w:sz w:val="22"/>
          <w:szCs w:val="22"/>
        </w:rPr>
        <w:t>’s</w:t>
      </w:r>
      <w:r w:rsidR="00583419" w:rsidRPr="001A1425">
        <w:rPr>
          <w:rFonts w:ascii="Arial" w:hAnsi="Arial" w:cs="Arial"/>
          <w:sz w:val="22"/>
          <w:szCs w:val="22"/>
        </w:rPr>
        <w:t xml:space="preserve"> website</w:t>
      </w:r>
      <w:r w:rsidR="007656EE">
        <w:rPr>
          <w:rFonts w:ascii="Arial" w:hAnsi="Arial" w:cs="Arial"/>
          <w:sz w:val="22"/>
          <w:szCs w:val="22"/>
        </w:rPr>
        <w:t xml:space="preserve"> (</w:t>
      </w:r>
      <w:r w:rsidR="00091148">
        <w:rPr>
          <w:rFonts w:ascii="Arial" w:hAnsi="Arial" w:cs="Arial"/>
          <w:sz w:val="22"/>
          <w:szCs w:val="22"/>
        </w:rPr>
        <w:t>www.</w:t>
      </w:r>
      <w:r w:rsidR="007656EE">
        <w:rPr>
          <w:rFonts w:ascii="Arial" w:hAnsi="Arial" w:cs="Arial"/>
          <w:sz w:val="22"/>
          <w:szCs w:val="22"/>
        </w:rPr>
        <w:t>fsc.gov.au)</w:t>
      </w:r>
      <w:r w:rsidRPr="001A1425">
        <w:rPr>
          <w:rFonts w:ascii="Arial" w:hAnsi="Arial" w:cs="Arial"/>
          <w:sz w:val="22"/>
          <w:szCs w:val="22"/>
        </w:rPr>
        <w:t xml:space="preserve">, and information is communicated to applicants through correspondence during the accreditation process, there are several common questions asked </w:t>
      </w:r>
      <w:r w:rsidR="00583419" w:rsidRPr="001A1425">
        <w:rPr>
          <w:rFonts w:ascii="Arial" w:hAnsi="Arial" w:cs="Arial"/>
          <w:sz w:val="22"/>
          <w:szCs w:val="22"/>
        </w:rPr>
        <w:t xml:space="preserve">consistently </w:t>
      </w:r>
      <w:r w:rsidRPr="001A1425">
        <w:rPr>
          <w:rFonts w:ascii="Arial" w:hAnsi="Arial" w:cs="Arial"/>
          <w:sz w:val="22"/>
          <w:szCs w:val="22"/>
        </w:rPr>
        <w:t xml:space="preserve">by potential applicants and those going through the </w:t>
      </w:r>
      <w:r w:rsidR="001F0027">
        <w:rPr>
          <w:rFonts w:ascii="Arial" w:hAnsi="Arial" w:cs="Arial"/>
          <w:sz w:val="22"/>
          <w:szCs w:val="22"/>
        </w:rPr>
        <w:t xml:space="preserve">accreditation </w:t>
      </w:r>
      <w:r w:rsidRPr="001A1425">
        <w:rPr>
          <w:rFonts w:ascii="Arial" w:hAnsi="Arial" w:cs="Arial"/>
          <w:sz w:val="22"/>
          <w:szCs w:val="22"/>
        </w:rPr>
        <w:t>process.</w:t>
      </w:r>
    </w:p>
    <w:p w:rsidR="00E41FC9" w:rsidRPr="001A1425" w:rsidRDefault="00E41FC9" w:rsidP="00E41FC9">
      <w:pPr>
        <w:rPr>
          <w:rFonts w:ascii="Arial" w:hAnsi="Arial" w:cs="Arial"/>
          <w:sz w:val="22"/>
          <w:szCs w:val="22"/>
        </w:rPr>
      </w:pPr>
    </w:p>
    <w:p w:rsidR="00E41FC9" w:rsidRPr="001A1425" w:rsidRDefault="005D6FD9" w:rsidP="00E41FC9">
      <w:pPr>
        <w:rPr>
          <w:rFonts w:ascii="Arial" w:hAnsi="Arial" w:cs="Arial"/>
          <w:sz w:val="22"/>
          <w:szCs w:val="22"/>
        </w:rPr>
      </w:pPr>
      <w:r>
        <w:rPr>
          <w:rFonts w:ascii="Arial" w:hAnsi="Arial" w:cs="Arial"/>
          <w:sz w:val="22"/>
          <w:szCs w:val="22"/>
        </w:rPr>
        <w:t>T</w:t>
      </w:r>
      <w:r w:rsidRPr="001A1425">
        <w:rPr>
          <w:rFonts w:ascii="Arial" w:hAnsi="Arial" w:cs="Arial"/>
          <w:sz w:val="22"/>
          <w:szCs w:val="22"/>
        </w:rPr>
        <w:t xml:space="preserve">imeframes and outcomes </w:t>
      </w:r>
      <w:r>
        <w:rPr>
          <w:rFonts w:ascii="Arial" w:hAnsi="Arial" w:cs="Arial"/>
          <w:sz w:val="22"/>
          <w:szCs w:val="22"/>
        </w:rPr>
        <w:t xml:space="preserve">may be </w:t>
      </w:r>
      <w:r w:rsidRPr="001A1425">
        <w:rPr>
          <w:rFonts w:ascii="Arial" w:hAnsi="Arial" w:cs="Arial"/>
          <w:sz w:val="22"/>
          <w:szCs w:val="22"/>
        </w:rPr>
        <w:t>improve</w:t>
      </w:r>
      <w:r>
        <w:rPr>
          <w:rFonts w:ascii="Arial" w:hAnsi="Arial" w:cs="Arial"/>
          <w:sz w:val="22"/>
          <w:szCs w:val="22"/>
        </w:rPr>
        <w:t>d</w:t>
      </w:r>
      <w:r w:rsidRPr="001A1425">
        <w:rPr>
          <w:rFonts w:ascii="Arial" w:hAnsi="Arial" w:cs="Arial"/>
          <w:sz w:val="22"/>
          <w:szCs w:val="22"/>
        </w:rPr>
        <w:t xml:space="preserve"> for companies by better preparing them for the accreditation process</w:t>
      </w:r>
      <w:r>
        <w:rPr>
          <w:rFonts w:ascii="Arial" w:hAnsi="Arial" w:cs="Arial"/>
          <w:sz w:val="22"/>
          <w:szCs w:val="22"/>
        </w:rPr>
        <w:t>:</w:t>
      </w:r>
      <w:r w:rsidR="004D2E88">
        <w:rPr>
          <w:rFonts w:ascii="Arial" w:hAnsi="Arial" w:cs="Arial"/>
          <w:sz w:val="22"/>
          <w:szCs w:val="22"/>
        </w:rPr>
        <w:t xml:space="preserve"> </w:t>
      </w:r>
      <w:r>
        <w:rPr>
          <w:rFonts w:ascii="Arial" w:hAnsi="Arial" w:cs="Arial"/>
          <w:sz w:val="22"/>
          <w:szCs w:val="22"/>
        </w:rPr>
        <w:t>by p</w:t>
      </w:r>
      <w:r w:rsidR="00E41FC9" w:rsidRPr="001A1425">
        <w:rPr>
          <w:rFonts w:ascii="Arial" w:hAnsi="Arial" w:cs="Arial"/>
          <w:sz w:val="22"/>
          <w:szCs w:val="22"/>
        </w:rPr>
        <w:t xml:space="preserve">roviding </w:t>
      </w:r>
      <w:r>
        <w:rPr>
          <w:rFonts w:ascii="Arial" w:hAnsi="Arial" w:cs="Arial"/>
          <w:sz w:val="22"/>
          <w:szCs w:val="22"/>
        </w:rPr>
        <w:t xml:space="preserve">them with </w:t>
      </w:r>
      <w:r w:rsidR="00E41FC9" w:rsidRPr="001A1425">
        <w:rPr>
          <w:rFonts w:ascii="Arial" w:hAnsi="Arial" w:cs="Arial"/>
          <w:sz w:val="22"/>
          <w:szCs w:val="22"/>
        </w:rPr>
        <w:t xml:space="preserve">detailed information on what to expect during the accreditation process, </w:t>
      </w:r>
      <w:r>
        <w:rPr>
          <w:rFonts w:ascii="Arial" w:hAnsi="Arial" w:cs="Arial"/>
          <w:sz w:val="22"/>
          <w:szCs w:val="22"/>
        </w:rPr>
        <w:t xml:space="preserve">on </w:t>
      </w:r>
      <w:r w:rsidR="00E41FC9" w:rsidRPr="001A1425">
        <w:rPr>
          <w:rFonts w:ascii="Arial" w:hAnsi="Arial" w:cs="Arial"/>
          <w:sz w:val="22"/>
          <w:szCs w:val="22"/>
        </w:rPr>
        <w:t>the typical next steps and timeframes at each stage of the process</w:t>
      </w:r>
      <w:r w:rsidR="00583419">
        <w:rPr>
          <w:rFonts w:ascii="Arial" w:hAnsi="Arial" w:cs="Arial"/>
          <w:sz w:val="22"/>
          <w:szCs w:val="22"/>
        </w:rPr>
        <w:t>,</w:t>
      </w:r>
      <w:r w:rsidR="00E41FC9" w:rsidRPr="001A1425">
        <w:rPr>
          <w:rFonts w:ascii="Arial" w:hAnsi="Arial" w:cs="Arial"/>
          <w:sz w:val="22"/>
          <w:szCs w:val="22"/>
        </w:rPr>
        <w:t xml:space="preserve"> and </w:t>
      </w:r>
      <w:r>
        <w:rPr>
          <w:rFonts w:ascii="Arial" w:hAnsi="Arial" w:cs="Arial"/>
          <w:sz w:val="22"/>
          <w:szCs w:val="22"/>
        </w:rPr>
        <w:t xml:space="preserve">on </w:t>
      </w:r>
      <w:r w:rsidR="00E41FC9" w:rsidRPr="001A1425">
        <w:rPr>
          <w:rFonts w:ascii="Arial" w:hAnsi="Arial" w:cs="Arial"/>
          <w:sz w:val="22"/>
          <w:szCs w:val="22"/>
        </w:rPr>
        <w:t>when a company needs to contact the OFSC throughout the process.</w:t>
      </w:r>
    </w:p>
    <w:p w:rsidR="00E41FC9" w:rsidRPr="001A1425" w:rsidRDefault="00E41FC9" w:rsidP="00E41FC9">
      <w:pPr>
        <w:rPr>
          <w:rFonts w:ascii="Arial" w:hAnsi="Arial" w:cs="Arial"/>
          <w:sz w:val="22"/>
          <w:szCs w:val="22"/>
        </w:rPr>
      </w:pPr>
    </w:p>
    <w:p w:rsidR="008E740A" w:rsidRDefault="00E41FC9" w:rsidP="00E41FC9">
      <w:pPr>
        <w:rPr>
          <w:rFonts w:ascii="Arial" w:hAnsi="Arial" w:cs="Arial"/>
          <w:sz w:val="22"/>
          <w:szCs w:val="22"/>
        </w:rPr>
      </w:pPr>
      <w:r w:rsidRPr="001A1425">
        <w:rPr>
          <w:rFonts w:ascii="Arial" w:hAnsi="Arial" w:cs="Arial"/>
          <w:sz w:val="22"/>
          <w:szCs w:val="22"/>
        </w:rPr>
        <w:t>In the early years of the Scheme, information sessions on the Scheme and its requirements were held around the country on a regular basis and provided the opportunity for companies</w:t>
      </w:r>
      <w:r w:rsidR="00C92B22">
        <w:rPr>
          <w:rFonts w:ascii="Arial" w:hAnsi="Arial" w:cs="Arial"/>
          <w:sz w:val="22"/>
          <w:szCs w:val="22"/>
        </w:rPr>
        <w:t xml:space="preserve">, particularly those small companies without resources to travel, </w:t>
      </w:r>
      <w:r w:rsidRPr="001A1425">
        <w:rPr>
          <w:rFonts w:ascii="Arial" w:hAnsi="Arial" w:cs="Arial"/>
          <w:sz w:val="22"/>
          <w:szCs w:val="22"/>
        </w:rPr>
        <w:t xml:space="preserve">to </w:t>
      </w:r>
      <w:r w:rsidR="00583419">
        <w:rPr>
          <w:rFonts w:ascii="Arial" w:hAnsi="Arial" w:cs="Arial"/>
          <w:sz w:val="22"/>
          <w:szCs w:val="22"/>
        </w:rPr>
        <w:t>raise</w:t>
      </w:r>
      <w:r w:rsidRPr="001A1425">
        <w:rPr>
          <w:rFonts w:ascii="Arial" w:hAnsi="Arial" w:cs="Arial"/>
          <w:sz w:val="22"/>
          <w:szCs w:val="22"/>
        </w:rPr>
        <w:t xml:space="preserve"> questions and </w:t>
      </w:r>
      <w:r w:rsidR="00583419">
        <w:rPr>
          <w:rFonts w:ascii="Arial" w:hAnsi="Arial" w:cs="Arial"/>
          <w:sz w:val="22"/>
          <w:szCs w:val="22"/>
        </w:rPr>
        <w:t xml:space="preserve">have their </w:t>
      </w:r>
      <w:r w:rsidRPr="001A1425">
        <w:rPr>
          <w:rFonts w:ascii="Arial" w:hAnsi="Arial" w:cs="Arial"/>
          <w:sz w:val="22"/>
          <w:szCs w:val="22"/>
        </w:rPr>
        <w:t xml:space="preserve">concerns </w:t>
      </w:r>
      <w:r w:rsidRPr="00927940">
        <w:rPr>
          <w:rFonts w:ascii="Arial" w:hAnsi="Arial" w:cs="Arial"/>
          <w:sz w:val="22"/>
          <w:szCs w:val="22"/>
        </w:rPr>
        <w:t xml:space="preserve">addressed. </w:t>
      </w:r>
      <w:r w:rsidR="005D6FD9" w:rsidRPr="00927940">
        <w:rPr>
          <w:rFonts w:ascii="Arial" w:hAnsi="Arial" w:cs="Arial"/>
          <w:sz w:val="22"/>
          <w:szCs w:val="22"/>
        </w:rPr>
        <w:t>Although these were well-received, r</w:t>
      </w:r>
      <w:r w:rsidRPr="00927940">
        <w:rPr>
          <w:rFonts w:ascii="Arial" w:hAnsi="Arial" w:cs="Arial"/>
          <w:sz w:val="22"/>
          <w:szCs w:val="22"/>
        </w:rPr>
        <w:t xml:space="preserve">esources no longer permit information sessions in the same way </w:t>
      </w:r>
      <w:r w:rsidR="00927940">
        <w:rPr>
          <w:rFonts w:ascii="Arial" w:hAnsi="Arial" w:cs="Arial"/>
          <w:sz w:val="22"/>
          <w:szCs w:val="22"/>
        </w:rPr>
        <w:t xml:space="preserve">(due to the </w:t>
      </w:r>
      <w:r w:rsidR="00AB2B0C">
        <w:rPr>
          <w:rFonts w:ascii="Arial" w:hAnsi="Arial" w:cs="Arial"/>
          <w:sz w:val="22"/>
          <w:szCs w:val="22"/>
        </w:rPr>
        <w:t xml:space="preserve">audit costs associated with increasing </w:t>
      </w:r>
      <w:r w:rsidR="00927940">
        <w:rPr>
          <w:rFonts w:ascii="Arial" w:hAnsi="Arial" w:cs="Arial"/>
          <w:sz w:val="22"/>
          <w:szCs w:val="22"/>
        </w:rPr>
        <w:t>numbers of accredited companies)</w:t>
      </w:r>
      <w:r w:rsidR="00AB2B0C">
        <w:rPr>
          <w:rFonts w:ascii="Arial" w:hAnsi="Arial" w:cs="Arial"/>
          <w:sz w:val="22"/>
          <w:szCs w:val="22"/>
        </w:rPr>
        <w:t xml:space="preserve">. While other recommendations in this Report may free up some resources, </w:t>
      </w:r>
      <w:r w:rsidRPr="00927940">
        <w:rPr>
          <w:rFonts w:ascii="Arial" w:hAnsi="Arial" w:cs="Arial"/>
          <w:sz w:val="22"/>
          <w:szCs w:val="22"/>
        </w:rPr>
        <w:t>it is timely to fully explore other options for communicating Scheme requirements.</w:t>
      </w:r>
      <w:r w:rsidRPr="001A1425">
        <w:rPr>
          <w:rFonts w:ascii="Arial" w:hAnsi="Arial" w:cs="Arial"/>
          <w:sz w:val="22"/>
          <w:szCs w:val="22"/>
        </w:rPr>
        <w:t xml:space="preserve"> </w:t>
      </w:r>
    </w:p>
    <w:p w:rsidR="008E740A" w:rsidRDefault="008E740A" w:rsidP="00E41FC9">
      <w:pPr>
        <w:rPr>
          <w:rFonts w:ascii="Arial" w:hAnsi="Arial" w:cs="Arial"/>
          <w:sz w:val="22"/>
          <w:szCs w:val="22"/>
        </w:rPr>
      </w:pPr>
    </w:p>
    <w:p w:rsidR="00E41FC9" w:rsidRDefault="00E41FC9" w:rsidP="00E41FC9">
      <w:pPr>
        <w:rPr>
          <w:rFonts w:ascii="Arial" w:hAnsi="Arial" w:cs="Arial"/>
          <w:sz w:val="22"/>
          <w:szCs w:val="22"/>
        </w:rPr>
      </w:pPr>
      <w:r>
        <w:rPr>
          <w:rFonts w:ascii="Arial" w:hAnsi="Arial" w:cs="Arial"/>
          <w:sz w:val="22"/>
          <w:szCs w:val="22"/>
        </w:rPr>
        <w:t>Submissions to the review noted the potential for gr</w:t>
      </w:r>
      <w:r w:rsidRPr="001A1425">
        <w:rPr>
          <w:rFonts w:ascii="Arial" w:hAnsi="Arial" w:cs="Arial"/>
          <w:sz w:val="22"/>
          <w:szCs w:val="22"/>
        </w:rPr>
        <w:t>eater use of technology such as interactive webinars, online information sessions, teleconferencing or sessions conducted on a cost recovery basis.</w:t>
      </w:r>
      <w:r>
        <w:rPr>
          <w:rFonts w:ascii="Arial" w:hAnsi="Arial" w:cs="Arial"/>
          <w:sz w:val="22"/>
          <w:szCs w:val="22"/>
        </w:rPr>
        <w:t xml:space="preserve"> </w:t>
      </w:r>
    </w:p>
    <w:p w:rsidR="00D67A97" w:rsidRDefault="00D67A97" w:rsidP="00E41FC9">
      <w:pPr>
        <w:rPr>
          <w:rFonts w:ascii="Arial" w:hAnsi="Arial" w:cs="Arial"/>
          <w:sz w:val="22"/>
          <w:szCs w:val="22"/>
        </w:rPr>
      </w:pPr>
    </w:p>
    <w:p w:rsidR="00E41FC9" w:rsidRPr="0097751C" w:rsidRDefault="00E41FC9" w:rsidP="00A60F1C">
      <w:pPr>
        <w:pStyle w:val="Heading3"/>
      </w:pPr>
      <w:r w:rsidRPr="0097751C">
        <w:t>Support</w:t>
      </w:r>
      <w:r w:rsidR="008E740A" w:rsidRPr="0097751C">
        <w:t xml:space="preserve"> and M</w:t>
      </w:r>
      <w:r w:rsidRPr="0097751C">
        <w:t>entoring</w:t>
      </w:r>
    </w:p>
    <w:p w:rsidR="00E41FC9" w:rsidRPr="001A1425" w:rsidRDefault="00E41FC9" w:rsidP="00E41FC9">
      <w:pPr>
        <w:rPr>
          <w:rFonts w:ascii="Arial" w:hAnsi="Arial" w:cs="Arial"/>
          <w:sz w:val="22"/>
          <w:szCs w:val="22"/>
        </w:rPr>
      </w:pPr>
    </w:p>
    <w:p w:rsidR="001F0027" w:rsidRDefault="00E41FC9" w:rsidP="00E41FC9">
      <w:pPr>
        <w:rPr>
          <w:rFonts w:ascii="Arial" w:hAnsi="Arial" w:cs="Arial"/>
          <w:sz w:val="22"/>
          <w:szCs w:val="22"/>
        </w:rPr>
      </w:pPr>
      <w:r w:rsidRPr="001A1425">
        <w:rPr>
          <w:rFonts w:ascii="Arial" w:hAnsi="Arial" w:cs="Arial"/>
          <w:sz w:val="22"/>
          <w:szCs w:val="22"/>
        </w:rPr>
        <w:t xml:space="preserve">In addition to the support offered by the OFSC, a mentoring programme is currently available to applicants whereby they can be paired with an accredited company that can provide insight into the accreditation process and their experience in gaining accreditation. </w:t>
      </w:r>
    </w:p>
    <w:p w:rsidR="001F0027" w:rsidRDefault="001F0027" w:rsidP="00E41FC9">
      <w:pPr>
        <w:rPr>
          <w:rFonts w:ascii="Arial" w:hAnsi="Arial" w:cs="Arial"/>
          <w:sz w:val="22"/>
          <w:szCs w:val="22"/>
        </w:rPr>
      </w:pPr>
    </w:p>
    <w:p w:rsidR="00E41FC9" w:rsidRPr="001A1425" w:rsidRDefault="00E41FC9" w:rsidP="00E41FC9">
      <w:pPr>
        <w:rPr>
          <w:rFonts w:ascii="Arial" w:hAnsi="Arial" w:cs="Arial"/>
          <w:sz w:val="22"/>
          <w:szCs w:val="22"/>
        </w:rPr>
      </w:pPr>
      <w:r w:rsidRPr="001A1425">
        <w:rPr>
          <w:rFonts w:ascii="Arial" w:hAnsi="Arial" w:cs="Arial"/>
          <w:sz w:val="22"/>
          <w:szCs w:val="22"/>
        </w:rPr>
        <w:t>The uptake on this programme is limited, and the understanding of the scope of the programme is poor</w:t>
      </w:r>
      <w:r w:rsidR="008E740A">
        <w:rPr>
          <w:rFonts w:ascii="Arial" w:hAnsi="Arial" w:cs="Arial"/>
          <w:sz w:val="22"/>
          <w:szCs w:val="22"/>
        </w:rPr>
        <w:t>.</w:t>
      </w:r>
      <w:r w:rsidR="00AB2B0C">
        <w:rPr>
          <w:rFonts w:ascii="Arial" w:hAnsi="Arial" w:cs="Arial"/>
          <w:sz w:val="22"/>
          <w:szCs w:val="22"/>
        </w:rPr>
        <w:t xml:space="preserve"> T</w:t>
      </w:r>
      <w:r w:rsidRPr="001A1425">
        <w:rPr>
          <w:rFonts w:ascii="Arial" w:hAnsi="Arial" w:cs="Arial"/>
          <w:sz w:val="22"/>
          <w:szCs w:val="22"/>
        </w:rPr>
        <w:t xml:space="preserve">he programme is not designed for the accredited company to give system advice, but advice on its </w:t>
      </w:r>
      <w:r w:rsidR="008E740A">
        <w:rPr>
          <w:rFonts w:ascii="Arial" w:hAnsi="Arial" w:cs="Arial"/>
          <w:sz w:val="22"/>
          <w:szCs w:val="22"/>
        </w:rPr>
        <w:t xml:space="preserve">own </w:t>
      </w:r>
      <w:r w:rsidRPr="001A1425">
        <w:rPr>
          <w:rFonts w:ascii="Arial" w:hAnsi="Arial" w:cs="Arial"/>
          <w:sz w:val="22"/>
          <w:szCs w:val="22"/>
        </w:rPr>
        <w:t>experience of going through the accreditation process and tips on what worked for it in preparing for the application and audit stages.</w:t>
      </w:r>
    </w:p>
    <w:p w:rsidR="00E41FC9" w:rsidRPr="001A1425" w:rsidRDefault="00E41FC9" w:rsidP="00E41FC9">
      <w:pPr>
        <w:rPr>
          <w:rFonts w:ascii="Arial" w:hAnsi="Arial" w:cs="Arial"/>
          <w:sz w:val="22"/>
          <w:szCs w:val="22"/>
        </w:rPr>
      </w:pPr>
    </w:p>
    <w:p w:rsidR="00E41FC9" w:rsidRDefault="00E41FC9" w:rsidP="00E41FC9">
      <w:pPr>
        <w:rPr>
          <w:rFonts w:ascii="Arial" w:hAnsi="Arial" w:cs="Arial"/>
          <w:sz w:val="22"/>
          <w:szCs w:val="22"/>
        </w:rPr>
      </w:pPr>
      <w:r w:rsidRPr="001A1425">
        <w:rPr>
          <w:rFonts w:ascii="Arial" w:hAnsi="Arial" w:cs="Arial"/>
          <w:sz w:val="22"/>
          <w:szCs w:val="22"/>
        </w:rPr>
        <w:t xml:space="preserve">Noting the issues associated with the mentoring initiative, </w:t>
      </w:r>
      <w:r w:rsidR="005827C4">
        <w:rPr>
          <w:rFonts w:ascii="Arial" w:hAnsi="Arial" w:cs="Arial"/>
          <w:sz w:val="22"/>
          <w:szCs w:val="22"/>
        </w:rPr>
        <w:t xml:space="preserve">the </w:t>
      </w:r>
      <w:r w:rsidR="008D690A">
        <w:rPr>
          <w:rFonts w:ascii="Arial" w:hAnsi="Arial" w:cs="Arial"/>
          <w:sz w:val="22"/>
          <w:szCs w:val="22"/>
        </w:rPr>
        <w:t>D</w:t>
      </w:r>
      <w:r w:rsidR="005827C4">
        <w:rPr>
          <w:rFonts w:ascii="Arial" w:hAnsi="Arial" w:cs="Arial"/>
          <w:sz w:val="22"/>
          <w:szCs w:val="22"/>
        </w:rPr>
        <w:t xml:space="preserve">iscussion </w:t>
      </w:r>
      <w:r w:rsidR="008D690A">
        <w:rPr>
          <w:rFonts w:ascii="Arial" w:hAnsi="Arial" w:cs="Arial"/>
          <w:sz w:val="22"/>
          <w:szCs w:val="22"/>
        </w:rPr>
        <w:t>P</w:t>
      </w:r>
      <w:r w:rsidR="005827C4">
        <w:rPr>
          <w:rFonts w:ascii="Arial" w:hAnsi="Arial" w:cs="Arial"/>
          <w:sz w:val="22"/>
          <w:szCs w:val="22"/>
        </w:rPr>
        <w:t xml:space="preserve">aper called for </w:t>
      </w:r>
      <w:r w:rsidR="008D690A">
        <w:rPr>
          <w:rFonts w:ascii="Arial" w:hAnsi="Arial" w:cs="Arial"/>
          <w:sz w:val="22"/>
          <w:szCs w:val="22"/>
        </w:rPr>
        <w:t>submissions on</w:t>
      </w:r>
      <w:r w:rsidRPr="001A1425">
        <w:rPr>
          <w:rFonts w:ascii="Arial" w:hAnsi="Arial" w:cs="Arial"/>
          <w:sz w:val="22"/>
          <w:szCs w:val="22"/>
        </w:rPr>
        <w:t xml:space="preserve"> how to improve the programme, and what other support measures would benefit companies seeking accreditation. </w:t>
      </w:r>
    </w:p>
    <w:p w:rsidR="008E0C50" w:rsidRDefault="008E0C50" w:rsidP="00E41FC9">
      <w:pPr>
        <w:rPr>
          <w:rFonts w:ascii="Arial" w:hAnsi="Arial" w:cs="Arial"/>
          <w:sz w:val="22"/>
          <w:szCs w:val="22"/>
        </w:rPr>
      </w:pPr>
    </w:p>
    <w:p w:rsidR="008E0C50" w:rsidRDefault="0095491D" w:rsidP="00E41FC9">
      <w:pPr>
        <w:rPr>
          <w:rFonts w:ascii="Arial" w:hAnsi="Arial" w:cs="Arial"/>
          <w:sz w:val="22"/>
          <w:szCs w:val="22"/>
        </w:rPr>
      </w:pPr>
      <w:r>
        <w:rPr>
          <w:rFonts w:ascii="Arial" w:hAnsi="Arial" w:cs="Arial"/>
          <w:sz w:val="22"/>
          <w:szCs w:val="22"/>
        </w:rPr>
        <w:t>Re</w:t>
      </w:r>
      <w:r w:rsidR="00023F7E" w:rsidRPr="00307317">
        <w:rPr>
          <w:rFonts w:ascii="Arial" w:hAnsi="Arial" w:cs="Arial"/>
          <w:sz w:val="22"/>
          <w:szCs w:val="22"/>
        </w:rPr>
        <w:t>sponse</w:t>
      </w:r>
      <w:r w:rsidR="008D690A">
        <w:rPr>
          <w:rFonts w:ascii="Arial" w:hAnsi="Arial" w:cs="Arial"/>
          <w:sz w:val="22"/>
          <w:szCs w:val="22"/>
        </w:rPr>
        <w:t>s</w:t>
      </w:r>
      <w:r w:rsidR="00023F7E" w:rsidRPr="00307317">
        <w:rPr>
          <w:rFonts w:ascii="Arial" w:hAnsi="Arial" w:cs="Arial"/>
          <w:sz w:val="22"/>
          <w:szCs w:val="22"/>
        </w:rPr>
        <w:t xml:space="preserve"> </w:t>
      </w:r>
      <w:r w:rsidR="001F0027">
        <w:rPr>
          <w:rFonts w:ascii="Arial" w:hAnsi="Arial" w:cs="Arial"/>
          <w:sz w:val="22"/>
          <w:szCs w:val="22"/>
        </w:rPr>
        <w:t xml:space="preserve">to these issues </w:t>
      </w:r>
      <w:r w:rsidR="00023F7E" w:rsidRPr="00307317">
        <w:rPr>
          <w:rFonts w:ascii="Arial" w:hAnsi="Arial" w:cs="Arial"/>
          <w:sz w:val="22"/>
          <w:szCs w:val="22"/>
        </w:rPr>
        <w:t xml:space="preserve">ranged from a single set of requirements that apply to all </w:t>
      </w:r>
      <w:r w:rsidR="00307317" w:rsidRPr="00307317">
        <w:rPr>
          <w:rFonts w:ascii="Arial" w:hAnsi="Arial" w:cs="Arial"/>
          <w:sz w:val="22"/>
          <w:szCs w:val="22"/>
        </w:rPr>
        <w:t xml:space="preserve">companies seeking accreditation, with scalable criteria for smaller builders, to consideration of tiered or staged accreditation as a way to make the Scheme more accessible </w:t>
      </w:r>
      <w:r w:rsidR="008E740A">
        <w:rPr>
          <w:rFonts w:ascii="Arial" w:hAnsi="Arial" w:cs="Arial"/>
          <w:sz w:val="22"/>
          <w:szCs w:val="22"/>
        </w:rPr>
        <w:t>to</w:t>
      </w:r>
      <w:r w:rsidR="00307317" w:rsidRPr="00307317">
        <w:rPr>
          <w:rFonts w:ascii="Arial" w:hAnsi="Arial" w:cs="Arial"/>
          <w:sz w:val="22"/>
          <w:szCs w:val="22"/>
        </w:rPr>
        <w:t xml:space="preserve"> smaller companies. </w:t>
      </w:r>
      <w:r>
        <w:rPr>
          <w:rFonts w:ascii="Arial" w:hAnsi="Arial" w:cs="Arial"/>
          <w:sz w:val="22"/>
          <w:szCs w:val="22"/>
        </w:rPr>
        <w:t xml:space="preserve">Some </w:t>
      </w:r>
      <w:r w:rsidR="00307317" w:rsidRPr="00307317">
        <w:rPr>
          <w:rFonts w:ascii="Arial" w:hAnsi="Arial" w:cs="Arial"/>
          <w:sz w:val="22"/>
          <w:szCs w:val="22"/>
        </w:rPr>
        <w:t>submissions suggested a move towards outcomes</w:t>
      </w:r>
      <w:r>
        <w:rPr>
          <w:rFonts w:ascii="Arial" w:hAnsi="Arial" w:cs="Arial"/>
          <w:sz w:val="22"/>
          <w:szCs w:val="22"/>
        </w:rPr>
        <w:t>,</w:t>
      </w:r>
      <w:r w:rsidR="00307317" w:rsidRPr="00307317">
        <w:rPr>
          <w:rFonts w:ascii="Arial" w:hAnsi="Arial" w:cs="Arial"/>
          <w:sz w:val="22"/>
          <w:szCs w:val="22"/>
        </w:rPr>
        <w:t xml:space="preserve"> with less focus on paperwork</w:t>
      </w:r>
      <w:r>
        <w:rPr>
          <w:rFonts w:ascii="Arial" w:hAnsi="Arial" w:cs="Arial"/>
          <w:sz w:val="22"/>
          <w:szCs w:val="22"/>
        </w:rPr>
        <w:t>,</w:t>
      </w:r>
      <w:r w:rsidR="00307317" w:rsidRPr="00307317">
        <w:rPr>
          <w:rFonts w:ascii="Arial" w:hAnsi="Arial" w:cs="Arial"/>
          <w:sz w:val="22"/>
          <w:szCs w:val="22"/>
        </w:rPr>
        <w:t xml:space="preserve"> and improved support material. </w:t>
      </w:r>
    </w:p>
    <w:p w:rsidR="00C92B22" w:rsidRDefault="00C92B22" w:rsidP="00E41FC9">
      <w:pPr>
        <w:rPr>
          <w:rFonts w:ascii="Arial" w:hAnsi="Arial" w:cs="Arial"/>
          <w:sz w:val="22"/>
          <w:szCs w:val="22"/>
        </w:rPr>
      </w:pPr>
    </w:p>
    <w:p w:rsidR="00E26382" w:rsidRDefault="00E26382">
      <w:pPr>
        <w:rPr>
          <w:rFonts w:ascii="Arial" w:hAnsi="Arial" w:cs="Arial"/>
          <w:sz w:val="22"/>
          <w:szCs w:val="22"/>
        </w:rPr>
      </w:pPr>
      <w:r>
        <w:rPr>
          <w:rFonts w:ascii="Arial" w:hAnsi="Arial" w:cs="Arial"/>
          <w:sz w:val="22"/>
          <w:szCs w:val="22"/>
        </w:rPr>
        <w:br w:type="page"/>
      </w:r>
    </w:p>
    <w:p w:rsidR="00564B82" w:rsidRDefault="00741A0A" w:rsidP="00741A0A">
      <w:pPr>
        <w:rPr>
          <w:rFonts w:ascii="Arial" w:hAnsi="Arial" w:cs="Arial"/>
          <w:sz w:val="22"/>
          <w:szCs w:val="22"/>
        </w:rPr>
      </w:pPr>
      <w:r w:rsidRPr="00E26382">
        <w:rPr>
          <w:rFonts w:ascii="Arial" w:hAnsi="Arial" w:cs="Arial"/>
          <w:sz w:val="22"/>
          <w:szCs w:val="22"/>
        </w:rPr>
        <w:t xml:space="preserve">As discussed previously, there is little support for </w:t>
      </w:r>
      <w:r w:rsidR="00564B82">
        <w:rPr>
          <w:rFonts w:ascii="Arial" w:hAnsi="Arial" w:cs="Arial"/>
          <w:sz w:val="22"/>
          <w:szCs w:val="22"/>
        </w:rPr>
        <w:t xml:space="preserve">a lowering of the standards required to achieve accreditation, including through </w:t>
      </w:r>
      <w:r w:rsidR="00E26382" w:rsidRPr="00E26382">
        <w:rPr>
          <w:rFonts w:ascii="Arial" w:hAnsi="Arial" w:cs="Arial"/>
          <w:sz w:val="22"/>
          <w:szCs w:val="22"/>
        </w:rPr>
        <w:t xml:space="preserve">the introduction of a staged or tiered approach to accreditation. The majority view from stakeholders including MBA and other industry associations is to avoid </w:t>
      </w:r>
      <w:r w:rsidRPr="00E26382">
        <w:rPr>
          <w:rFonts w:ascii="Arial" w:hAnsi="Arial" w:cs="Arial"/>
          <w:sz w:val="22"/>
          <w:szCs w:val="22"/>
        </w:rPr>
        <w:t>downgrading Scheme requirements to the disadvantage of builders that have higher standards</w:t>
      </w:r>
      <w:r w:rsidR="00B47D16">
        <w:rPr>
          <w:rFonts w:ascii="Arial" w:hAnsi="Arial" w:cs="Arial"/>
          <w:sz w:val="22"/>
          <w:szCs w:val="22"/>
        </w:rPr>
        <w:t xml:space="preserve"> and not maintaining a level playing field for all builders seeking to undertake Commonwealth funded building work.</w:t>
      </w:r>
      <w:r w:rsidRPr="00E26382">
        <w:rPr>
          <w:rFonts w:ascii="Arial" w:hAnsi="Arial" w:cs="Arial"/>
          <w:sz w:val="22"/>
          <w:szCs w:val="22"/>
        </w:rPr>
        <w:t xml:space="preserve"> </w:t>
      </w:r>
    </w:p>
    <w:p w:rsidR="00564B82" w:rsidRDefault="00564B82" w:rsidP="00741A0A">
      <w:pPr>
        <w:rPr>
          <w:rFonts w:ascii="Arial" w:hAnsi="Arial" w:cs="Arial"/>
          <w:sz w:val="22"/>
          <w:szCs w:val="22"/>
        </w:rPr>
      </w:pPr>
    </w:p>
    <w:p w:rsidR="00741A0A" w:rsidRPr="00793E83" w:rsidRDefault="00564B82" w:rsidP="00741A0A">
      <w:pPr>
        <w:rPr>
          <w:rFonts w:ascii="Arial" w:hAnsi="Arial" w:cs="Arial"/>
          <w:sz w:val="22"/>
          <w:szCs w:val="22"/>
        </w:rPr>
      </w:pPr>
      <w:r>
        <w:rPr>
          <w:rFonts w:ascii="Arial" w:hAnsi="Arial" w:cs="Arial"/>
          <w:sz w:val="22"/>
          <w:szCs w:val="22"/>
        </w:rPr>
        <w:t xml:space="preserve">The accreditation requirements under the Scheme are already scalable in that smaller companies meet the same criteria but with far simpler systems and documentation than large companies undertaking more complex </w:t>
      </w:r>
      <w:r w:rsidR="0095491D">
        <w:rPr>
          <w:rFonts w:ascii="Arial" w:hAnsi="Arial" w:cs="Arial"/>
          <w:sz w:val="22"/>
          <w:szCs w:val="22"/>
        </w:rPr>
        <w:t xml:space="preserve">and varied </w:t>
      </w:r>
      <w:r>
        <w:rPr>
          <w:rFonts w:ascii="Arial" w:hAnsi="Arial" w:cs="Arial"/>
          <w:sz w:val="22"/>
          <w:szCs w:val="22"/>
        </w:rPr>
        <w:t xml:space="preserve">work. The feedback </w:t>
      </w:r>
      <w:r w:rsidR="00E26382" w:rsidRPr="00E26382">
        <w:rPr>
          <w:rFonts w:ascii="Arial" w:hAnsi="Arial" w:cs="Arial"/>
          <w:sz w:val="22"/>
          <w:szCs w:val="22"/>
        </w:rPr>
        <w:t>highlight</w:t>
      </w:r>
      <w:r>
        <w:rPr>
          <w:rFonts w:ascii="Arial" w:hAnsi="Arial" w:cs="Arial"/>
          <w:sz w:val="22"/>
          <w:szCs w:val="22"/>
        </w:rPr>
        <w:t>s</w:t>
      </w:r>
      <w:r w:rsidR="00E26382" w:rsidRPr="00E26382">
        <w:rPr>
          <w:rFonts w:ascii="Arial" w:hAnsi="Arial" w:cs="Arial"/>
          <w:sz w:val="22"/>
          <w:szCs w:val="22"/>
        </w:rPr>
        <w:t xml:space="preserve"> the importance of </w:t>
      </w:r>
      <w:r w:rsidR="0095491D">
        <w:rPr>
          <w:rFonts w:ascii="Arial" w:hAnsi="Arial" w:cs="Arial"/>
          <w:sz w:val="22"/>
          <w:szCs w:val="22"/>
        </w:rPr>
        <w:t xml:space="preserve">addressing perceived barriers to accreditation, and </w:t>
      </w:r>
      <w:r w:rsidR="00E26382" w:rsidRPr="00E26382">
        <w:rPr>
          <w:rFonts w:ascii="Arial" w:hAnsi="Arial" w:cs="Arial"/>
          <w:sz w:val="22"/>
          <w:szCs w:val="22"/>
        </w:rPr>
        <w:t xml:space="preserve">focussing </w:t>
      </w:r>
      <w:r w:rsidR="00741A0A" w:rsidRPr="00E26382">
        <w:rPr>
          <w:rFonts w:ascii="Arial" w:hAnsi="Arial" w:cs="Arial"/>
          <w:sz w:val="22"/>
          <w:szCs w:val="22"/>
        </w:rPr>
        <w:t xml:space="preserve">on </w:t>
      </w:r>
      <w:r w:rsidR="0095491D">
        <w:rPr>
          <w:rFonts w:ascii="Arial" w:hAnsi="Arial" w:cs="Arial"/>
          <w:sz w:val="22"/>
          <w:szCs w:val="22"/>
        </w:rPr>
        <w:t>better</w:t>
      </w:r>
      <w:r w:rsidR="00741A0A" w:rsidRPr="00E26382">
        <w:rPr>
          <w:rFonts w:ascii="Arial" w:hAnsi="Arial" w:cs="Arial"/>
          <w:sz w:val="22"/>
          <w:szCs w:val="22"/>
        </w:rPr>
        <w:t xml:space="preserve"> communications and guidance to assist companies to become accredited</w:t>
      </w:r>
      <w:r w:rsidR="0095491D">
        <w:rPr>
          <w:rFonts w:ascii="Arial" w:hAnsi="Arial" w:cs="Arial"/>
          <w:sz w:val="22"/>
          <w:szCs w:val="22"/>
        </w:rPr>
        <w:t>, which the Advisory Panel agreed was the preferred approach</w:t>
      </w:r>
      <w:r w:rsidR="00741A0A" w:rsidRPr="00E26382">
        <w:rPr>
          <w:rFonts w:ascii="Arial" w:hAnsi="Arial" w:cs="Arial"/>
          <w:sz w:val="22"/>
          <w:szCs w:val="22"/>
        </w:rPr>
        <w:t>.</w:t>
      </w:r>
      <w:r w:rsidR="00741A0A" w:rsidRPr="00793E83">
        <w:rPr>
          <w:rFonts w:ascii="Arial" w:hAnsi="Arial" w:cs="Arial"/>
          <w:sz w:val="22"/>
          <w:szCs w:val="22"/>
        </w:rPr>
        <w:t xml:space="preserve"> </w:t>
      </w:r>
    </w:p>
    <w:p w:rsidR="00307317" w:rsidRDefault="00307317" w:rsidP="00E41FC9">
      <w:pPr>
        <w:rPr>
          <w:rFonts w:ascii="Arial" w:hAnsi="Arial" w:cs="Arial"/>
          <w:sz w:val="22"/>
          <w:szCs w:val="22"/>
        </w:rPr>
      </w:pPr>
    </w:p>
    <w:p w:rsidR="00307317" w:rsidRPr="001A1425" w:rsidRDefault="0095491D" w:rsidP="00E41FC9">
      <w:pPr>
        <w:rPr>
          <w:rFonts w:ascii="Arial" w:hAnsi="Arial" w:cs="Arial"/>
          <w:sz w:val="22"/>
          <w:szCs w:val="22"/>
        </w:rPr>
      </w:pPr>
      <w:r>
        <w:rPr>
          <w:rFonts w:ascii="Arial" w:hAnsi="Arial" w:cs="Arial"/>
          <w:sz w:val="22"/>
          <w:szCs w:val="22"/>
        </w:rPr>
        <w:t>T</w:t>
      </w:r>
      <w:r w:rsidR="00307317">
        <w:rPr>
          <w:rFonts w:ascii="Arial" w:hAnsi="Arial" w:cs="Arial"/>
          <w:sz w:val="22"/>
          <w:szCs w:val="22"/>
        </w:rPr>
        <w:t>he overall focus from submissions</w:t>
      </w:r>
      <w:r>
        <w:rPr>
          <w:rFonts w:ascii="Arial" w:hAnsi="Arial" w:cs="Arial"/>
          <w:sz w:val="22"/>
          <w:szCs w:val="22"/>
        </w:rPr>
        <w:t xml:space="preserve">, </w:t>
      </w:r>
      <w:r w:rsidR="009F76E0">
        <w:rPr>
          <w:rFonts w:ascii="Arial" w:hAnsi="Arial" w:cs="Arial"/>
          <w:sz w:val="22"/>
          <w:szCs w:val="22"/>
        </w:rPr>
        <w:t>therefore</w:t>
      </w:r>
      <w:r>
        <w:rPr>
          <w:rFonts w:ascii="Arial" w:hAnsi="Arial" w:cs="Arial"/>
          <w:sz w:val="22"/>
          <w:szCs w:val="22"/>
        </w:rPr>
        <w:t>,</w:t>
      </w:r>
      <w:r w:rsidR="00307317">
        <w:rPr>
          <w:rFonts w:ascii="Arial" w:hAnsi="Arial" w:cs="Arial"/>
          <w:sz w:val="22"/>
          <w:szCs w:val="22"/>
        </w:rPr>
        <w:t xml:space="preserve"> was</w:t>
      </w:r>
      <w:r w:rsidR="008E740A">
        <w:rPr>
          <w:rFonts w:ascii="Arial" w:hAnsi="Arial" w:cs="Arial"/>
          <w:sz w:val="22"/>
          <w:szCs w:val="22"/>
        </w:rPr>
        <w:t xml:space="preserve"> on</w:t>
      </w:r>
      <w:r w:rsidR="00307317">
        <w:rPr>
          <w:rFonts w:ascii="Arial" w:hAnsi="Arial" w:cs="Arial"/>
          <w:sz w:val="22"/>
          <w:szCs w:val="22"/>
        </w:rPr>
        <w:t xml:space="preserve"> increased information and education rather than alternative methods of entry for small business. </w:t>
      </w:r>
    </w:p>
    <w:p w:rsidR="00E41FC9" w:rsidRDefault="00E41FC9" w:rsidP="00E41FC9">
      <w:pPr>
        <w:rPr>
          <w:rFonts w:ascii="Arial" w:hAnsi="Arial" w:cs="Arial"/>
          <w:sz w:val="22"/>
          <w:szCs w:val="22"/>
        </w:rPr>
      </w:pPr>
    </w:p>
    <w:p w:rsidR="00640841" w:rsidRDefault="00BB2ADA">
      <w:pPr>
        <w:rPr>
          <w:rFonts w:ascii="Arial" w:hAnsi="Arial" w:cs="Arial"/>
          <w:b/>
          <w:sz w:val="22"/>
          <w:szCs w:val="22"/>
        </w:rPr>
      </w:pPr>
      <w:r w:rsidRPr="005C2E4D">
        <w:rPr>
          <w:rFonts w:ascii="Arial" w:hAnsi="Arial" w:cs="Arial"/>
          <w:noProof/>
          <w:sz w:val="22"/>
          <w:szCs w:val="22"/>
        </w:rPr>
        <mc:AlternateContent>
          <mc:Choice Requires="wps">
            <w:drawing>
              <wp:inline distT="0" distB="0" distL="0" distR="0" wp14:anchorId="32A5A9DF" wp14:editId="18728C7B">
                <wp:extent cx="5743575" cy="669702"/>
                <wp:effectExtent l="0" t="0" r="28575" b="1651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69702"/>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9</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OFSC streamline</w:t>
                            </w:r>
                            <w:r>
                              <w:rPr>
                                <w:rFonts w:ascii="Arial" w:hAnsi="Arial" w:cs="Arial"/>
                                <w:sz w:val="22"/>
                                <w:szCs w:val="22"/>
                              </w:rPr>
                              <w:t>s</w:t>
                            </w:r>
                            <w:r w:rsidRPr="009406F8">
                              <w:rPr>
                                <w:rFonts w:ascii="Arial" w:hAnsi="Arial" w:cs="Arial"/>
                                <w:sz w:val="22"/>
                                <w:szCs w:val="22"/>
                              </w:rPr>
                              <w:t xml:space="preserve"> the application process </w:t>
                            </w:r>
                            <w:r>
                              <w:rPr>
                                <w:rFonts w:ascii="Arial" w:hAnsi="Arial" w:cs="Arial"/>
                                <w:sz w:val="22"/>
                                <w:szCs w:val="22"/>
                              </w:rPr>
                              <w:t xml:space="preserve">and improves ease of access </w:t>
                            </w:r>
                            <w:r w:rsidRPr="009406F8">
                              <w:rPr>
                                <w:rFonts w:ascii="Arial" w:hAnsi="Arial" w:cs="Arial"/>
                                <w:sz w:val="22"/>
                                <w:szCs w:val="22"/>
                              </w:rPr>
                              <w:t xml:space="preserve">for </w:t>
                            </w:r>
                            <w:r>
                              <w:rPr>
                                <w:rFonts w:ascii="Arial" w:hAnsi="Arial" w:cs="Arial"/>
                                <w:sz w:val="22"/>
                                <w:szCs w:val="22"/>
                              </w:rPr>
                              <w:t>companies seeking</w:t>
                            </w:r>
                            <w:r w:rsidRPr="009406F8">
                              <w:rPr>
                                <w:rFonts w:ascii="Arial" w:hAnsi="Arial" w:cs="Arial"/>
                                <w:sz w:val="22"/>
                                <w:szCs w:val="22"/>
                              </w:rPr>
                              <w:t xml:space="preserve"> accreditation, including the development of </w:t>
                            </w:r>
                            <w:r>
                              <w:rPr>
                                <w:rFonts w:ascii="Arial" w:hAnsi="Arial" w:cs="Arial"/>
                                <w:sz w:val="22"/>
                                <w:szCs w:val="22"/>
                              </w:rPr>
                              <w:t xml:space="preserve">an </w:t>
                            </w:r>
                            <w:r w:rsidRPr="009406F8">
                              <w:rPr>
                                <w:rFonts w:ascii="Arial" w:hAnsi="Arial" w:cs="Arial"/>
                                <w:sz w:val="22"/>
                                <w:szCs w:val="22"/>
                              </w:rPr>
                              <w:t xml:space="preserve">online application and </w:t>
                            </w:r>
                            <w:r>
                              <w:rPr>
                                <w:rFonts w:ascii="Arial" w:hAnsi="Arial" w:cs="Arial"/>
                                <w:sz w:val="22"/>
                                <w:szCs w:val="22"/>
                              </w:rPr>
                              <w:t>self-</w:t>
                            </w:r>
                            <w:r w:rsidRPr="009406F8">
                              <w:rPr>
                                <w:rFonts w:ascii="Arial" w:hAnsi="Arial" w:cs="Arial"/>
                                <w:sz w:val="22"/>
                                <w:szCs w:val="22"/>
                              </w:rPr>
                              <w:t>assessment tools</w:t>
                            </w:r>
                            <w:r>
                              <w:rPr>
                                <w:rFonts w:ascii="Arial" w:hAnsi="Arial" w:cs="Arial"/>
                                <w:sz w:val="22"/>
                                <w:szCs w:val="22"/>
                              </w:rPr>
                              <w:t>.</w:t>
                            </w:r>
                          </w:p>
                          <w:p w:rsidR="00226B47" w:rsidRPr="005C2E4D" w:rsidRDefault="00226B47" w:rsidP="00BB2ADA">
                            <w:pPr>
                              <w:rPr>
                                <w:rFonts w:ascii="Arial" w:hAnsi="Arial" w:cs="Arial"/>
                                <w:sz w:val="22"/>
                                <w:szCs w:val="22"/>
                              </w:rPr>
                            </w:pPr>
                          </w:p>
                        </w:txbxContent>
                      </wps:txbx>
                      <wps:bodyPr rot="0" vert="horz" wrap="square" lIns="91440" tIns="45720" rIns="91440" bIns="45720" anchor="ctr" anchorCtr="0">
                        <a:noAutofit/>
                      </wps:bodyPr>
                    </wps:wsp>
                  </a:graphicData>
                </a:graphic>
              </wp:inline>
            </w:drawing>
          </mc:Choice>
          <mc:Fallback>
            <w:pict>
              <v:shape w14:anchorId="32A5A9DF" id="_x0000_s1034" type="#_x0000_t202" style="width:452.25pt;height:5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" fillcolor="#d8d8d8 [2732]">
                <v:textbo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9</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OFSC streamline</w:t>
                      </w:r>
                      <w:r>
                        <w:rPr>
                          <w:rFonts w:ascii="Arial" w:hAnsi="Arial" w:cs="Arial"/>
                          <w:sz w:val="22"/>
                          <w:szCs w:val="22"/>
                        </w:rPr>
                        <w:t>s</w:t>
                      </w:r>
                      <w:r w:rsidRPr="009406F8">
                        <w:rPr>
                          <w:rFonts w:ascii="Arial" w:hAnsi="Arial" w:cs="Arial"/>
                          <w:sz w:val="22"/>
                          <w:szCs w:val="22"/>
                        </w:rPr>
                        <w:t xml:space="preserve"> the application process </w:t>
                      </w:r>
                      <w:r>
                        <w:rPr>
                          <w:rFonts w:ascii="Arial" w:hAnsi="Arial" w:cs="Arial"/>
                          <w:sz w:val="22"/>
                          <w:szCs w:val="22"/>
                        </w:rPr>
                        <w:t xml:space="preserve">and improves ease of access </w:t>
                      </w:r>
                      <w:r w:rsidRPr="009406F8">
                        <w:rPr>
                          <w:rFonts w:ascii="Arial" w:hAnsi="Arial" w:cs="Arial"/>
                          <w:sz w:val="22"/>
                          <w:szCs w:val="22"/>
                        </w:rPr>
                        <w:t xml:space="preserve">for </w:t>
                      </w:r>
                      <w:r>
                        <w:rPr>
                          <w:rFonts w:ascii="Arial" w:hAnsi="Arial" w:cs="Arial"/>
                          <w:sz w:val="22"/>
                          <w:szCs w:val="22"/>
                        </w:rPr>
                        <w:t>companies seeking</w:t>
                      </w:r>
                      <w:r w:rsidRPr="009406F8">
                        <w:rPr>
                          <w:rFonts w:ascii="Arial" w:hAnsi="Arial" w:cs="Arial"/>
                          <w:sz w:val="22"/>
                          <w:szCs w:val="22"/>
                        </w:rPr>
                        <w:t xml:space="preserve"> accreditation, including the development of </w:t>
                      </w:r>
                      <w:r>
                        <w:rPr>
                          <w:rFonts w:ascii="Arial" w:hAnsi="Arial" w:cs="Arial"/>
                          <w:sz w:val="22"/>
                          <w:szCs w:val="22"/>
                        </w:rPr>
                        <w:t xml:space="preserve">an </w:t>
                      </w:r>
                      <w:r w:rsidRPr="009406F8">
                        <w:rPr>
                          <w:rFonts w:ascii="Arial" w:hAnsi="Arial" w:cs="Arial"/>
                          <w:sz w:val="22"/>
                          <w:szCs w:val="22"/>
                        </w:rPr>
                        <w:t xml:space="preserve">online application and </w:t>
                      </w:r>
                      <w:r>
                        <w:rPr>
                          <w:rFonts w:ascii="Arial" w:hAnsi="Arial" w:cs="Arial"/>
                          <w:sz w:val="22"/>
                          <w:szCs w:val="22"/>
                        </w:rPr>
                        <w:t>self-</w:t>
                      </w:r>
                      <w:r w:rsidRPr="009406F8">
                        <w:rPr>
                          <w:rFonts w:ascii="Arial" w:hAnsi="Arial" w:cs="Arial"/>
                          <w:sz w:val="22"/>
                          <w:szCs w:val="22"/>
                        </w:rPr>
                        <w:t>assessment tools</w:t>
                      </w:r>
                      <w:r>
                        <w:rPr>
                          <w:rFonts w:ascii="Arial" w:hAnsi="Arial" w:cs="Arial"/>
                          <w:sz w:val="22"/>
                          <w:szCs w:val="22"/>
                        </w:rPr>
                        <w:t>.</w:t>
                      </w:r>
                    </w:p>
                    <w:p w:rsidR="00226B47" w:rsidRPr="005C2E4D" w:rsidRDefault="00226B47" w:rsidP="00BB2ADA">
                      <w:pPr>
                        <w:rPr>
                          <w:rFonts w:ascii="Arial" w:hAnsi="Arial" w:cs="Arial"/>
                          <w:sz w:val="22"/>
                          <w:szCs w:val="22"/>
                        </w:rPr>
                      </w:pPr>
                    </w:p>
                  </w:txbxContent>
                </v:textbox>
                <w10:anchorlock/>
              </v:shape>
            </w:pict>
          </mc:Fallback>
        </mc:AlternateContent>
      </w:r>
    </w:p>
    <w:p w:rsidR="000A6808" w:rsidRDefault="000A6808">
      <w:pPr>
        <w:rPr>
          <w:rFonts w:ascii="Arial" w:hAnsi="Arial" w:cs="Arial"/>
          <w:b/>
          <w:sz w:val="22"/>
          <w:szCs w:val="22"/>
        </w:rPr>
      </w:pPr>
    </w:p>
    <w:p w:rsidR="00CC2563" w:rsidRDefault="00CC2563" w:rsidP="003005B9">
      <w:pPr>
        <w:pStyle w:val="Heading2"/>
      </w:pPr>
    </w:p>
    <w:p w:rsidR="00CC2563" w:rsidRPr="00DE455C" w:rsidRDefault="00CC2563" w:rsidP="003005B9">
      <w:pPr>
        <w:pStyle w:val="Heading2"/>
      </w:pPr>
      <w:bookmarkStart w:id="33" w:name="_Toc390429519"/>
      <w:r>
        <w:t>J</w:t>
      </w:r>
      <w:r w:rsidRPr="00DE455C">
        <w:t xml:space="preserve">oint </w:t>
      </w:r>
      <w:r>
        <w:t>V</w:t>
      </w:r>
      <w:r w:rsidRPr="00DE455C">
        <w:t>enture</w:t>
      </w:r>
      <w:r>
        <w:t xml:space="preserve"> Accreditation A</w:t>
      </w:r>
      <w:r w:rsidRPr="00DE455C">
        <w:t>rrangements</w:t>
      </w:r>
      <w:bookmarkEnd w:id="33"/>
    </w:p>
    <w:p w:rsidR="00CC2563" w:rsidRPr="00A672CE" w:rsidRDefault="00CC2563" w:rsidP="00CC2563">
      <w:pPr>
        <w:rPr>
          <w:rFonts w:ascii="Arial" w:hAnsi="Arial" w:cs="Arial"/>
          <w:sz w:val="22"/>
          <w:szCs w:val="22"/>
          <w:highlight w:val="yellow"/>
        </w:rPr>
      </w:pPr>
    </w:p>
    <w:p w:rsidR="00CC2563" w:rsidRPr="00D9560E" w:rsidRDefault="00CC2563" w:rsidP="00CC2563">
      <w:pPr>
        <w:rPr>
          <w:rFonts w:ascii="Arial" w:hAnsi="Arial" w:cs="Arial"/>
          <w:sz w:val="22"/>
          <w:szCs w:val="22"/>
        </w:rPr>
      </w:pPr>
      <w:r w:rsidRPr="009E66C7">
        <w:rPr>
          <w:rFonts w:ascii="Arial" w:hAnsi="Arial" w:cs="Arial"/>
          <w:sz w:val="22"/>
          <w:szCs w:val="22"/>
        </w:rPr>
        <w:t>A</w:t>
      </w:r>
      <w:r>
        <w:rPr>
          <w:rFonts w:ascii="Arial" w:hAnsi="Arial" w:cs="Arial"/>
          <w:sz w:val="22"/>
          <w:szCs w:val="22"/>
        </w:rPr>
        <w:t xml:space="preserve">nother way </w:t>
      </w:r>
      <w:r w:rsidRPr="009E66C7">
        <w:rPr>
          <w:rFonts w:ascii="Arial" w:hAnsi="Arial" w:cs="Arial"/>
          <w:sz w:val="22"/>
          <w:szCs w:val="22"/>
        </w:rPr>
        <w:t xml:space="preserve">to foster greater Scheme accessibility is to expand to any builder the current </w:t>
      </w:r>
      <w:r>
        <w:rPr>
          <w:rFonts w:ascii="Arial" w:hAnsi="Arial" w:cs="Arial"/>
          <w:sz w:val="22"/>
          <w:szCs w:val="22"/>
        </w:rPr>
        <w:t xml:space="preserve">joint venture </w:t>
      </w:r>
      <w:r w:rsidRPr="009E66C7">
        <w:rPr>
          <w:rFonts w:ascii="Arial" w:hAnsi="Arial" w:cs="Arial"/>
          <w:sz w:val="22"/>
          <w:szCs w:val="22"/>
        </w:rPr>
        <w:t>and alliance provisions that apply solely to international builders</w:t>
      </w:r>
      <w:r>
        <w:rPr>
          <w:rFonts w:ascii="Arial" w:hAnsi="Arial" w:cs="Arial"/>
          <w:sz w:val="22"/>
          <w:szCs w:val="22"/>
        </w:rPr>
        <w:t>.</w:t>
      </w:r>
    </w:p>
    <w:p w:rsidR="00CC2563" w:rsidRDefault="00CC2563" w:rsidP="00CC2563">
      <w:pPr>
        <w:rPr>
          <w:rFonts w:ascii="Arial" w:hAnsi="Arial" w:cs="Arial"/>
          <w:sz w:val="22"/>
          <w:szCs w:val="22"/>
        </w:rPr>
      </w:pPr>
    </w:p>
    <w:p w:rsidR="00CC2563" w:rsidRPr="00327E37" w:rsidRDefault="00CC2563" w:rsidP="00CC2563">
      <w:pPr>
        <w:rPr>
          <w:rFonts w:ascii="Arial" w:hAnsi="Arial" w:cs="Arial"/>
          <w:sz w:val="22"/>
          <w:szCs w:val="22"/>
        </w:rPr>
      </w:pPr>
      <w:r w:rsidRPr="00327E37">
        <w:rPr>
          <w:rFonts w:ascii="Arial" w:hAnsi="Arial" w:cs="Arial"/>
          <w:sz w:val="22"/>
          <w:szCs w:val="22"/>
        </w:rPr>
        <w:t xml:space="preserve">During discussions with AGARG, </w:t>
      </w:r>
      <w:r>
        <w:rPr>
          <w:rFonts w:ascii="Arial" w:hAnsi="Arial" w:cs="Arial"/>
          <w:sz w:val="22"/>
          <w:szCs w:val="22"/>
        </w:rPr>
        <w:t xml:space="preserve">it was </w:t>
      </w:r>
      <w:r w:rsidRPr="00327E37">
        <w:rPr>
          <w:rFonts w:ascii="Arial" w:hAnsi="Arial" w:cs="Arial"/>
          <w:sz w:val="22"/>
          <w:szCs w:val="22"/>
        </w:rPr>
        <w:t xml:space="preserve">suggested that accessibility of the Scheme for builders may be increased through the possibility of joint ventures between an accredited company and a non-accredited company similar to the provisions available currently </w:t>
      </w:r>
      <w:r w:rsidR="00E55F5B" w:rsidRPr="00327E37">
        <w:rPr>
          <w:rFonts w:ascii="Arial" w:hAnsi="Arial" w:cs="Arial"/>
          <w:sz w:val="22"/>
          <w:szCs w:val="22"/>
        </w:rPr>
        <w:t xml:space="preserve">for international companies </w:t>
      </w:r>
      <w:r w:rsidRPr="00327E37">
        <w:rPr>
          <w:rFonts w:ascii="Arial" w:hAnsi="Arial" w:cs="Arial"/>
          <w:sz w:val="22"/>
          <w:szCs w:val="22"/>
        </w:rPr>
        <w:t>under regulation 24(1)(h)</w:t>
      </w:r>
      <w:r>
        <w:rPr>
          <w:rFonts w:ascii="Arial" w:hAnsi="Arial" w:cs="Arial"/>
          <w:sz w:val="22"/>
          <w:szCs w:val="22"/>
        </w:rPr>
        <w:t xml:space="preserve"> of the </w:t>
      </w:r>
      <w:r w:rsidRPr="00432EF5">
        <w:rPr>
          <w:rStyle w:val="Emphasis"/>
        </w:rPr>
        <w:t>Fair Work (Building Industry) Regulations 2012</w:t>
      </w:r>
      <w:r w:rsidRPr="00327E37">
        <w:rPr>
          <w:rFonts w:ascii="Arial" w:hAnsi="Arial" w:cs="Arial"/>
          <w:sz w:val="22"/>
          <w:szCs w:val="22"/>
        </w:rPr>
        <w:t>.</w:t>
      </w:r>
      <w:r>
        <w:rPr>
          <w:rFonts w:ascii="Arial" w:hAnsi="Arial" w:cs="Arial"/>
          <w:sz w:val="22"/>
          <w:szCs w:val="22"/>
        </w:rPr>
        <w:t xml:space="preserve"> </w:t>
      </w:r>
    </w:p>
    <w:p w:rsidR="00CC2563" w:rsidRPr="00327E37" w:rsidRDefault="00CC2563" w:rsidP="00CC2563">
      <w:pPr>
        <w:rPr>
          <w:rFonts w:ascii="Arial" w:hAnsi="Arial" w:cs="Arial"/>
          <w:sz w:val="22"/>
          <w:szCs w:val="22"/>
        </w:rPr>
      </w:pPr>
    </w:p>
    <w:p w:rsidR="00CC2563" w:rsidRDefault="00CC2563" w:rsidP="00CC2563">
      <w:pPr>
        <w:rPr>
          <w:rFonts w:ascii="Arial" w:hAnsi="Arial" w:cs="Arial"/>
          <w:sz w:val="22"/>
          <w:szCs w:val="22"/>
        </w:rPr>
      </w:pPr>
      <w:r w:rsidRPr="00327E37">
        <w:rPr>
          <w:rFonts w:ascii="Arial" w:hAnsi="Arial" w:cs="Arial"/>
          <w:sz w:val="22"/>
          <w:szCs w:val="22"/>
        </w:rPr>
        <w:t>A key objective of this would be for an accredited company to assist in familiarising the non-accredited partner with the Scheme requirements through the use of their own accredited WHSMS</w:t>
      </w:r>
      <w:r w:rsidR="00667C8F">
        <w:rPr>
          <w:rFonts w:ascii="Arial" w:hAnsi="Arial" w:cs="Arial"/>
          <w:sz w:val="22"/>
          <w:szCs w:val="22"/>
        </w:rPr>
        <w:t>.</w:t>
      </w:r>
      <w:r>
        <w:rPr>
          <w:rFonts w:ascii="Arial" w:hAnsi="Arial" w:cs="Arial"/>
          <w:sz w:val="22"/>
          <w:szCs w:val="22"/>
        </w:rPr>
        <w:t xml:space="preserve"> This would lift </w:t>
      </w:r>
      <w:r w:rsidRPr="00327E37">
        <w:rPr>
          <w:rFonts w:ascii="Arial" w:hAnsi="Arial" w:cs="Arial"/>
          <w:sz w:val="22"/>
          <w:szCs w:val="22"/>
        </w:rPr>
        <w:t xml:space="preserve">the safety standards of the non-accredited partner to a level that may result in </w:t>
      </w:r>
      <w:r>
        <w:rPr>
          <w:rFonts w:ascii="Arial" w:hAnsi="Arial" w:cs="Arial"/>
          <w:sz w:val="22"/>
          <w:szCs w:val="22"/>
        </w:rPr>
        <w:t>i</w:t>
      </w:r>
      <w:r w:rsidRPr="00327E37">
        <w:rPr>
          <w:rFonts w:ascii="Arial" w:hAnsi="Arial" w:cs="Arial"/>
          <w:sz w:val="22"/>
          <w:szCs w:val="22"/>
        </w:rPr>
        <w:t>t being able to achieve accreditation</w:t>
      </w:r>
      <w:r>
        <w:rPr>
          <w:rFonts w:ascii="Arial" w:hAnsi="Arial" w:cs="Arial"/>
          <w:sz w:val="22"/>
          <w:szCs w:val="22"/>
        </w:rPr>
        <w:t xml:space="preserve"> in its own right in the future</w:t>
      </w:r>
      <w:r w:rsidRPr="00327E37">
        <w:rPr>
          <w:rFonts w:ascii="Arial" w:hAnsi="Arial" w:cs="Arial"/>
          <w:sz w:val="22"/>
          <w:szCs w:val="22"/>
        </w:rPr>
        <w:t xml:space="preserve">. </w:t>
      </w:r>
    </w:p>
    <w:p w:rsidR="00CC2563" w:rsidRDefault="00CC2563" w:rsidP="00CC2563">
      <w:pPr>
        <w:rPr>
          <w:rFonts w:ascii="Arial" w:hAnsi="Arial" w:cs="Arial"/>
          <w:sz w:val="22"/>
          <w:szCs w:val="22"/>
        </w:rPr>
      </w:pPr>
    </w:p>
    <w:p w:rsidR="00CC2563" w:rsidRDefault="00CC2563" w:rsidP="00CC2563">
      <w:pPr>
        <w:rPr>
          <w:rFonts w:ascii="Arial" w:hAnsi="Arial" w:cs="Arial"/>
          <w:sz w:val="22"/>
          <w:szCs w:val="22"/>
        </w:rPr>
      </w:pPr>
      <w:r>
        <w:rPr>
          <w:rFonts w:ascii="Arial" w:hAnsi="Arial" w:cs="Arial"/>
          <w:sz w:val="22"/>
          <w:szCs w:val="22"/>
        </w:rPr>
        <w:t>A similar provision exists c</w:t>
      </w:r>
      <w:r w:rsidR="004E1FB5">
        <w:rPr>
          <w:rFonts w:ascii="Arial" w:hAnsi="Arial" w:cs="Arial"/>
          <w:sz w:val="22"/>
          <w:szCs w:val="22"/>
        </w:rPr>
        <w:t>urrently under regulation 24(1)</w:t>
      </w:r>
      <w:r>
        <w:rPr>
          <w:rFonts w:ascii="Arial" w:hAnsi="Arial" w:cs="Arial"/>
          <w:sz w:val="22"/>
          <w:szCs w:val="22"/>
        </w:rPr>
        <w:t>(h) for international companies which, subject to a number of limitations, are able to enter into a joint venture arrangement with an accredited builder. Those limitations require that an application for accreditation has been submitted and extend to only using the WHSMS of the accredited builder, evidence of which is provided to the FSC. This approach has been adopted by a number of joint ventures and has given companies not already operating in Australia the opportunity to work to an accredited Australian system while they undergo the accreditation process themselves.</w:t>
      </w:r>
    </w:p>
    <w:p w:rsidR="00CC2563" w:rsidRDefault="00CC2563" w:rsidP="00CC2563">
      <w:pPr>
        <w:rPr>
          <w:rFonts w:ascii="Arial" w:hAnsi="Arial" w:cs="Arial"/>
          <w:sz w:val="22"/>
          <w:szCs w:val="22"/>
        </w:rPr>
      </w:pPr>
    </w:p>
    <w:p w:rsidR="00CC2563" w:rsidRDefault="00CC2563" w:rsidP="00CC2563">
      <w:pPr>
        <w:rPr>
          <w:rFonts w:ascii="Arial" w:hAnsi="Arial" w:cs="Arial"/>
          <w:sz w:val="22"/>
          <w:szCs w:val="22"/>
        </w:rPr>
      </w:pPr>
      <w:r>
        <w:rPr>
          <w:rFonts w:ascii="Arial" w:hAnsi="Arial" w:cs="Arial"/>
          <w:sz w:val="22"/>
          <w:szCs w:val="22"/>
        </w:rPr>
        <w:t xml:space="preserve">This approach lends itself particularly well to social policy initiatives such as Indigenous construction projects that seek to align experienced builders with inexperienced or emerging Indigenous businesses. This arrangement continues to focus on safety while developing relevant expertise under the auspice of an accredited WHSMS, </w:t>
      </w:r>
      <w:r w:rsidR="00C92B22">
        <w:rPr>
          <w:rFonts w:ascii="Arial" w:hAnsi="Arial" w:cs="Arial"/>
          <w:sz w:val="22"/>
          <w:szCs w:val="22"/>
        </w:rPr>
        <w:t xml:space="preserve">while </w:t>
      </w:r>
      <w:r>
        <w:rPr>
          <w:rFonts w:ascii="Arial" w:hAnsi="Arial" w:cs="Arial"/>
          <w:sz w:val="22"/>
          <w:szCs w:val="22"/>
        </w:rPr>
        <w:t xml:space="preserve">still allowing the Indigenous business to operate as a full partner in a joint arrangement. </w:t>
      </w:r>
    </w:p>
    <w:p w:rsidR="00CC2563" w:rsidRDefault="00CC2563" w:rsidP="00CC2563">
      <w:pPr>
        <w:rPr>
          <w:rFonts w:ascii="Arial" w:hAnsi="Arial" w:cs="Arial"/>
          <w:sz w:val="22"/>
          <w:szCs w:val="22"/>
        </w:rPr>
      </w:pPr>
    </w:p>
    <w:p w:rsidR="000C535F" w:rsidRDefault="000C535F">
      <w:pPr>
        <w:rPr>
          <w:rFonts w:ascii="Arial" w:hAnsi="Arial" w:cs="Arial"/>
          <w:sz w:val="22"/>
          <w:szCs w:val="22"/>
        </w:rPr>
      </w:pPr>
      <w:r>
        <w:rPr>
          <w:rFonts w:ascii="Arial" w:hAnsi="Arial" w:cs="Arial"/>
          <w:sz w:val="22"/>
          <w:szCs w:val="22"/>
        </w:rPr>
        <w:br w:type="page"/>
      </w:r>
    </w:p>
    <w:p w:rsidR="00CC2563" w:rsidRPr="00327E37" w:rsidRDefault="00CC2563" w:rsidP="00CC2563">
      <w:pPr>
        <w:rPr>
          <w:rFonts w:ascii="Arial" w:hAnsi="Arial" w:cs="Arial"/>
          <w:sz w:val="22"/>
          <w:szCs w:val="22"/>
        </w:rPr>
      </w:pPr>
      <w:r>
        <w:rPr>
          <w:rFonts w:ascii="Arial" w:hAnsi="Arial" w:cs="Arial"/>
          <w:sz w:val="22"/>
          <w:szCs w:val="22"/>
        </w:rPr>
        <w:t xml:space="preserve">Any introduction of a similar joint venture arrangement to unaccredited builders would include consideration of parameters or other limitations, similar to </w:t>
      </w:r>
      <w:r w:rsidR="00E55F5B">
        <w:rPr>
          <w:rFonts w:ascii="Arial" w:hAnsi="Arial" w:cs="Arial"/>
          <w:sz w:val="22"/>
          <w:szCs w:val="22"/>
        </w:rPr>
        <w:t>r</w:t>
      </w:r>
      <w:r>
        <w:rPr>
          <w:rFonts w:ascii="Arial" w:hAnsi="Arial" w:cs="Arial"/>
          <w:sz w:val="22"/>
          <w:szCs w:val="22"/>
        </w:rPr>
        <w:t xml:space="preserve">egulation 24(1)(h), to ensure that safety is maintained at the highest level and that it is not seen as a means by which a company can undertake </w:t>
      </w:r>
      <w:r w:rsidR="00D15D83">
        <w:rPr>
          <w:rFonts w:ascii="Arial" w:hAnsi="Arial" w:cs="Arial"/>
          <w:sz w:val="22"/>
          <w:szCs w:val="22"/>
        </w:rPr>
        <w:t>Commonwealth Government fund</w:t>
      </w:r>
      <w:r>
        <w:rPr>
          <w:rFonts w:ascii="Arial" w:hAnsi="Arial" w:cs="Arial"/>
          <w:sz w:val="22"/>
          <w:szCs w:val="22"/>
        </w:rPr>
        <w:t xml:space="preserve">ed building work without demonstrating appropriate safety standards. </w:t>
      </w:r>
    </w:p>
    <w:p w:rsidR="00CC2563" w:rsidRPr="00D37772" w:rsidRDefault="00CC2563" w:rsidP="00CC2563">
      <w:pPr>
        <w:rPr>
          <w:rFonts w:ascii="Arial" w:hAnsi="Arial" w:cs="Arial"/>
          <w:sz w:val="22"/>
          <w:szCs w:val="22"/>
          <w:highlight w:val="yellow"/>
        </w:rPr>
      </w:pPr>
    </w:p>
    <w:p w:rsidR="00CC2563" w:rsidRDefault="00CC2563" w:rsidP="00CC2563">
      <w:pPr>
        <w:rPr>
          <w:rFonts w:ascii="Arial" w:hAnsi="Arial" w:cs="Arial"/>
          <w:sz w:val="22"/>
          <w:szCs w:val="22"/>
        </w:rPr>
      </w:pPr>
      <w:r w:rsidRPr="00E55F5B">
        <w:rPr>
          <w:rFonts w:ascii="Arial" w:hAnsi="Arial" w:cs="Arial"/>
          <w:noProof/>
          <w:sz w:val="22"/>
          <w:szCs w:val="22"/>
        </w:rPr>
        <mc:AlternateContent>
          <mc:Choice Requires="wps">
            <w:drawing>
              <wp:inline distT="0" distB="0" distL="0" distR="0" wp14:anchorId="7D84148F" wp14:editId="4F15B5E6">
                <wp:extent cx="5743575" cy="790575"/>
                <wp:effectExtent l="0" t="0" r="28575" b="28575"/>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10</w:t>
                            </w:r>
                            <w:r w:rsidRPr="005E46C2">
                              <w:rPr>
                                <w:rFonts w:ascii="Arial" w:hAnsi="Arial" w:cs="Arial"/>
                                <w:sz w:val="22"/>
                                <w:szCs w:val="22"/>
                                <w:highlight w:val="lightGray"/>
                              </w:rPr>
                              <w:t>:</w:t>
                            </w:r>
                            <w:r>
                              <w:rPr>
                                <w:rFonts w:ascii="Arial" w:hAnsi="Arial" w:cs="Arial"/>
                                <w:sz w:val="22"/>
                                <w:szCs w:val="22"/>
                              </w:rPr>
                              <w:t xml:space="preserve"> The OFSC, in consultation with stakeholders, investigates and </w:t>
                            </w:r>
                            <w:r w:rsidRPr="009406F8">
                              <w:rPr>
                                <w:rFonts w:ascii="Arial" w:hAnsi="Arial" w:cs="Arial"/>
                                <w:sz w:val="22"/>
                                <w:szCs w:val="22"/>
                              </w:rPr>
                              <w:t>develop</w:t>
                            </w:r>
                            <w:r>
                              <w:rPr>
                                <w:rFonts w:ascii="Arial" w:hAnsi="Arial" w:cs="Arial"/>
                                <w:sz w:val="22"/>
                                <w:szCs w:val="22"/>
                              </w:rPr>
                              <w:t>s</w:t>
                            </w:r>
                            <w:r w:rsidRPr="009406F8">
                              <w:rPr>
                                <w:rFonts w:ascii="Arial" w:hAnsi="Arial" w:cs="Arial"/>
                                <w:sz w:val="22"/>
                                <w:szCs w:val="22"/>
                              </w:rPr>
                              <w:t xml:space="preserve"> </w:t>
                            </w:r>
                            <w:r>
                              <w:rPr>
                                <w:rFonts w:ascii="Arial" w:hAnsi="Arial" w:cs="Arial"/>
                                <w:sz w:val="22"/>
                                <w:szCs w:val="22"/>
                              </w:rPr>
                              <w:t xml:space="preserve">an approach </w:t>
                            </w:r>
                            <w:r w:rsidRPr="009406F8">
                              <w:rPr>
                                <w:rFonts w:ascii="Arial" w:hAnsi="Arial" w:cs="Arial"/>
                                <w:sz w:val="22"/>
                                <w:szCs w:val="22"/>
                              </w:rPr>
                              <w:t>that would allow unaccredited companies to tender for Scheme projects where they are in a joint venture with an accredited company and operate under the partner’s accredited safety systems</w:t>
                            </w:r>
                            <w:r>
                              <w:rPr>
                                <w:rFonts w:ascii="Arial" w:hAnsi="Arial" w:cs="Arial"/>
                                <w:i/>
                                <w:sz w:val="22"/>
                                <w:szCs w:val="22"/>
                              </w:rPr>
                              <w:t>.</w:t>
                            </w:r>
                          </w:p>
                        </w:txbxContent>
                      </wps:txbx>
                      <wps:bodyPr rot="0" vert="horz" wrap="square" lIns="91440" tIns="45720" rIns="91440" bIns="45720" anchor="ctr" anchorCtr="0">
                        <a:noAutofit/>
                      </wps:bodyPr>
                    </wps:wsp>
                  </a:graphicData>
                </a:graphic>
              </wp:inline>
            </w:drawing>
          </mc:Choice>
          <mc:Fallback>
            <w:pict>
              <v:shape w14:anchorId="7D84148F" id="_x0000_s1035" type="#_x0000_t202" style="width:452.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" fillcolor="#d8d8d8 [2732]">
                <v:textbo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10</w:t>
                      </w:r>
                      <w:r w:rsidRPr="005E46C2">
                        <w:rPr>
                          <w:rFonts w:ascii="Arial" w:hAnsi="Arial" w:cs="Arial"/>
                          <w:sz w:val="22"/>
                          <w:szCs w:val="22"/>
                          <w:highlight w:val="lightGray"/>
                        </w:rPr>
                        <w:t>:</w:t>
                      </w:r>
                      <w:r>
                        <w:rPr>
                          <w:rFonts w:ascii="Arial" w:hAnsi="Arial" w:cs="Arial"/>
                          <w:sz w:val="22"/>
                          <w:szCs w:val="22"/>
                        </w:rPr>
                        <w:t xml:space="preserve"> The OFSC, in consultation with stakeholders, investigates and </w:t>
                      </w:r>
                      <w:r w:rsidRPr="009406F8">
                        <w:rPr>
                          <w:rFonts w:ascii="Arial" w:hAnsi="Arial" w:cs="Arial"/>
                          <w:sz w:val="22"/>
                          <w:szCs w:val="22"/>
                        </w:rPr>
                        <w:t>develop</w:t>
                      </w:r>
                      <w:r>
                        <w:rPr>
                          <w:rFonts w:ascii="Arial" w:hAnsi="Arial" w:cs="Arial"/>
                          <w:sz w:val="22"/>
                          <w:szCs w:val="22"/>
                        </w:rPr>
                        <w:t>s</w:t>
                      </w:r>
                      <w:r w:rsidRPr="009406F8">
                        <w:rPr>
                          <w:rFonts w:ascii="Arial" w:hAnsi="Arial" w:cs="Arial"/>
                          <w:sz w:val="22"/>
                          <w:szCs w:val="22"/>
                        </w:rPr>
                        <w:t xml:space="preserve"> </w:t>
                      </w:r>
                      <w:r>
                        <w:rPr>
                          <w:rFonts w:ascii="Arial" w:hAnsi="Arial" w:cs="Arial"/>
                          <w:sz w:val="22"/>
                          <w:szCs w:val="22"/>
                        </w:rPr>
                        <w:t xml:space="preserve">an approach </w:t>
                      </w:r>
                      <w:r w:rsidRPr="009406F8">
                        <w:rPr>
                          <w:rFonts w:ascii="Arial" w:hAnsi="Arial" w:cs="Arial"/>
                          <w:sz w:val="22"/>
                          <w:szCs w:val="22"/>
                        </w:rPr>
                        <w:t>that would allow unaccredited companies to tender for Scheme projects where they are in a joint venture with an accredited company and operate under the partner’s accredited safety systems</w:t>
                      </w:r>
                      <w:r>
                        <w:rPr>
                          <w:rFonts w:ascii="Arial" w:hAnsi="Arial" w:cs="Arial"/>
                          <w:i/>
                          <w:sz w:val="22"/>
                          <w:szCs w:val="22"/>
                        </w:rPr>
                        <w:t>.</w:t>
                      </w:r>
                    </w:p>
                  </w:txbxContent>
                </v:textbox>
                <w10:anchorlock/>
              </v:shape>
            </w:pict>
          </mc:Fallback>
        </mc:AlternateContent>
      </w:r>
    </w:p>
    <w:p w:rsidR="00CC2563" w:rsidRDefault="00CC2563" w:rsidP="00CC2563">
      <w:pPr>
        <w:rPr>
          <w:rFonts w:ascii="Arial" w:hAnsi="Arial" w:cs="Arial"/>
          <w:sz w:val="22"/>
          <w:szCs w:val="22"/>
        </w:rPr>
      </w:pPr>
    </w:p>
    <w:p w:rsidR="00CC2563" w:rsidRDefault="00CC2563" w:rsidP="003005B9">
      <w:pPr>
        <w:pStyle w:val="Heading2"/>
      </w:pPr>
    </w:p>
    <w:p w:rsidR="00AB62C5" w:rsidRDefault="00356AA4" w:rsidP="003005B9">
      <w:pPr>
        <w:pStyle w:val="Heading2"/>
      </w:pPr>
      <w:bookmarkStart w:id="34" w:name="_Toc390429520"/>
      <w:r w:rsidRPr="00356AA4">
        <w:t xml:space="preserve">Simplifying </w:t>
      </w:r>
      <w:r w:rsidR="001F0027">
        <w:t>C</w:t>
      </w:r>
      <w:r w:rsidRPr="00356AA4">
        <w:t>riteria</w:t>
      </w:r>
      <w:bookmarkEnd w:id="34"/>
      <w:r w:rsidRPr="00356AA4">
        <w:t xml:space="preserve"> </w:t>
      </w:r>
    </w:p>
    <w:p w:rsidR="00356AA4" w:rsidRDefault="00356AA4" w:rsidP="00356AA4"/>
    <w:p w:rsidR="001F0027" w:rsidRDefault="00356AA4" w:rsidP="00356AA4">
      <w:pPr>
        <w:rPr>
          <w:rFonts w:ascii="Arial" w:hAnsi="Arial" w:cs="Arial"/>
          <w:sz w:val="22"/>
          <w:szCs w:val="22"/>
        </w:rPr>
      </w:pPr>
      <w:r w:rsidRPr="00EE5A81">
        <w:rPr>
          <w:rFonts w:ascii="Arial" w:hAnsi="Arial" w:cs="Arial"/>
          <w:sz w:val="22"/>
          <w:szCs w:val="22"/>
        </w:rPr>
        <w:t xml:space="preserve">The Scheme was initially established to raise the bar and challenge companies to not only achieve legislative compliance but </w:t>
      </w:r>
      <w:r w:rsidR="00B03528">
        <w:rPr>
          <w:rFonts w:ascii="Arial" w:hAnsi="Arial" w:cs="Arial"/>
          <w:sz w:val="22"/>
          <w:szCs w:val="22"/>
        </w:rPr>
        <w:t xml:space="preserve">also </w:t>
      </w:r>
      <w:r w:rsidRPr="00EE5A81">
        <w:rPr>
          <w:rFonts w:ascii="Arial" w:hAnsi="Arial" w:cs="Arial"/>
          <w:sz w:val="22"/>
          <w:szCs w:val="22"/>
        </w:rPr>
        <w:t xml:space="preserve">to strive beyond basic legislative compliance in WHS to improve the safety culture </w:t>
      </w:r>
      <w:r w:rsidR="00E35CA0">
        <w:rPr>
          <w:rFonts w:ascii="Arial" w:hAnsi="Arial" w:cs="Arial"/>
          <w:sz w:val="22"/>
          <w:szCs w:val="22"/>
        </w:rPr>
        <w:t xml:space="preserve">across </w:t>
      </w:r>
      <w:r w:rsidRPr="00EE5A81">
        <w:rPr>
          <w:rFonts w:ascii="Arial" w:hAnsi="Arial" w:cs="Arial"/>
          <w:sz w:val="22"/>
          <w:szCs w:val="22"/>
        </w:rPr>
        <w:t xml:space="preserve">the building and construction industry. </w:t>
      </w:r>
    </w:p>
    <w:p w:rsidR="001F0027" w:rsidRDefault="001F0027" w:rsidP="00356AA4">
      <w:pPr>
        <w:rPr>
          <w:rFonts w:ascii="Arial" w:hAnsi="Arial" w:cs="Arial"/>
          <w:sz w:val="22"/>
          <w:szCs w:val="22"/>
        </w:rPr>
      </w:pPr>
    </w:p>
    <w:p w:rsidR="000E5A13" w:rsidRDefault="00356AA4" w:rsidP="00356AA4">
      <w:pPr>
        <w:rPr>
          <w:rFonts w:ascii="Arial" w:hAnsi="Arial" w:cs="Arial"/>
          <w:sz w:val="22"/>
          <w:szCs w:val="22"/>
        </w:rPr>
      </w:pPr>
      <w:r w:rsidRPr="00EE5A81">
        <w:rPr>
          <w:rFonts w:ascii="Arial" w:hAnsi="Arial" w:cs="Arial"/>
          <w:sz w:val="22"/>
          <w:szCs w:val="22"/>
        </w:rPr>
        <w:t xml:space="preserve">At </w:t>
      </w:r>
      <w:r w:rsidR="001C247F">
        <w:rPr>
          <w:rFonts w:ascii="Arial" w:hAnsi="Arial" w:cs="Arial"/>
          <w:sz w:val="22"/>
          <w:szCs w:val="22"/>
        </w:rPr>
        <w:t>the</w:t>
      </w:r>
      <w:r w:rsidRPr="00EE5A81">
        <w:rPr>
          <w:rFonts w:ascii="Arial" w:hAnsi="Arial" w:cs="Arial"/>
          <w:sz w:val="22"/>
          <w:szCs w:val="22"/>
        </w:rPr>
        <w:t xml:space="preserve"> two</w:t>
      </w:r>
      <w:r w:rsidR="00B03528">
        <w:rPr>
          <w:rFonts w:ascii="Arial" w:hAnsi="Arial" w:cs="Arial"/>
          <w:sz w:val="22"/>
          <w:szCs w:val="22"/>
        </w:rPr>
        <w:t>-</w:t>
      </w:r>
      <w:r w:rsidRPr="00EE5A81">
        <w:rPr>
          <w:rFonts w:ascii="Arial" w:hAnsi="Arial" w:cs="Arial"/>
          <w:sz w:val="22"/>
          <w:szCs w:val="22"/>
        </w:rPr>
        <w:t>day first accreditation audit, all companies</w:t>
      </w:r>
      <w:r w:rsidR="00F271EB">
        <w:rPr>
          <w:rFonts w:ascii="Arial" w:hAnsi="Arial" w:cs="Arial"/>
          <w:sz w:val="22"/>
          <w:szCs w:val="22"/>
        </w:rPr>
        <w:t>’ documented systems and their implementation in practice</w:t>
      </w:r>
      <w:r w:rsidRPr="00EE5A81">
        <w:rPr>
          <w:rFonts w:ascii="Arial" w:hAnsi="Arial" w:cs="Arial"/>
          <w:sz w:val="22"/>
          <w:szCs w:val="22"/>
        </w:rPr>
        <w:t xml:space="preserve"> are assessed against the criteria</w:t>
      </w:r>
      <w:r w:rsidR="000E5A13">
        <w:rPr>
          <w:rFonts w:ascii="Arial" w:hAnsi="Arial" w:cs="Arial"/>
          <w:sz w:val="22"/>
          <w:szCs w:val="22"/>
        </w:rPr>
        <w:t xml:space="preserve">, including two </w:t>
      </w:r>
      <w:r w:rsidR="00F271EB" w:rsidRPr="00EE5A81">
        <w:rPr>
          <w:rFonts w:ascii="Arial" w:hAnsi="Arial" w:cs="Arial"/>
          <w:sz w:val="22"/>
          <w:szCs w:val="22"/>
        </w:rPr>
        <w:t>hazard</w:t>
      </w:r>
      <w:r w:rsidR="00F271EB">
        <w:rPr>
          <w:rFonts w:ascii="Arial" w:hAnsi="Arial" w:cs="Arial"/>
          <w:sz w:val="22"/>
          <w:szCs w:val="22"/>
        </w:rPr>
        <w:t>-</w:t>
      </w:r>
      <w:r w:rsidR="00F271EB" w:rsidRPr="00EE5A81">
        <w:rPr>
          <w:rFonts w:ascii="Arial" w:hAnsi="Arial" w:cs="Arial"/>
          <w:sz w:val="22"/>
          <w:szCs w:val="22"/>
        </w:rPr>
        <w:t xml:space="preserve">specific </w:t>
      </w:r>
      <w:r w:rsidR="000E5A13">
        <w:rPr>
          <w:rFonts w:ascii="Arial" w:hAnsi="Arial" w:cs="Arial"/>
          <w:sz w:val="22"/>
          <w:szCs w:val="22"/>
        </w:rPr>
        <w:t xml:space="preserve">sets of </w:t>
      </w:r>
      <w:r w:rsidR="00F271EB" w:rsidRPr="00EE5A81">
        <w:rPr>
          <w:rFonts w:ascii="Arial" w:hAnsi="Arial" w:cs="Arial"/>
          <w:sz w:val="22"/>
          <w:szCs w:val="22"/>
        </w:rPr>
        <w:t xml:space="preserve">criteria based on the works occurring on </w:t>
      </w:r>
      <w:r w:rsidR="00F271EB">
        <w:rPr>
          <w:rFonts w:ascii="Arial" w:hAnsi="Arial" w:cs="Arial"/>
          <w:sz w:val="22"/>
          <w:szCs w:val="22"/>
        </w:rPr>
        <w:t>s</w:t>
      </w:r>
      <w:r w:rsidR="00F271EB" w:rsidRPr="00EE5A81">
        <w:rPr>
          <w:rFonts w:ascii="Arial" w:hAnsi="Arial" w:cs="Arial"/>
          <w:sz w:val="22"/>
          <w:szCs w:val="22"/>
        </w:rPr>
        <w:t>ite.</w:t>
      </w:r>
      <w:r w:rsidR="00F271EB">
        <w:rPr>
          <w:rFonts w:ascii="Arial" w:hAnsi="Arial" w:cs="Arial"/>
          <w:sz w:val="22"/>
          <w:szCs w:val="22"/>
        </w:rPr>
        <w:t xml:space="preserve"> </w:t>
      </w:r>
      <w:r w:rsidR="004A1A48">
        <w:rPr>
          <w:rFonts w:ascii="Arial" w:hAnsi="Arial" w:cs="Arial"/>
          <w:sz w:val="22"/>
          <w:szCs w:val="22"/>
        </w:rPr>
        <w:t>T</w:t>
      </w:r>
      <w:r w:rsidR="00F271EB">
        <w:rPr>
          <w:rFonts w:ascii="Arial" w:hAnsi="Arial" w:cs="Arial"/>
          <w:sz w:val="22"/>
          <w:szCs w:val="22"/>
        </w:rPr>
        <w:t>he reaccreditation phase</w:t>
      </w:r>
      <w:r w:rsidR="004A1A48">
        <w:rPr>
          <w:rFonts w:ascii="Arial" w:hAnsi="Arial" w:cs="Arial"/>
          <w:sz w:val="22"/>
          <w:szCs w:val="22"/>
        </w:rPr>
        <w:t xml:space="preserve"> uses a similar model with either all, or a subset of the same criteria being reviewed, </w:t>
      </w:r>
      <w:r w:rsidR="000E5A13">
        <w:rPr>
          <w:rFonts w:ascii="Arial" w:hAnsi="Arial" w:cs="Arial"/>
          <w:sz w:val="22"/>
          <w:szCs w:val="22"/>
        </w:rPr>
        <w:t xml:space="preserve">and </w:t>
      </w:r>
      <w:r w:rsidRPr="00EE5A81">
        <w:rPr>
          <w:rFonts w:ascii="Arial" w:hAnsi="Arial" w:cs="Arial"/>
          <w:sz w:val="22"/>
          <w:szCs w:val="22"/>
        </w:rPr>
        <w:t>ongoing maintenance audit</w:t>
      </w:r>
      <w:r w:rsidR="004A1A48">
        <w:rPr>
          <w:rFonts w:ascii="Arial" w:hAnsi="Arial" w:cs="Arial"/>
          <w:sz w:val="22"/>
          <w:szCs w:val="22"/>
        </w:rPr>
        <w:t xml:space="preserve">s </w:t>
      </w:r>
      <w:r w:rsidR="000E5A13">
        <w:rPr>
          <w:rFonts w:ascii="Arial" w:hAnsi="Arial" w:cs="Arial"/>
          <w:sz w:val="22"/>
          <w:szCs w:val="22"/>
        </w:rPr>
        <w:t xml:space="preserve">also </w:t>
      </w:r>
      <w:r w:rsidR="004A1A48">
        <w:rPr>
          <w:rFonts w:ascii="Arial" w:hAnsi="Arial" w:cs="Arial"/>
          <w:sz w:val="22"/>
          <w:szCs w:val="22"/>
        </w:rPr>
        <w:t>examin</w:t>
      </w:r>
      <w:r w:rsidR="000E5A13">
        <w:rPr>
          <w:rFonts w:ascii="Arial" w:hAnsi="Arial" w:cs="Arial"/>
          <w:sz w:val="22"/>
          <w:szCs w:val="22"/>
        </w:rPr>
        <w:t>e</w:t>
      </w:r>
      <w:r w:rsidR="004A1A48">
        <w:rPr>
          <w:rFonts w:ascii="Arial" w:hAnsi="Arial" w:cs="Arial"/>
          <w:sz w:val="22"/>
          <w:szCs w:val="22"/>
        </w:rPr>
        <w:t xml:space="preserve"> </w:t>
      </w:r>
      <w:r w:rsidR="000E5A13">
        <w:rPr>
          <w:rFonts w:ascii="Arial" w:hAnsi="Arial" w:cs="Arial"/>
          <w:sz w:val="22"/>
          <w:szCs w:val="22"/>
        </w:rPr>
        <w:t>a subset</w:t>
      </w:r>
      <w:r w:rsidRPr="00EE5A81">
        <w:rPr>
          <w:rFonts w:ascii="Arial" w:hAnsi="Arial" w:cs="Arial"/>
          <w:sz w:val="22"/>
          <w:szCs w:val="22"/>
        </w:rPr>
        <w:t xml:space="preserve"> of </w:t>
      </w:r>
      <w:r w:rsidR="004A1A48">
        <w:rPr>
          <w:rFonts w:ascii="Arial" w:hAnsi="Arial" w:cs="Arial"/>
          <w:sz w:val="22"/>
          <w:szCs w:val="22"/>
        </w:rPr>
        <w:t xml:space="preserve">the same </w:t>
      </w:r>
      <w:r w:rsidRPr="00EE5A81">
        <w:rPr>
          <w:rFonts w:ascii="Arial" w:hAnsi="Arial" w:cs="Arial"/>
          <w:sz w:val="22"/>
          <w:szCs w:val="22"/>
        </w:rPr>
        <w:t>criteria</w:t>
      </w:r>
      <w:r w:rsidR="00F271EB">
        <w:rPr>
          <w:rFonts w:ascii="Arial" w:hAnsi="Arial" w:cs="Arial"/>
          <w:sz w:val="22"/>
          <w:szCs w:val="22"/>
        </w:rPr>
        <w:t xml:space="preserve">. </w:t>
      </w:r>
    </w:p>
    <w:p w:rsidR="000E5A13" w:rsidRDefault="000E5A13" w:rsidP="00356AA4">
      <w:pPr>
        <w:rPr>
          <w:rFonts w:ascii="Arial" w:hAnsi="Arial" w:cs="Arial"/>
          <w:sz w:val="22"/>
          <w:szCs w:val="22"/>
        </w:rPr>
      </w:pPr>
    </w:p>
    <w:p w:rsidR="00EB6D82" w:rsidRDefault="00472B8C" w:rsidP="00356AA4">
      <w:pPr>
        <w:rPr>
          <w:rFonts w:ascii="Arial" w:hAnsi="Arial" w:cs="Arial"/>
          <w:sz w:val="22"/>
          <w:szCs w:val="22"/>
        </w:rPr>
      </w:pPr>
      <w:r>
        <w:rPr>
          <w:rFonts w:ascii="Arial" w:hAnsi="Arial" w:cs="Arial"/>
          <w:sz w:val="22"/>
          <w:szCs w:val="22"/>
        </w:rPr>
        <w:t xml:space="preserve">This </w:t>
      </w:r>
      <w:r w:rsidR="00EB6D82">
        <w:rPr>
          <w:rFonts w:ascii="Arial" w:hAnsi="Arial" w:cs="Arial"/>
          <w:sz w:val="22"/>
          <w:szCs w:val="22"/>
        </w:rPr>
        <w:t>recurring</w:t>
      </w:r>
      <w:r>
        <w:rPr>
          <w:rFonts w:ascii="Arial" w:hAnsi="Arial" w:cs="Arial"/>
          <w:sz w:val="22"/>
          <w:szCs w:val="22"/>
        </w:rPr>
        <w:t xml:space="preserve"> </w:t>
      </w:r>
      <w:r w:rsidR="00F271EB">
        <w:rPr>
          <w:rFonts w:ascii="Arial" w:hAnsi="Arial" w:cs="Arial"/>
          <w:sz w:val="22"/>
          <w:szCs w:val="22"/>
        </w:rPr>
        <w:t xml:space="preserve">emphasis on systems assessment </w:t>
      </w:r>
      <w:r w:rsidR="004A1A48">
        <w:rPr>
          <w:rFonts w:ascii="Arial" w:hAnsi="Arial" w:cs="Arial"/>
          <w:sz w:val="22"/>
          <w:szCs w:val="22"/>
        </w:rPr>
        <w:t>against the</w:t>
      </w:r>
      <w:r w:rsidR="00F271EB">
        <w:rPr>
          <w:rFonts w:ascii="Arial" w:hAnsi="Arial" w:cs="Arial"/>
          <w:sz w:val="22"/>
          <w:szCs w:val="22"/>
        </w:rPr>
        <w:t xml:space="preserve"> criteria</w:t>
      </w:r>
      <w:r>
        <w:rPr>
          <w:rFonts w:ascii="Arial" w:hAnsi="Arial" w:cs="Arial"/>
          <w:sz w:val="22"/>
          <w:szCs w:val="22"/>
        </w:rPr>
        <w:t xml:space="preserve">, even for high performing companies with a strong track record of compliance, may mitigate against </w:t>
      </w:r>
      <w:r w:rsidR="00E35CA0">
        <w:rPr>
          <w:rFonts w:ascii="Arial" w:hAnsi="Arial" w:cs="Arial"/>
          <w:sz w:val="22"/>
          <w:szCs w:val="22"/>
        </w:rPr>
        <w:t>c</w:t>
      </w:r>
      <w:r>
        <w:rPr>
          <w:rFonts w:ascii="Arial" w:hAnsi="Arial" w:cs="Arial"/>
          <w:sz w:val="22"/>
          <w:szCs w:val="22"/>
        </w:rPr>
        <w:t>ompanies striv</w:t>
      </w:r>
      <w:r w:rsidR="00E35CA0">
        <w:rPr>
          <w:rFonts w:ascii="Arial" w:hAnsi="Arial" w:cs="Arial"/>
          <w:sz w:val="22"/>
          <w:szCs w:val="22"/>
        </w:rPr>
        <w:t xml:space="preserve">ing for continual improvement and </w:t>
      </w:r>
      <w:r>
        <w:rPr>
          <w:rFonts w:ascii="Arial" w:hAnsi="Arial" w:cs="Arial"/>
          <w:sz w:val="22"/>
          <w:szCs w:val="22"/>
        </w:rPr>
        <w:t>best practice</w:t>
      </w:r>
      <w:r w:rsidR="000E5A13">
        <w:rPr>
          <w:rFonts w:ascii="Arial" w:hAnsi="Arial" w:cs="Arial"/>
          <w:sz w:val="22"/>
          <w:szCs w:val="22"/>
        </w:rPr>
        <w:t xml:space="preserve"> beyond their current systems and approaches</w:t>
      </w:r>
      <w:r>
        <w:rPr>
          <w:rFonts w:ascii="Arial" w:hAnsi="Arial" w:cs="Arial"/>
          <w:sz w:val="22"/>
          <w:szCs w:val="22"/>
        </w:rPr>
        <w:t xml:space="preserve">. Several submissions </w:t>
      </w:r>
      <w:r w:rsidR="00EB6D82">
        <w:rPr>
          <w:rFonts w:ascii="Arial" w:hAnsi="Arial" w:cs="Arial"/>
          <w:sz w:val="22"/>
          <w:szCs w:val="22"/>
        </w:rPr>
        <w:t>indicated strong support for identifying ways in which continual improvement in safety can be fostered and monitored beyond accreditation, focussing on aspects of leadership and cultural change, and identifying criteria focussing on le</w:t>
      </w:r>
      <w:r w:rsidR="00EB6D82" w:rsidRPr="00EB6D82">
        <w:rPr>
          <w:rFonts w:ascii="Arial" w:hAnsi="Arial" w:cs="Arial"/>
          <w:sz w:val="22"/>
          <w:szCs w:val="22"/>
        </w:rPr>
        <w:t>adership and other lead indicators</w:t>
      </w:r>
      <w:r w:rsidR="00EB6D82" w:rsidRPr="00EB6D82">
        <w:rPr>
          <w:rStyle w:val="FootnoteReference"/>
          <w:rFonts w:ascii="Arial" w:hAnsi="Arial" w:cs="Arial"/>
          <w:sz w:val="22"/>
          <w:szCs w:val="22"/>
        </w:rPr>
        <w:footnoteReference w:id="6"/>
      </w:r>
      <w:r w:rsidR="00EB6D82" w:rsidRPr="00EB6D82">
        <w:rPr>
          <w:rFonts w:ascii="Arial" w:hAnsi="Arial" w:cs="Arial"/>
          <w:sz w:val="22"/>
          <w:szCs w:val="22"/>
        </w:rPr>
        <w:t>.</w:t>
      </w:r>
    </w:p>
    <w:p w:rsidR="00EB6D82" w:rsidRDefault="00EB6D82" w:rsidP="00356AA4">
      <w:pPr>
        <w:rPr>
          <w:rFonts w:ascii="Arial" w:hAnsi="Arial" w:cs="Arial"/>
          <w:sz w:val="22"/>
          <w:szCs w:val="22"/>
        </w:rPr>
      </w:pPr>
    </w:p>
    <w:p w:rsidR="000E5A13" w:rsidRDefault="000E5A13" w:rsidP="00356AA4">
      <w:pPr>
        <w:rPr>
          <w:rFonts w:ascii="Arial" w:hAnsi="Arial" w:cs="Arial"/>
          <w:sz w:val="22"/>
          <w:szCs w:val="22"/>
        </w:rPr>
      </w:pPr>
      <w:r>
        <w:rPr>
          <w:rFonts w:ascii="Arial" w:hAnsi="Arial" w:cs="Arial"/>
          <w:sz w:val="22"/>
          <w:szCs w:val="22"/>
        </w:rPr>
        <w:t>A review of the criteria could consider establishing a better balance between adherence to system requirements (which will continue to underpin the Scheme) and incentives to strive for ongoing improvements</w:t>
      </w:r>
      <w:r w:rsidR="00047CAF">
        <w:rPr>
          <w:rFonts w:ascii="Arial" w:hAnsi="Arial" w:cs="Arial"/>
          <w:sz w:val="22"/>
          <w:szCs w:val="22"/>
        </w:rPr>
        <w:t>,</w:t>
      </w:r>
      <w:r>
        <w:rPr>
          <w:rFonts w:ascii="Arial" w:hAnsi="Arial" w:cs="Arial"/>
          <w:sz w:val="22"/>
          <w:szCs w:val="22"/>
        </w:rPr>
        <w:t xml:space="preserve"> particularly in</w:t>
      </w:r>
      <w:r w:rsidR="00047CAF">
        <w:rPr>
          <w:rFonts w:ascii="Arial" w:hAnsi="Arial" w:cs="Arial"/>
          <w:sz w:val="22"/>
          <w:szCs w:val="22"/>
        </w:rPr>
        <w:t xml:space="preserve"> safety leadership and culture. </w:t>
      </w:r>
      <w:r>
        <w:rPr>
          <w:rFonts w:ascii="Arial" w:hAnsi="Arial" w:cs="Arial"/>
          <w:sz w:val="22"/>
          <w:szCs w:val="22"/>
        </w:rPr>
        <w:t>This may be particularly appropriate for companies with a strong record of Scheme compliance in conjunction with the recommended risk-based post-accreditation compliance model (see the section titled ‘Maintaining Accreditation’).</w:t>
      </w:r>
    </w:p>
    <w:p w:rsidR="000E5A13" w:rsidRDefault="000E5A13" w:rsidP="00356AA4">
      <w:pPr>
        <w:rPr>
          <w:rFonts w:ascii="Arial" w:hAnsi="Arial" w:cs="Arial"/>
          <w:sz w:val="22"/>
          <w:szCs w:val="22"/>
        </w:rPr>
      </w:pPr>
    </w:p>
    <w:p w:rsidR="00FC015A" w:rsidRDefault="00047CAF" w:rsidP="00356AA4">
      <w:pPr>
        <w:rPr>
          <w:rFonts w:ascii="Arial" w:hAnsi="Arial" w:cs="Arial"/>
          <w:sz w:val="22"/>
          <w:szCs w:val="22"/>
        </w:rPr>
      </w:pPr>
      <w:r>
        <w:rPr>
          <w:rFonts w:ascii="Arial" w:hAnsi="Arial" w:cs="Arial"/>
          <w:sz w:val="22"/>
          <w:szCs w:val="22"/>
        </w:rPr>
        <w:t>Similarly, there is strong support for a review of criteria and auditing arrangements to reconsider the balance between assessment of ‘paperwork” (documented systems) and on site practices and outcomes. MBA, for example, suggested</w:t>
      </w:r>
      <w:r w:rsidR="00FC015A">
        <w:rPr>
          <w:rFonts w:ascii="Arial" w:hAnsi="Arial" w:cs="Arial"/>
          <w:sz w:val="22"/>
          <w:szCs w:val="22"/>
        </w:rPr>
        <w:t>:</w:t>
      </w:r>
    </w:p>
    <w:p w:rsidR="00FC015A" w:rsidRDefault="00FC015A" w:rsidP="00356AA4">
      <w:pPr>
        <w:rPr>
          <w:rFonts w:ascii="Arial" w:hAnsi="Arial" w:cs="Arial"/>
          <w:sz w:val="22"/>
          <w:szCs w:val="22"/>
        </w:rPr>
      </w:pPr>
    </w:p>
    <w:p w:rsidR="00FC015A" w:rsidRPr="00FC015A" w:rsidRDefault="00FC015A" w:rsidP="00FC015A">
      <w:pPr>
        <w:ind w:left="720"/>
        <w:rPr>
          <w:rFonts w:ascii="Arial" w:hAnsi="Arial" w:cs="Arial"/>
          <w:i/>
          <w:sz w:val="22"/>
          <w:szCs w:val="22"/>
        </w:rPr>
      </w:pPr>
      <w:r w:rsidRPr="00FC015A">
        <w:rPr>
          <w:rFonts w:ascii="Arial" w:hAnsi="Arial" w:cs="Arial"/>
          <w:i/>
          <w:sz w:val="22"/>
          <w:szCs w:val="22"/>
        </w:rPr>
        <w:t>“they</w:t>
      </w:r>
      <w:r w:rsidR="00047CAF" w:rsidRPr="00FC015A">
        <w:rPr>
          <w:rFonts w:ascii="Arial" w:hAnsi="Arial" w:cs="Arial"/>
          <w:i/>
          <w:sz w:val="22"/>
          <w:szCs w:val="22"/>
        </w:rPr>
        <w:t xml:space="preserve"> </w:t>
      </w:r>
      <w:r w:rsidRPr="00FC015A">
        <w:rPr>
          <w:rFonts w:ascii="Arial" w:hAnsi="Arial" w:cs="Arial"/>
          <w:i/>
          <w:sz w:val="22"/>
          <w:szCs w:val="22"/>
        </w:rPr>
        <w:t>(</w:t>
      </w:r>
      <w:r w:rsidR="00047CAF" w:rsidRPr="00FC015A">
        <w:rPr>
          <w:rFonts w:ascii="Arial" w:hAnsi="Arial" w:cs="Arial"/>
          <w:i/>
          <w:sz w:val="22"/>
          <w:szCs w:val="22"/>
        </w:rPr>
        <w:t>the criteria</w:t>
      </w:r>
      <w:r w:rsidRPr="00FC015A">
        <w:rPr>
          <w:rFonts w:ascii="Arial" w:hAnsi="Arial" w:cs="Arial"/>
          <w:i/>
          <w:sz w:val="22"/>
          <w:szCs w:val="22"/>
        </w:rPr>
        <w:t xml:space="preserve">) should be re-framed to take away the emphasis on a paper driven system … and focus on agreed outcomes and these should be settled via industry workshops post </w:t>
      </w:r>
      <w:r>
        <w:rPr>
          <w:rFonts w:ascii="Arial" w:hAnsi="Arial" w:cs="Arial"/>
          <w:i/>
          <w:sz w:val="22"/>
          <w:szCs w:val="22"/>
        </w:rPr>
        <w:t xml:space="preserve">the </w:t>
      </w:r>
      <w:r w:rsidRPr="00FC015A">
        <w:rPr>
          <w:rFonts w:ascii="Arial" w:hAnsi="Arial" w:cs="Arial"/>
          <w:i/>
          <w:sz w:val="22"/>
          <w:szCs w:val="22"/>
        </w:rPr>
        <w:t>review</w:t>
      </w:r>
      <w:r>
        <w:rPr>
          <w:rFonts w:ascii="Arial" w:hAnsi="Arial" w:cs="Arial"/>
          <w:i/>
          <w:sz w:val="22"/>
          <w:szCs w:val="22"/>
        </w:rPr>
        <w:t>.</w:t>
      </w:r>
      <w:r w:rsidRPr="00FC015A">
        <w:rPr>
          <w:rFonts w:ascii="Arial" w:hAnsi="Arial" w:cs="Arial"/>
          <w:i/>
          <w:sz w:val="22"/>
          <w:szCs w:val="22"/>
        </w:rPr>
        <w:t>”</w:t>
      </w:r>
    </w:p>
    <w:p w:rsidR="00C24491" w:rsidRDefault="00C24491">
      <w:pPr>
        <w:rPr>
          <w:rFonts w:ascii="Arial" w:hAnsi="Arial" w:cs="Arial"/>
          <w:sz w:val="22"/>
          <w:szCs w:val="22"/>
        </w:rPr>
      </w:pPr>
      <w:r>
        <w:rPr>
          <w:rFonts w:ascii="Arial" w:hAnsi="Arial" w:cs="Arial"/>
          <w:sz w:val="22"/>
          <w:szCs w:val="22"/>
        </w:rPr>
        <w:br w:type="page"/>
      </w:r>
    </w:p>
    <w:p w:rsidR="00FC015A" w:rsidRDefault="00FC015A" w:rsidP="00356AA4">
      <w:pPr>
        <w:rPr>
          <w:rFonts w:ascii="Arial" w:hAnsi="Arial" w:cs="Arial"/>
          <w:sz w:val="22"/>
          <w:szCs w:val="22"/>
        </w:rPr>
      </w:pPr>
      <w:r>
        <w:rPr>
          <w:rFonts w:ascii="Arial" w:hAnsi="Arial" w:cs="Arial"/>
          <w:sz w:val="22"/>
          <w:szCs w:val="22"/>
        </w:rPr>
        <w:t>While the Scheme will continue to require documented systems,</w:t>
      </w:r>
      <w:r w:rsidR="00047CAF" w:rsidRPr="00EE5A81">
        <w:rPr>
          <w:rFonts w:ascii="Arial" w:hAnsi="Arial" w:cs="Arial"/>
          <w:sz w:val="22"/>
          <w:szCs w:val="22"/>
        </w:rPr>
        <w:t xml:space="preserve"> </w:t>
      </w:r>
      <w:r>
        <w:rPr>
          <w:rFonts w:ascii="Arial" w:hAnsi="Arial" w:cs="Arial"/>
          <w:sz w:val="22"/>
          <w:szCs w:val="22"/>
        </w:rPr>
        <w:t xml:space="preserve">a more risk-based approach to compliance after initial accreditation provides an opportunity to consider a change in focus – perhaps a high level review of systems with more attention </w:t>
      </w:r>
      <w:r w:rsidR="00B207AD">
        <w:rPr>
          <w:rFonts w:ascii="Arial" w:hAnsi="Arial" w:cs="Arial"/>
          <w:sz w:val="22"/>
          <w:szCs w:val="22"/>
        </w:rPr>
        <w:t xml:space="preserve">to </w:t>
      </w:r>
      <w:r>
        <w:rPr>
          <w:rFonts w:ascii="Arial" w:hAnsi="Arial" w:cs="Arial"/>
          <w:sz w:val="22"/>
          <w:szCs w:val="22"/>
        </w:rPr>
        <w:t>on</w:t>
      </w:r>
      <w:r w:rsidR="00B207AD">
        <w:rPr>
          <w:rFonts w:ascii="Arial" w:hAnsi="Arial" w:cs="Arial"/>
          <w:sz w:val="22"/>
          <w:szCs w:val="22"/>
        </w:rPr>
        <w:t>-</w:t>
      </w:r>
      <w:r>
        <w:rPr>
          <w:rFonts w:ascii="Arial" w:hAnsi="Arial" w:cs="Arial"/>
          <w:sz w:val="22"/>
          <w:szCs w:val="22"/>
        </w:rPr>
        <w:t>site assessment and outcomes. Ensuring the intent of criteria is being met on site, rather than a detailed word by word paper-work review, would be strongly supported by stakeholders. One submission noted that too much time is spent “</w:t>
      </w:r>
      <w:r w:rsidRPr="00DE455C">
        <w:rPr>
          <w:rFonts w:ascii="Arial" w:hAnsi="Arial" w:cs="Arial"/>
          <w:i/>
          <w:sz w:val="22"/>
          <w:szCs w:val="22"/>
        </w:rPr>
        <w:t>locked in a room looking at the paperwork</w:t>
      </w:r>
      <w:r>
        <w:rPr>
          <w:rFonts w:ascii="Arial" w:hAnsi="Arial" w:cs="Arial"/>
          <w:sz w:val="22"/>
          <w:szCs w:val="22"/>
        </w:rPr>
        <w:t xml:space="preserve">”, and this was a common view amongst stakeholders. </w:t>
      </w:r>
    </w:p>
    <w:p w:rsidR="00B207AD" w:rsidRDefault="00B207AD" w:rsidP="00356AA4">
      <w:pPr>
        <w:rPr>
          <w:rFonts w:ascii="Arial" w:hAnsi="Arial" w:cs="Arial"/>
          <w:sz w:val="22"/>
          <w:szCs w:val="22"/>
        </w:rPr>
      </w:pPr>
    </w:p>
    <w:p w:rsidR="00FC015A" w:rsidRDefault="00FC015A" w:rsidP="00FC015A">
      <w:pPr>
        <w:rPr>
          <w:rFonts w:ascii="Arial" w:hAnsi="Arial" w:cs="Arial"/>
          <w:sz w:val="22"/>
          <w:szCs w:val="22"/>
        </w:rPr>
      </w:pPr>
      <w:r>
        <w:rPr>
          <w:rFonts w:ascii="Arial" w:hAnsi="Arial" w:cs="Arial"/>
          <w:sz w:val="22"/>
          <w:szCs w:val="22"/>
        </w:rPr>
        <w:t xml:space="preserve">At a more detailed level, the Review sought feedback on </w:t>
      </w:r>
      <w:r w:rsidRPr="00EE5A81">
        <w:rPr>
          <w:rFonts w:ascii="Arial" w:hAnsi="Arial" w:cs="Arial"/>
          <w:sz w:val="22"/>
          <w:szCs w:val="22"/>
        </w:rPr>
        <w:t xml:space="preserve">existing criteria </w:t>
      </w:r>
      <w:r>
        <w:rPr>
          <w:rFonts w:ascii="Arial" w:hAnsi="Arial" w:cs="Arial"/>
          <w:sz w:val="22"/>
          <w:szCs w:val="22"/>
        </w:rPr>
        <w:t xml:space="preserve">that </w:t>
      </w:r>
      <w:r w:rsidRPr="00EE5A81">
        <w:rPr>
          <w:rFonts w:ascii="Arial" w:hAnsi="Arial" w:cs="Arial"/>
          <w:sz w:val="22"/>
          <w:szCs w:val="22"/>
        </w:rPr>
        <w:t xml:space="preserve">could be modified or removed, </w:t>
      </w:r>
      <w:r>
        <w:rPr>
          <w:rFonts w:ascii="Arial" w:hAnsi="Arial" w:cs="Arial"/>
          <w:sz w:val="22"/>
          <w:szCs w:val="22"/>
        </w:rPr>
        <w:t xml:space="preserve">including those that </w:t>
      </w:r>
      <w:r w:rsidRPr="00EE5A81">
        <w:rPr>
          <w:rFonts w:ascii="Arial" w:hAnsi="Arial" w:cs="Arial"/>
          <w:sz w:val="22"/>
          <w:szCs w:val="22"/>
        </w:rPr>
        <w:t xml:space="preserve">do not add value, are duplicative, or could be assumed to be met as a result of other requirements or other compliance processes. </w:t>
      </w:r>
      <w:r>
        <w:rPr>
          <w:rFonts w:ascii="Arial" w:hAnsi="Arial" w:cs="Arial"/>
          <w:sz w:val="22"/>
          <w:szCs w:val="22"/>
        </w:rPr>
        <w:t>Suggestions wer</w:t>
      </w:r>
      <w:r w:rsidRPr="00EE5A81">
        <w:rPr>
          <w:rFonts w:ascii="Arial" w:hAnsi="Arial" w:cs="Arial"/>
          <w:sz w:val="22"/>
          <w:szCs w:val="22"/>
        </w:rPr>
        <w:t xml:space="preserve">e </w:t>
      </w:r>
      <w:r>
        <w:rPr>
          <w:rFonts w:ascii="Arial" w:hAnsi="Arial" w:cs="Arial"/>
          <w:sz w:val="22"/>
          <w:szCs w:val="22"/>
        </w:rPr>
        <w:t xml:space="preserve">also </w:t>
      </w:r>
      <w:r w:rsidRPr="00EE5A81">
        <w:rPr>
          <w:rFonts w:ascii="Arial" w:hAnsi="Arial" w:cs="Arial"/>
          <w:sz w:val="22"/>
          <w:szCs w:val="22"/>
        </w:rPr>
        <w:t xml:space="preserve">sought about specific </w:t>
      </w:r>
      <w:r>
        <w:rPr>
          <w:rFonts w:ascii="Arial" w:hAnsi="Arial" w:cs="Arial"/>
          <w:sz w:val="22"/>
          <w:szCs w:val="22"/>
        </w:rPr>
        <w:t xml:space="preserve">aspects </w:t>
      </w:r>
      <w:r w:rsidRPr="00EE5A81">
        <w:rPr>
          <w:rFonts w:ascii="Arial" w:hAnsi="Arial" w:cs="Arial"/>
          <w:sz w:val="22"/>
          <w:szCs w:val="22"/>
        </w:rPr>
        <w:t>of the criteria that are confusing, or where further guidance is needed.</w:t>
      </w:r>
      <w:r>
        <w:rPr>
          <w:rFonts w:ascii="Arial" w:hAnsi="Arial" w:cs="Arial"/>
          <w:sz w:val="22"/>
          <w:szCs w:val="22"/>
        </w:rPr>
        <w:t xml:space="preserve"> </w:t>
      </w:r>
    </w:p>
    <w:p w:rsidR="00FC015A" w:rsidRDefault="00FC015A" w:rsidP="00FC015A">
      <w:pPr>
        <w:rPr>
          <w:rFonts w:ascii="Arial" w:hAnsi="Arial" w:cs="Arial"/>
          <w:sz w:val="22"/>
          <w:szCs w:val="22"/>
        </w:rPr>
      </w:pPr>
    </w:p>
    <w:p w:rsidR="00FC015A" w:rsidRDefault="00FC015A" w:rsidP="00FC015A">
      <w:pPr>
        <w:rPr>
          <w:rFonts w:ascii="Arial" w:hAnsi="Arial" w:cs="Arial"/>
          <w:sz w:val="22"/>
          <w:szCs w:val="22"/>
        </w:rPr>
      </w:pPr>
      <w:r>
        <w:rPr>
          <w:rFonts w:ascii="Arial" w:hAnsi="Arial" w:cs="Arial"/>
          <w:sz w:val="22"/>
          <w:szCs w:val="22"/>
        </w:rPr>
        <w:t xml:space="preserve">Some submissions gave specific examples of criteria that are duplicative and redundant, and a number identified WHSMS-related criteria that were considered suitable for streamlining. </w:t>
      </w:r>
    </w:p>
    <w:p w:rsidR="00FC015A" w:rsidRDefault="00FC015A" w:rsidP="00FC015A">
      <w:pPr>
        <w:rPr>
          <w:rFonts w:ascii="Arial" w:hAnsi="Arial" w:cs="Arial"/>
          <w:sz w:val="22"/>
          <w:szCs w:val="22"/>
        </w:rPr>
      </w:pPr>
    </w:p>
    <w:p w:rsidR="00EB6D82" w:rsidRDefault="00EB6D82" w:rsidP="00FC015A">
      <w:pPr>
        <w:rPr>
          <w:rFonts w:ascii="Arial" w:hAnsi="Arial" w:cs="Arial"/>
          <w:sz w:val="22"/>
          <w:szCs w:val="22"/>
        </w:rPr>
      </w:pPr>
      <w:r>
        <w:rPr>
          <w:rFonts w:ascii="Arial" w:hAnsi="Arial" w:cs="Arial"/>
          <w:sz w:val="22"/>
          <w:szCs w:val="22"/>
        </w:rPr>
        <w:t>In the Survey, 75 percent of companies believed the audit criteria and guidelines are easily accessible and understood. However, a</w:t>
      </w:r>
      <w:r w:rsidR="00FC015A">
        <w:rPr>
          <w:rFonts w:ascii="Arial" w:hAnsi="Arial" w:cs="Arial"/>
          <w:sz w:val="22"/>
          <w:szCs w:val="22"/>
        </w:rPr>
        <w:t xml:space="preserve">lmost all submissions including industry associations, unions and accredited companies, sought plain-English explanation of the audit criteria, </w:t>
      </w:r>
      <w:r>
        <w:rPr>
          <w:rFonts w:ascii="Arial" w:hAnsi="Arial" w:cs="Arial"/>
          <w:sz w:val="22"/>
          <w:szCs w:val="22"/>
        </w:rPr>
        <w:t xml:space="preserve">and </w:t>
      </w:r>
      <w:r w:rsidR="00FC015A">
        <w:rPr>
          <w:rFonts w:ascii="Arial" w:hAnsi="Arial" w:cs="Arial"/>
          <w:sz w:val="22"/>
          <w:szCs w:val="22"/>
        </w:rPr>
        <w:t>more information on the intent and scope of the criteria</w:t>
      </w:r>
      <w:r>
        <w:rPr>
          <w:rFonts w:ascii="Arial" w:hAnsi="Arial" w:cs="Arial"/>
          <w:sz w:val="22"/>
          <w:szCs w:val="22"/>
        </w:rPr>
        <w:t xml:space="preserve">. </w:t>
      </w:r>
    </w:p>
    <w:p w:rsidR="00EB6D82" w:rsidRDefault="00EB6D82" w:rsidP="00FC015A">
      <w:pPr>
        <w:rPr>
          <w:rFonts w:ascii="Arial" w:hAnsi="Arial" w:cs="Arial"/>
          <w:sz w:val="22"/>
          <w:szCs w:val="22"/>
        </w:rPr>
      </w:pPr>
    </w:p>
    <w:p w:rsidR="00EB6D82" w:rsidRDefault="00EB6D82" w:rsidP="00EB6D82">
      <w:pPr>
        <w:rPr>
          <w:rFonts w:ascii="Arial" w:hAnsi="Arial" w:cs="Arial"/>
          <w:sz w:val="22"/>
          <w:szCs w:val="22"/>
        </w:rPr>
      </w:pPr>
      <w:r>
        <w:rPr>
          <w:rFonts w:ascii="Arial" w:hAnsi="Arial" w:cs="Arial"/>
          <w:sz w:val="22"/>
          <w:szCs w:val="22"/>
        </w:rPr>
        <w:t xml:space="preserve">There was strong support </w:t>
      </w:r>
      <w:r w:rsidRPr="00A35EFC">
        <w:rPr>
          <w:rFonts w:ascii="Arial" w:hAnsi="Arial" w:cs="Arial"/>
          <w:sz w:val="22"/>
          <w:szCs w:val="22"/>
        </w:rPr>
        <w:t xml:space="preserve">for a </w:t>
      </w:r>
      <w:r w:rsidRPr="00572A40">
        <w:rPr>
          <w:rFonts w:ascii="Arial" w:hAnsi="Arial" w:cs="Arial"/>
          <w:sz w:val="22"/>
          <w:szCs w:val="22"/>
        </w:rPr>
        <w:t>review of the audit criteria</w:t>
      </w:r>
      <w:r>
        <w:rPr>
          <w:rFonts w:ascii="Arial" w:hAnsi="Arial" w:cs="Arial"/>
          <w:sz w:val="22"/>
          <w:szCs w:val="22"/>
        </w:rPr>
        <w:t xml:space="preserve"> to address </w:t>
      </w:r>
      <w:r w:rsidR="00B207AD">
        <w:rPr>
          <w:rFonts w:ascii="Arial" w:hAnsi="Arial" w:cs="Arial"/>
          <w:sz w:val="22"/>
          <w:szCs w:val="22"/>
        </w:rPr>
        <w:t xml:space="preserve">all </w:t>
      </w:r>
      <w:r>
        <w:rPr>
          <w:rFonts w:ascii="Arial" w:hAnsi="Arial" w:cs="Arial"/>
          <w:sz w:val="22"/>
          <w:szCs w:val="22"/>
        </w:rPr>
        <w:t>these matters, within a framework that ensures t</w:t>
      </w:r>
      <w:r w:rsidRPr="008E5E53">
        <w:rPr>
          <w:rFonts w:ascii="Arial" w:hAnsi="Arial" w:cs="Arial"/>
          <w:sz w:val="22"/>
          <w:szCs w:val="22"/>
        </w:rPr>
        <w:t xml:space="preserve">he safety standards and thoroughness of the assessment required to achieve initial accreditation </w:t>
      </w:r>
      <w:r w:rsidR="00B207AD">
        <w:rPr>
          <w:rFonts w:ascii="Arial" w:hAnsi="Arial" w:cs="Arial"/>
          <w:sz w:val="22"/>
          <w:szCs w:val="22"/>
        </w:rPr>
        <w:t xml:space="preserve">are </w:t>
      </w:r>
      <w:r w:rsidRPr="008E5E53">
        <w:rPr>
          <w:rFonts w:ascii="Arial" w:hAnsi="Arial" w:cs="Arial"/>
          <w:sz w:val="22"/>
          <w:szCs w:val="22"/>
        </w:rPr>
        <w:t xml:space="preserve">not </w:t>
      </w:r>
      <w:r>
        <w:rPr>
          <w:rFonts w:ascii="Arial" w:hAnsi="Arial" w:cs="Arial"/>
          <w:sz w:val="22"/>
          <w:szCs w:val="22"/>
        </w:rPr>
        <w:t>compromised.</w:t>
      </w:r>
    </w:p>
    <w:p w:rsidR="00B207AD" w:rsidRDefault="00B207AD" w:rsidP="00EB6D82">
      <w:pPr>
        <w:rPr>
          <w:rFonts w:ascii="Arial" w:hAnsi="Arial" w:cs="Arial"/>
          <w:sz w:val="22"/>
          <w:szCs w:val="22"/>
        </w:rPr>
      </w:pPr>
    </w:p>
    <w:p w:rsidR="004A1A48" w:rsidRDefault="00EB6D82" w:rsidP="004C51EA">
      <w:pPr>
        <w:rPr>
          <w:rFonts w:ascii="Arial" w:hAnsi="Arial" w:cs="Arial"/>
          <w:b/>
          <w:sz w:val="22"/>
          <w:szCs w:val="22"/>
        </w:rPr>
      </w:pPr>
      <w:r>
        <w:rPr>
          <w:rFonts w:ascii="Arial" w:hAnsi="Arial" w:cs="Arial"/>
          <w:sz w:val="22"/>
          <w:szCs w:val="22"/>
        </w:rPr>
        <w:t xml:space="preserve">As part of the criteria review, </w:t>
      </w:r>
      <w:r w:rsidR="00E24E2E">
        <w:rPr>
          <w:rFonts w:ascii="Arial" w:hAnsi="Arial" w:cs="Arial"/>
          <w:sz w:val="22"/>
          <w:szCs w:val="22"/>
        </w:rPr>
        <w:t>an</w:t>
      </w:r>
      <w:r w:rsidR="004A1A48" w:rsidRPr="00EE5A81">
        <w:rPr>
          <w:rFonts w:ascii="Arial" w:hAnsi="Arial" w:cs="Arial"/>
          <w:sz w:val="22"/>
          <w:szCs w:val="22"/>
        </w:rPr>
        <w:t xml:space="preserve"> opportunity also exists to </w:t>
      </w:r>
      <w:r w:rsidR="00E24E2E">
        <w:rPr>
          <w:rFonts w:ascii="Arial" w:hAnsi="Arial" w:cs="Arial"/>
          <w:sz w:val="22"/>
          <w:szCs w:val="22"/>
        </w:rPr>
        <w:t>clarify the OFSC’s requirements around SWMS</w:t>
      </w:r>
      <w:r w:rsidR="00874D77">
        <w:rPr>
          <w:rFonts w:ascii="Arial" w:hAnsi="Arial" w:cs="Arial"/>
          <w:sz w:val="22"/>
          <w:szCs w:val="22"/>
        </w:rPr>
        <w:t xml:space="preserve"> (a specific area of the audit criteria frequently queried by companies) discussed below</w:t>
      </w:r>
      <w:r w:rsidR="004A1A48" w:rsidRPr="00EE5A81">
        <w:rPr>
          <w:rFonts w:ascii="Arial" w:hAnsi="Arial" w:cs="Arial"/>
          <w:sz w:val="22"/>
          <w:szCs w:val="22"/>
        </w:rPr>
        <w:t>.</w:t>
      </w:r>
    </w:p>
    <w:p w:rsidR="004A1A48" w:rsidRDefault="004A1A48" w:rsidP="00A14F01">
      <w:pPr>
        <w:tabs>
          <w:tab w:val="left" w:pos="7088"/>
        </w:tabs>
        <w:outlineLvl w:val="2"/>
        <w:rPr>
          <w:rFonts w:ascii="Arial" w:hAnsi="Arial" w:cs="Arial"/>
          <w:b/>
          <w:sz w:val="22"/>
          <w:szCs w:val="22"/>
        </w:rPr>
      </w:pPr>
    </w:p>
    <w:p w:rsidR="009F486C" w:rsidRDefault="009F486C" w:rsidP="00A60F1C">
      <w:pPr>
        <w:pStyle w:val="Heading3"/>
      </w:pPr>
      <w:r w:rsidRPr="00E4582F">
        <w:t>Safe Work Method Statements</w:t>
      </w:r>
      <w:r w:rsidR="00EA72EF" w:rsidRPr="00E4582F">
        <w:t xml:space="preserve"> </w:t>
      </w:r>
    </w:p>
    <w:p w:rsidR="00A14F01" w:rsidRPr="00E4582F" w:rsidRDefault="00A14F01" w:rsidP="00A14F01">
      <w:pPr>
        <w:tabs>
          <w:tab w:val="left" w:pos="7088"/>
        </w:tabs>
        <w:outlineLvl w:val="2"/>
        <w:rPr>
          <w:rFonts w:ascii="Arial" w:hAnsi="Arial" w:cs="Arial"/>
          <w:b/>
          <w:sz w:val="22"/>
          <w:szCs w:val="22"/>
        </w:rPr>
      </w:pPr>
    </w:p>
    <w:p w:rsidR="001C5176" w:rsidRDefault="009F486C" w:rsidP="009F486C">
      <w:pPr>
        <w:rPr>
          <w:rFonts w:ascii="Arial" w:hAnsi="Arial" w:cs="Arial"/>
          <w:sz w:val="22"/>
          <w:szCs w:val="22"/>
        </w:rPr>
      </w:pPr>
      <w:r>
        <w:rPr>
          <w:rFonts w:ascii="Arial" w:hAnsi="Arial" w:cs="Arial"/>
          <w:sz w:val="22"/>
          <w:szCs w:val="22"/>
        </w:rPr>
        <w:t>T</w:t>
      </w:r>
      <w:r w:rsidRPr="00223860">
        <w:rPr>
          <w:rFonts w:ascii="Arial" w:hAnsi="Arial" w:cs="Arial"/>
          <w:sz w:val="22"/>
          <w:szCs w:val="22"/>
        </w:rPr>
        <w:t xml:space="preserve">here was </w:t>
      </w:r>
      <w:r>
        <w:rPr>
          <w:rFonts w:ascii="Arial" w:hAnsi="Arial" w:cs="Arial"/>
          <w:sz w:val="22"/>
          <w:szCs w:val="22"/>
        </w:rPr>
        <w:t xml:space="preserve">general consensus in submissions that </w:t>
      </w:r>
      <w:r w:rsidRPr="00223860">
        <w:rPr>
          <w:rFonts w:ascii="Arial" w:hAnsi="Arial" w:cs="Arial"/>
          <w:sz w:val="22"/>
          <w:szCs w:val="22"/>
        </w:rPr>
        <w:t>the use of S</w:t>
      </w:r>
      <w:r w:rsidR="00E23F52">
        <w:rPr>
          <w:rFonts w:ascii="Arial" w:hAnsi="Arial" w:cs="Arial"/>
          <w:sz w:val="22"/>
          <w:szCs w:val="22"/>
        </w:rPr>
        <w:t>WMS</w:t>
      </w:r>
      <w:r w:rsidRPr="00223860">
        <w:rPr>
          <w:rFonts w:ascii="Arial" w:hAnsi="Arial" w:cs="Arial"/>
          <w:sz w:val="22"/>
          <w:szCs w:val="22"/>
        </w:rPr>
        <w:t xml:space="preserve"> has become impractical and requires change. </w:t>
      </w:r>
      <w:r w:rsidR="001C5176">
        <w:rPr>
          <w:rFonts w:ascii="Arial" w:hAnsi="Arial" w:cs="Arial"/>
          <w:sz w:val="22"/>
          <w:szCs w:val="22"/>
        </w:rPr>
        <w:t xml:space="preserve">See Appendix B for an outline of </w:t>
      </w:r>
      <w:r w:rsidR="00D21F00">
        <w:rPr>
          <w:rFonts w:ascii="Arial" w:hAnsi="Arial" w:cs="Arial"/>
          <w:sz w:val="22"/>
          <w:szCs w:val="22"/>
        </w:rPr>
        <w:t xml:space="preserve">what </w:t>
      </w:r>
      <w:r w:rsidR="001C5176">
        <w:rPr>
          <w:rFonts w:ascii="Arial" w:hAnsi="Arial" w:cs="Arial"/>
          <w:sz w:val="22"/>
          <w:szCs w:val="22"/>
        </w:rPr>
        <w:t>SWMS</w:t>
      </w:r>
      <w:r w:rsidR="00D21F00">
        <w:rPr>
          <w:rFonts w:ascii="Arial" w:hAnsi="Arial" w:cs="Arial"/>
          <w:sz w:val="22"/>
          <w:szCs w:val="22"/>
        </w:rPr>
        <w:t xml:space="preserve"> are and how they relate to Scheme criteria</w:t>
      </w:r>
      <w:r w:rsidR="001C5176">
        <w:rPr>
          <w:rFonts w:ascii="Arial" w:hAnsi="Arial" w:cs="Arial"/>
          <w:sz w:val="22"/>
          <w:szCs w:val="22"/>
        </w:rPr>
        <w:t xml:space="preserve">. </w:t>
      </w:r>
    </w:p>
    <w:p w:rsidR="009F486C" w:rsidRPr="00223860" w:rsidRDefault="009F486C" w:rsidP="009F486C">
      <w:pPr>
        <w:rPr>
          <w:rFonts w:ascii="Arial" w:hAnsi="Arial" w:cs="Arial"/>
          <w:sz w:val="22"/>
          <w:szCs w:val="22"/>
        </w:rPr>
      </w:pPr>
    </w:p>
    <w:p w:rsidR="00E6549A" w:rsidRDefault="009F486C" w:rsidP="00E6549A">
      <w:pPr>
        <w:rPr>
          <w:rFonts w:ascii="Arial" w:hAnsi="Arial" w:cs="Arial"/>
          <w:sz w:val="22"/>
          <w:szCs w:val="22"/>
        </w:rPr>
      </w:pPr>
      <w:r w:rsidRPr="00223860">
        <w:rPr>
          <w:rFonts w:ascii="Arial" w:hAnsi="Arial" w:cs="Arial"/>
          <w:sz w:val="22"/>
          <w:szCs w:val="22"/>
        </w:rPr>
        <w:t xml:space="preserve">Most submissions recognised that the OFSC does not have </w:t>
      </w:r>
      <w:r w:rsidR="00232401">
        <w:rPr>
          <w:rFonts w:ascii="Arial" w:hAnsi="Arial" w:cs="Arial"/>
          <w:sz w:val="22"/>
          <w:szCs w:val="22"/>
        </w:rPr>
        <w:t xml:space="preserve">overall </w:t>
      </w:r>
      <w:r w:rsidRPr="00223860">
        <w:rPr>
          <w:rFonts w:ascii="Arial" w:hAnsi="Arial" w:cs="Arial"/>
          <w:sz w:val="22"/>
          <w:szCs w:val="22"/>
        </w:rPr>
        <w:t xml:space="preserve">responsibility for SWMS, but see a key role for the OFSC in facilitating discussions with </w:t>
      </w:r>
      <w:r w:rsidR="00DE455C">
        <w:rPr>
          <w:rFonts w:ascii="Arial" w:hAnsi="Arial" w:cs="Arial"/>
          <w:sz w:val="22"/>
          <w:szCs w:val="22"/>
        </w:rPr>
        <w:t>state and t</w:t>
      </w:r>
      <w:r w:rsidRPr="00223860">
        <w:rPr>
          <w:rFonts w:ascii="Arial" w:hAnsi="Arial" w:cs="Arial"/>
          <w:sz w:val="22"/>
          <w:szCs w:val="22"/>
        </w:rPr>
        <w:t>erritory regulators to move toward an agreed template for SWMS</w:t>
      </w:r>
      <w:r w:rsidR="001B5775">
        <w:rPr>
          <w:rFonts w:ascii="Arial" w:hAnsi="Arial" w:cs="Arial"/>
          <w:sz w:val="22"/>
          <w:szCs w:val="22"/>
        </w:rPr>
        <w:t xml:space="preserve">. </w:t>
      </w:r>
      <w:r w:rsidR="00E509AD">
        <w:rPr>
          <w:rFonts w:ascii="Arial" w:hAnsi="Arial" w:cs="Arial"/>
          <w:sz w:val="22"/>
          <w:szCs w:val="22"/>
        </w:rPr>
        <w:t xml:space="preserve">This was proposed by </w:t>
      </w:r>
      <w:r w:rsidRPr="00223860">
        <w:rPr>
          <w:rFonts w:ascii="Arial" w:hAnsi="Arial" w:cs="Arial"/>
          <w:sz w:val="22"/>
          <w:szCs w:val="22"/>
        </w:rPr>
        <w:t>HIA</w:t>
      </w:r>
      <w:r>
        <w:rPr>
          <w:rFonts w:ascii="Arial" w:hAnsi="Arial" w:cs="Arial"/>
          <w:sz w:val="22"/>
          <w:szCs w:val="22"/>
        </w:rPr>
        <w:t xml:space="preserve">, </w:t>
      </w:r>
      <w:r w:rsidRPr="00223860">
        <w:rPr>
          <w:rFonts w:ascii="Arial" w:hAnsi="Arial" w:cs="Arial"/>
          <w:sz w:val="22"/>
          <w:szCs w:val="22"/>
        </w:rPr>
        <w:t>CCF</w:t>
      </w:r>
      <w:r w:rsidR="00710248">
        <w:rPr>
          <w:rFonts w:ascii="Arial" w:hAnsi="Arial" w:cs="Arial"/>
          <w:sz w:val="22"/>
          <w:szCs w:val="22"/>
        </w:rPr>
        <w:t>,</w:t>
      </w:r>
      <w:r w:rsidRPr="00223860">
        <w:rPr>
          <w:rFonts w:ascii="Arial" w:hAnsi="Arial" w:cs="Arial"/>
          <w:sz w:val="22"/>
          <w:szCs w:val="22"/>
        </w:rPr>
        <w:t xml:space="preserve"> </w:t>
      </w:r>
      <w:r>
        <w:rPr>
          <w:rFonts w:ascii="Arial" w:hAnsi="Arial" w:cs="Arial"/>
          <w:sz w:val="22"/>
          <w:szCs w:val="22"/>
        </w:rPr>
        <w:t>AMCA and NECA</w:t>
      </w:r>
      <w:r w:rsidR="005B3187">
        <w:rPr>
          <w:rFonts w:ascii="Arial" w:hAnsi="Arial" w:cs="Arial"/>
          <w:sz w:val="22"/>
          <w:szCs w:val="22"/>
        </w:rPr>
        <w:t>,</w:t>
      </w:r>
      <w:r>
        <w:rPr>
          <w:rFonts w:ascii="Arial" w:hAnsi="Arial" w:cs="Arial"/>
          <w:sz w:val="22"/>
          <w:szCs w:val="22"/>
        </w:rPr>
        <w:t xml:space="preserve"> </w:t>
      </w:r>
      <w:r w:rsidR="004E260E">
        <w:rPr>
          <w:rFonts w:ascii="Arial" w:hAnsi="Arial" w:cs="Arial"/>
          <w:sz w:val="22"/>
          <w:szCs w:val="22"/>
        </w:rPr>
        <w:t>among others</w:t>
      </w:r>
      <w:r w:rsidRPr="00223860">
        <w:rPr>
          <w:rFonts w:ascii="Arial" w:hAnsi="Arial" w:cs="Arial"/>
          <w:sz w:val="22"/>
          <w:szCs w:val="22"/>
        </w:rPr>
        <w:t xml:space="preserve">. </w:t>
      </w:r>
      <w:r w:rsidR="00657899">
        <w:rPr>
          <w:rFonts w:ascii="Arial" w:hAnsi="Arial" w:cs="Arial"/>
          <w:sz w:val="22"/>
          <w:szCs w:val="22"/>
        </w:rPr>
        <w:t xml:space="preserve">Safe Work Australia would be the agency </w:t>
      </w:r>
      <w:r w:rsidR="00232401">
        <w:rPr>
          <w:rFonts w:ascii="Arial" w:hAnsi="Arial" w:cs="Arial"/>
          <w:sz w:val="22"/>
          <w:szCs w:val="22"/>
        </w:rPr>
        <w:t>most suited to carriage of</w:t>
      </w:r>
      <w:r w:rsidR="00657899">
        <w:rPr>
          <w:rFonts w:ascii="Arial" w:hAnsi="Arial" w:cs="Arial"/>
          <w:sz w:val="22"/>
          <w:szCs w:val="22"/>
        </w:rPr>
        <w:t xml:space="preserve"> this proposal, </w:t>
      </w:r>
      <w:r w:rsidR="00593C15">
        <w:rPr>
          <w:rFonts w:ascii="Arial" w:hAnsi="Arial" w:cs="Arial"/>
          <w:sz w:val="22"/>
          <w:szCs w:val="22"/>
        </w:rPr>
        <w:t xml:space="preserve">as it has responsibility for </w:t>
      </w:r>
      <w:r w:rsidR="00232401">
        <w:rPr>
          <w:rFonts w:ascii="Arial" w:hAnsi="Arial" w:cs="Arial"/>
          <w:sz w:val="22"/>
          <w:szCs w:val="22"/>
        </w:rPr>
        <w:t xml:space="preserve">broader </w:t>
      </w:r>
      <w:r w:rsidR="00593C15">
        <w:rPr>
          <w:rFonts w:ascii="Arial" w:hAnsi="Arial" w:cs="Arial"/>
          <w:sz w:val="22"/>
          <w:szCs w:val="22"/>
        </w:rPr>
        <w:t xml:space="preserve">industry </w:t>
      </w:r>
      <w:r w:rsidR="00232401">
        <w:rPr>
          <w:rFonts w:ascii="Arial" w:hAnsi="Arial" w:cs="Arial"/>
          <w:sz w:val="22"/>
          <w:szCs w:val="22"/>
        </w:rPr>
        <w:t>issues</w:t>
      </w:r>
      <w:r w:rsidR="007F5D50">
        <w:rPr>
          <w:rFonts w:ascii="Arial" w:hAnsi="Arial" w:cs="Arial"/>
          <w:sz w:val="22"/>
          <w:szCs w:val="22"/>
        </w:rPr>
        <w:t xml:space="preserve"> </w:t>
      </w:r>
      <w:r w:rsidR="00232401">
        <w:rPr>
          <w:rFonts w:ascii="Arial" w:hAnsi="Arial" w:cs="Arial"/>
          <w:sz w:val="22"/>
          <w:szCs w:val="22"/>
        </w:rPr>
        <w:t>(noting that OFSC accredited</w:t>
      </w:r>
      <w:r w:rsidR="004D2E88">
        <w:rPr>
          <w:rFonts w:ascii="Arial" w:hAnsi="Arial" w:cs="Arial"/>
          <w:sz w:val="22"/>
          <w:szCs w:val="22"/>
        </w:rPr>
        <w:t xml:space="preserve"> </w:t>
      </w:r>
      <w:r w:rsidR="00593C15">
        <w:rPr>
          <w:rFonts w:ascii="Arial" w:hAnsi="Arial" w:cs="Arial"/>
          <w:sz w:val="22"/>
          <w:szCs w:val="22"/>
        </w:rPr>
        <w:t xml:space="preserve">companies comprise only a small proportion of the </w:t>
      </w:r>
      <w:r w:rsidR="00702A43">
        <w:rPr>
          <w:rFonts w:ascii="Arial" w:hAnsi="Arial" w:cs="Arial"/>
          <w:sz w:val="22"/>
          <w:szCs w:val="22"/>
        </w:rPr>
        <w:t>total number of companies in the building industry</w:t>
      </w:r>
      <w:r w:rsidR="00232401">
        <w:rPr>
          <w:rFonts w:ascii="Arial" w:hAnsi="Arial" w:cs="Arial"/>
          <w:sz w:val="22"/>
          <w:szCs w:val="22"/>
        </w:rPr>
        <w:t>)</w:t>
      </w:r>
      <w:r w:rsidR="00593C15">
        <w:rPr>
          <w:rFonts w:ascii="Arial" w:hAnsi="Arial" w:cs="Arial"/>
          <w:sz w:val="22"/>
          <w:szCs w:val="22"/>
        </w:rPr>
        <w:t xml:space="preserve">. Safe Work Australia has already </w:t>
      </w:r>
      <w:r w:rsidR="00657899">
        <w:rPr>
          <w:rFonts w:ascii="Arial" w:hAnsi="Arial" w:cs="Arial"/>
          <w:sz w:val="22"/>
          <w:szCs w:val="22"/>
        </w:rPr>
        <w:t xml:space="preserve">undertaken some work in </w:t>
      </w:r>
      <w:r w:rsidR="00593C15">
        <w:rPr>
          <w:rFonts w:ascii="Arial" w:hAnsi="Arial" w:cs="Arial"/>
          <w:sz w:val="22"/>
          <w:szCs w:val="22"/>
        </w:rPr>
        <w:t xml:space="preserve">relation to SWMS, however, </w:t>
      </w:r>
      <w:r w:rsidR="00E6549A">
        <w:rPr>
          <w:rFonts w:ascii="Arial" w:hAnsi="Arial" w:cs="Arial"/>
          <w:sz w:val="22"/>
          <w:szCs w:val="22"/>
        </w:rPr>
        <w:t xml:space="preserve">the OFSC </w:t>
      </w:r>
      <w:r w:rsidR="00593C15">
        <w:rPr>
          <w:rFonts w:ascii="Arial" w:hAnsi="Arial" w:cs="Arial"/>
          <w:sz w:val="22"/>
          <w:szCs w:val="22"/>
        </w:rPr>
        <w:t xml:space="preserve">could assist with further facilitation </w:t>
      </w:r>
      <w:r w:rsidR="00E6549A">
        <w:rPr>
          <w:rFonts w:ascii="Arial" w:hAnsi="Arial" w:cs="Arial"/>
          <w:sz w:val="22"/>
          <w:szCs w:val="22"/>
        </w:rPr>
        <w:t xml:space="preserve">through Safe Work Australia processes, which include </w:t>
      </w:r>
      <w:r w:rsidR="004E260E">
        <w:rPr>
          <w:rFonts w:ascii="Arial" w:hAnsi="Arial" w:cs="Arial"/>
          <w:sz w:val="22"/>
          <w:szCs w:val="22"/>
        </w:rPr>
        <w:t xml:space="preserve">consultations with </w:t>
      </w:r>
      <w:r w:rsidR="00E6549A">
        <w:rPr>
          <w:rFonts w:ascii="Arial" w:hAnsi="Arial" w:cs="Arial"/>
          <w:sz w:val="22"/>
          <w:szCs w:val="22"/>
        </w:rPr>
        <w:t xml:space="preserve">state, territory, industry and </w:t>
      </w:r>
      <w:r w:rsidR="004E260E">
        <w:rPr>
          <w:rFonts w:ascii="Arial" w:hAnsi="Arial" w:cs="Arial"/>
          <w:sz w:val="22"/>
          <w:szCs w:val="22"/>
        </w:rPr>
        <w:t>union organisations</w:t>
      </w:r>
      <w:r w:rsidR="00E6549A">
        <w:rPr>
          <w:rFonts w:ascii="Arial" w:hAnsi="Arial" w:cs="Arial"/>
          <w:sz w:val="22"/>
          <w:szCs w:val="22"/>
        </w:rPr>
        <w:t xml:space="preserve">. </w:t>
      </w:r>
    </w:p>
    <w:p w:rsidR="00232401" w:rsidRDefault="00232401" w:rsidP="00232401">
      <w:pPr>
        <w:rPr>
          <w:rFonts w:ascii="Arial" w:hAnsi="Arial" w:cs="Arial"/>
          <w:sz w:val="22"/>
          <w:szCs w:val="22"/>
        </w:rPr>
      </w:pPr>
    </w:p>
    <w:p w:rsidR="00232401" w:rsidRDefault="00232401" w:rsidP="00232401">
      <w:pPr>
        <w:rPr>
          <w:rFonts w:ascii="Arial" w:hAnsi="Arial" w:cs="Arial"/>
          <w:sz w:val="22"/>
          <w:szCs w:val="22"/>
        </w:rPr>
      </w:pPr>
      <w:r>
        <w:rPr>
          <w:rFonts w:ascii="Arial" w:hAnsi="Arial" w:cs="Arial"/>
          <w:sz w:val="22"/>
          <w:szCs w:val="22"/>
        </w:rPr>
        <w:t xml:space="preserve">A number of submissions highlighted the need for improved communication of requirements by the OFSC. Two specific examples of SWMS-related issues raised consistently by submissions were the lack of clarity around when the OFSC requires a SWMS to be in place and the extent </w:t>
      </w:r>
      <w:r w:rsidR="00D21F00">
        <w:rPr>
          <w:rFonts w:ascii="Arial" w:hAnsi="Arial" w:cs="Arial"/>
          <w:sz w:val="22"/>
          <w:szCs w:val="22"/>
        </w:rPr>
        <w:t xml:space="preserve">to which </w:t>
      </w:r>
      <w:r>
        <w:rPr>
          <w:rFonts w:ascii="Arial" w:hAnsi="Arial" w:cs="Arial"/>
          <w:sz w:val="22"/>
          <w:szCs w:val="22"/>
        </w:rPr>
        <w:t xml:space="preserve">legislation is required to be referenced within SWMS. </w:t>
      </w:r>
    </w:p>
    <w:p w:rsidR="00232401" w:rsidRDefault="00232401" w:rsidP="00232401">
      <w:pPr>
        <w:rPr>
          <w:rFonts w:ascii="Arial" w:hAnsi="Arial" w:cs="Arial"/>
          <w:sz w:val="22"/>
          <w:szCs w:val="22"/>
        </w:rPr>
      </w:pPr>
    </w:p>
    <w:p w:rsidR="00232401" w:rsidRDefault="00232401" w:rsidP="00232401">
      <w:pPr>
        <w:rPr>
          <w:rFonts w:ascii="Arial" w:hAnsi="Arial" w:cs="Arial"/>
          <w:sz w:val="22"/>
          <w:szCs w:val="22"/>
        </w:rPr>
      </w:pPr>
      <w:r w:rsidRPr="00223860">
        <w:rPr>
          <w:rFonts w:ascii="Arial" w:hAnsi="Arial" w:cs="Arial"/>
          <w:sz w:val="22"/>
          <w:szCs w:val="22"/>
        </w:rPr>
        <w:t xml:space="preserve">All </w:t>
      </w:r>
      <w:r>
        <w:rPr>
          <w:rFonts w:ascii="Arial" w:hAnsi="Arial" w:cs="Arial"/>
          <w:sz w:val="22"/>
          <w:szCs w:val="22"/>
        </w:rPr>
        <w:t xml:space="preserve">respondents to the discussion paper </w:t>
      </w:r>
      <w:r w:rsidRPr="00223860">
        <w:rPr>
          <w:rFonts w:ascii="Arial" w:hAnsi="Arial" w:cs="Arial"/>
          <w:sz w:val="22"/>
          <w:szCs w:val="22"/>
        </w:rPr>
        <w:t xml:space="preserve">believed SWMS should only be required where </w:t>
      </w:r>
      <w:r>
        <w:rPr>
          <w:rFonts w:ascii="Arial" w:hAnsi="Arial" w:cs="Arial"/>
          <w:sz w:val="22"/>
          <w:szCs w:val="22"/>
        </w:rPr>
        <w:t xml:space="preserve">already </w:t>
      </w:r>
      <w:r w:rsidRPr="00223860">
        <w:rPr>
          <w:rFonts w:ascii="Arial" w:hAnsi="Arial" w:cs="Arial"/>
          <w:sz w:val="22"/>
          <w:szCs w:val="22"/>
        </w:rPr>
        <w:t>required by legislation (</w:t>
      </w:r>
      <w:r>
        <w:rPr>
          <w:rFonts w:ascii="Arial" w:hAnsi="Arial" w:cs="Arial"/>
          <w:sz w:val="22"/>
          <w:szCs w:val="22"/>
        </w:rPr>
        <w:t xml:space="preserve">that is, </w:t>
      </w:r>
      <w:r w:rsidRPr="00223860">
        <w:rPr>
          <w:rFonts w:ascii="Arial" w:hAnsi="Arial" w:cs="Arial"/>
          <w:sz w:val="22"/>
          <w:szCs w:val="22"/>
        </w:rPr>
        <w:t xml:space="preserve">for high risk work). This view </w:t>
      </w:r>
      <w:r>
        <w:rPr>
          <w:rFonts w:ascii="Arial" w:hAnsi="Arial" w:cs="Arial"/>
          <w:sz w:val="22"/>
          <w:szCs w:val="22"/>
        </w:rPr>
        <w:t xml:space="preserve">is </w:t>
      </w:r>
      <w:r w:rsidRPr="00223860">
        <w:rPr>
          <w:rFonts w:ascii="Arial" w:hAnsi="Arial" w:cs="Arial"/>
          <w:sz w:val="22"/>
          <w:szCs w:val="22"/>
        </w:rPr>
        <w:t>supported by ACA, MBA</w:t>
      </w:r>
      <w:r>
        <w:rPr>
          <w:rFonts w:ascii="Arial" w:hAnsi="Arial" w:cs="Arial"/>
          <w:sz w:val="22"/>
          <w:szCs w:val="22"/>
        </w:rPr>
        <w:t>, u</w:t>
      </w:r>
      <w:r w:rsidRPr="00223860">
        <w:rPr>
          <w:rFonts w:ascii="Arial" w:hAnsi="Arial" w:cs="Arial"/>
          <w:sz w:val="22"/>
          <w:szCs w:val="22"/>
        </w:rPr>
        <w:t>nions</w:t>
      </w:r>
      <w:r>
        <w:rPr>
          <w:rFonts w:ascii="Arial" w:hAnsi="Arial" w:cs="Arial"/>
          <w:sz w:val="22"/>
          <w:szCs w:val="22"/>
        </w:rPr>
        <w:t xml:space="preserve"> and is the current audit position of the OFSC. </w:t>
      </w:r>
      <w:r w:rsidR="00D21F00">
        <w:rPr>
          <w:rFonts w:ascii="Arial" w:hAnsi="Arial" w:cs="Arial"/>
          <w:sz w:val="22"/>
          <w:szCs w:val="22"/>
        </w:rPr>
        <w:t>Further, legal referencing within SWMS has not been an OFSC audit requirement for several years.</w:t>
      </w:r>
    </w:p>
    <w:p w:rsidR="009F486C" w:rsidRDefault="00232401" w:rsidP="009F486C">
      <w:pPr>
        <w:rPr>
          <w:rFonts w:ascii="Arial" w:hAnsi="Arial" w:cs="Arial"/>
          <w:sz w:val="22"/>
          <w:szCs w:val="22"/>
        </w:rPr>
      </w:pPr>
      <w:r>
        <w:rPr>
          <w:rFonts w:ascii="Arial" w:hAnsi="Arial" w:cs="Arial"/>
          <w:sz w:val="22"/>
          <w:szCs w:val="22"/>
        </w:rPr>
        <w:t xml:space="preserve">The fact that these issues were highlighted during the review is further evidence of the need for </w:t>
      </w:r>
      <w:r w:rsidR="009F486C" w:rsidRPr="00223860">
        <w:rPr>
          <w:rFonts w:ascii="Arial" w:hAnsi="Arial" w:cs="Arial"/>
          <w:sz w:val="22"/>
          <w:szCs w:val="22"/>
        </w:rPr>
        <w:t xml:space="preserve">the OFSC to </w:t>
      </w:r>
      <w:r w:rsidR="00D21F00">
        <w:rPr>
          <w:rFonts w:ascii="Arial" w:hAnsi="Arial" w:cs="Arial"/>
          <w:sz w:val="22"/>
          <w:szCs w:val="22"/>
        </w:rPr>
        <w:t xml:space="preserve">better </w:t>
      </w:r>
      <w:r w:rsidR="009F486C" w:rsidRPr="00223860">
        <w:rPr>
          <w:rFonts w:ascii="Arial" w:hAnsi="Arial" w:cs="Arial"/>
          <w:sz w:val="22"/>
          <w:szCs w:val="22"/>
        </w:rPr>
        <w:t xml:space="preserve">articulate its position on SWMS, </w:t>
      </w:r>
      <w:r w:rsidR="00E509AD">
        <w:rPr>
          <w:rFonts w:ascii="Arial" w:hAnsi="Arial" w:cs="Arial"/>
          <w:sz w:val="22"/>
          <w:szCs w:val="22"/>
        </w:rPr>
        <w:t>to</w:t>
      </w:r>
      <w:r w:rsidR="009F486C" w:rsidRPr="00223860">
        <w:rPr>
          <w:rFonts w:ascii="Arial" w:hAnsi="Arial" w:cs="Arial"/>
          <w:sz w:val="22"/>
          <w:szCs w:val="22"/>
        </w:rPr>
        <w:t xml:space="preserve"> provide guidance as to how SWMS fit into the Scheme</w:t>
      </w:r>
      <w:r w:rsidR="005B3187">
        <w:rPr>
          <w:rFonts w:ascii="Arial" w:hAnsi="Arial" w:cs="Arial"/>
          <w:sz w:val="22"/>
          <w:szCs w:val="22"/>
        </w:rPr>
        <w:t>’s</w:t>
      </w:r>
      <w:r w:rsidR="009F486C" w:rsidRPr="00223860">
        <w:rPr>
          <w:rFonts w:ascii="Arial" w:hAnsi="Arial" w:cs="Arial"/>
          <w:sz w:val="22"/>
          <w:szCs w:val="22"/>
        </w:rPr>
        <w:t xml:space="preserve"> requirements and what is acceptable</w:t>
      </w:r>
      <w:r w:rsidR="00E509AD">
        <w:rPr>
          <w:rFonts w:ascii="Arial" w:hAnsi="Arial" w:cs="Arial"/>
          <w:sz w:val="22"/>
          <w:szCs w:val="22"/>
        </w:rPr>
        <w:t xml:space="preserve"> in developing them</w:t>
      </w:r>
      <w:r w:rsidR="009F486C" w:rsidRPr="00223860">
        <w:rPr>
          <w:rFonts w:ascii="Arial" w:hAnsi="Arial" w:cs="Arial"/>
          <w:sz w:val="22"/>
          <w:szCs w:val="22"/>
        </w:rPr>
        <w:t xml:space="preserve">. </w:t>
      </w:r>
      <w:r w:rsidR="00D21F00">
        <w:rPr>
          <w:rFonts w:ascii="Arial" w:hAnsi="Arial" w:cs="Arial"/>
          <w:sz w:val="22"/>
          <w:szCs w:val="22"/>
        </w:rPr>
        <w:t xml:space="preserve">This was unanimously called for by submissions. </w:t>
      </w:r>
      <w:r w:rsidR="009F486C" w:rsidRPr="00223860">
        <w:rPr>
          <w:rFonts w:ascii="Arial" w:hAnsi="Arial" w:cs="Arial"/>
          <w:sz w:val="22"/>
          <w:szCs w:val="22"/>
        </w:rPr>
        <w:t>Building upon this, many submissions requested the OFSC to provide examples of good practice SWMS as a way to foster greater industry knowledge in this area.</w:t>
      </w:r>
      <w:r w:rsidR="00E6549A">
        <w:rPr>
          <w:rFonts w:ascii="Arial" w:hAnsi="Arial" w:cs="Arial"/>
          <w:sz w:val="22"/>
          <w:szCs w:val="22"/>
        </w:rPr>
        <w:t xml:space="preserve"> </w:t>
      </w:r>
    </w:p>
    <w:p w:rsidR="004E260E" w:rsidRDefault="004E260E" w:rsidP="00A35EFC">
      <w:pPr>
        <w:rPr>
          <w:rFonts w:ascii="Arial" w:hAnsi="Arial" w:cs="Arial"/>
          <w:sz w:val="22"/>
          <w:szCs w:val="22"/>
        </w:rPr>
      </w:pPr>
    </w:p>
    <w:p w:rsidR="00BB2ADA" w:rsidRPr="009406F8" w:rsidRDefault="00BB2ADA" w:rsidP="00DE455C">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0EF00D74" wp14:editId="2A40C6E7">
                <wp:extent cx="5743575" cy="619200"/>
                <wp:effectExtent l="0" t="0" r="28575" b="28575"/>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19200"/>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11</w:t>
                            </w:r>
                            <w:r w:rsidRPr="005E46C2">
                              <w:rPr>
                                <w:rFonts w:ascii="Arial" w:hAnsi="Arial" w:cs="Arial"/>
                                <w:sz w:val="22"/>
                                <w:szCs w:val="22"/>
                                <w:highlight w:val="lightGray"/>
                              </w:rPr>
                              <w:t>:</w:t>
                            </w:r>
                            <w:r>
                              <w:rPr>
                                <w:rFonts w:ascii="Arial" w:hAnsi="Arial" w:cs="Arial"/>
                                <w:sz w:val="22"/>
                                <w:szCs w:val="22"/>
                              </w:rPr>
                              <w:t xml:space="preserve"> </w:t>
                            </w:r>
                            <w:r w:rsidRPr="00BB2ADA">
                              <w:rPr>
                                <w:rFonts w:ascii="Arial" w:hAnsi="Arial" w:cs="Arial"/>
                                <w:sz w:val="22"/>
                                <w:szCs w:val="22"/>
                              </w:rPr>
                              <w:t>The OFSC, in consultation with stakeholders, undertakes a review of the audit criteria and associated guidance</w:t>
                            </w:r>
                            <w:r>
                              <w:rPr>
                                <w:rFonts w:ascii="Arial" w:hAnsi="Arial" w:cs="Arial"/>
                                <w:sz w:val="22"/>
                                <w:szCs w:val="22"/>
                              </w:rPr>
                              <w:t>, including the clarification of SWMS requirements</w:t>
                            </w:r>
                            <w:r w:rsidRPr="00BB2ADA">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0EF00D74" id="_x0000_s1036" type="#_x0000_t202" style="width:452.25pt;height:4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" fillcolor="#d8d8d8 [2732]">
                <v:textbox>
                  <w:txbxContent>
                    <w:p w:rsidR="00226B47" w:rsidRPr="005C2E4D" w:rsidRDefault="00226B47" w:rsidP="005B3187">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11</w:t>
                      </w:r>
                      <w:r w:rsidRPr="005E46C2">
                        <w:rPr>
                          <w:rFonts w:ascii="Arial" w:hAnsi="Arial" w:cs="Arial"/>
                          <w:sz w:val="22"/>
                          <w:szCs w:val="22"/>
                          <w:highlight w:val="lightGray"/>
                        </w:rPr>
                        <w:t>:</w:t>
                      </w:r>
                      <w:r>
                        <w:rPr>
                          <w:rFonts w:ascii="Arial" w:hAnsi="Arial" w:cs="Arial"/>
                          <w:sz w:val="22"/>
                          <w:szCs w:val="22"/>
                        </w:rPr>
                        <w:t xml:space="preserve"> </w:t>
                      </w:r>
                      <w:r w:rsidRPr="00BB2ADA">
                        <w:rPr>
                          <w:rFonts w:ascii="Arial" w:hAnsi="Arial" w:cs="Arial"/>
                          <w:sz w:val="22"/>
                          <w:szCs w:val="22"/>
                        </w:rPr>
                        <w:t>The OFSC, in consultation with stakeholders, undertakes a review of the audit criteria and associated guidance</w:t>
                      </w:r>
                      <w:r>
                        <w:rPr>
                          <w:rFonts w:ascii="Arial" w:hAnsi="Arial" w:cs="Arial"/>
                          <w:sz w:val="22"/>
                          <w:szCs w:val="22"/>
                        </w:rPr>
                        <w:t>, including the clarification of SWMS requirements</w:t>
                      </w:r>
                      <w:r w:rsidRPr="00BB2ADA">
                        <w:rPr>
                          <w:rFonts w:ascii="Arial" w:hAnsi="Arial" w:cs="Arial"/>
                          <w:sz w:val="22"/>
                          <w:szCs w:val="22"/>
                        </w:rPr>
                        <w:t>.</w:t>
                      </w:r>
                    </w:p>
                  </w:txbxContent>
                </v:textbox>
                <w10:anchorlock/>
              </v:shape>
            </w:pict>
          </mc:Fallback>
        </mc:AlternateContent>
      </w:r>
    </w:p>
    <w:p w:rsidR="005F4928" w:rsidRDefault="005F4928" w:rsidP="00EF30D4"/>
    <w:p w:rsidR="00EF30D4" w:rsidRPr="00EF30D4" w:rsidRDefault="00EF30D4" w:rsidP="00EF30D4"/>
    <w:p w:rsidR="007B5A3A" w:rsidRDefault="00A81E97" w:rsidP="00B01E1D">
      <w:pPr>
        <w:pStyle w:val="Heading1"/>
      </w:pPr>
      <w:bookmarkStart w:id="35" w:name="_Toc390429521"/>
      <w:r>
        <w:t>Maintaining A</w:t>
      </w:r>
      <w:r w:rsidR="00356AA4">
        <w:t>ccredit</w:t>
      </w:r>
      <w:r>
        <w:t>ation</w:t>
      </w:r>
      <w:bookmarkEnd w:id="31"/>
      <w:bookmarkEnd w:id="35"/>
    </w:p>
    <w:p w:rsidR="00980571" w:rsidRPr="00980571" w:rsidRDefault="00980571" w:rsidP="00980571"/>
    <w:p w:rsidR="00D944FD" w:rsidRDefault="00980571" w:rsidP="00D944FD">
      <w:pPr>
        <w:rPr>
          <w:rFonts w:ascii="Arial" w:hAnsi="Arial" w:cs="Arial"/>
          <w:sz w:val="22"/>
          <w:szCs w:val="22"/>
        </w:rPr>
      </w:pPr>
      <w:bookmarkStart w:id="36" w:name="_Toc382816470"/>
      <w:r w:rsidRPr="001A1425">
        <w:rPr>
          <w:rFonts w:ascii="Arial" w:hAnsi="Arial" w:cs="Arial"/>
          <w:sz w:val="22"/>
          <w:szCs w:val="22"/>
        </w:rPr>
        <w:t xml:space="preserve">Once accredited, </w:t>
      </w:r>
      <w:r w:rsidR="00126BBB">
        <w:rPr>
          <w:rFonts w:ascii="Arial" w:hAnsi="Arial" w:cs="Arial"/>
          <w:sz w:val="22"/>
          <w:szCs w:val="22"/>
        </w:rPr>
        <w:t xml:space="preserve">all </w:t>
      </w:r>
      <w:r w:rsidRPr="001A1425">
        <w:rPr>
          <w:rFonts w:ascii="Arial" w:hAnsi="Arial" w:cs="Arial"/>
          <w:sz w:val="22"/>
          <w:szCs w:val="22"/>
        </w:rPr>
        <w:t xml:space="preserve">companies are </w:t>
      </w:r>
      <w:r w:rsidR="00710248">
        <w:rPr>
          <w:rFonts w:ascii="Arial" w:hAnsi="Arial" w:cs="Arial"/>
          <w:sz w:val="22"/>
          <w:szCs w:val="22"/>
        </w:rPr>
        <w:t xml:space="preserve">currently </w:t>
      </w:r>
      <w:r w:rsidRPr="001A1425">
        <w:rPr>
          <w:rFonts w:ascii="Arial" w:hAnsi="Arial" w:cs="Arial"/>
          <w:sz w:val="22"/>
          <w:szCs w:val="22"/>
        </w:rPr>
        <w:t xml:space="preserve">subject to ongoing compliance requirements, including periodic maintenance audits, WHS data reporting and seeking </w:t>
      </w:r>
      <w:r w:rsidR="008F3909">
        <w:rPr>
          <w:rFonts w:ascii="Arial" w:hAnsi="Arial" w:cs="Arial"/>
          <w:sz w:val="22"/>
          <w:szCs w:val="22"/>
        </w:rPr>
        <w:t>reaccreditation</w:t>
      </w:r>
      <w:r w:rsidRPr="001A1425">
        <w:rPr>
          <w:rFonts w:ascii="Arial" w:hAnsi="Arial" w:cs="Arial"/>
          <w:sz w:val="22"/>
          <w:szCs w:val="22"/>
        </w:rPr>
        <w:t xml:space="preserve"> prior to expiry.</w:t>
      </w:r>
      <w:r w:rsidR="00EA72EF">
        <w:rPr>
          <w:rFonts w:ascii="Arial" w:hAnsi="Arial" w:cs="Arial"/>
          <w:sz w:val="22"/>
          <w:szCs w:val="22"/>
        </w:rPr>
        <w:t xml:space="preserve"> The current </w:t>
      </w:r>
      <w:r w:rsidR="00710248">
        <w:rPr>
          <w:rFonts w:ascii="Arial" w:hAnsi="Arial" w:cs="Arial"/>
          <w:sz w:val="22"/>
          <w:szCs w:val="22"/>
        </w:rPr>
        <w:t xml:space="preserve">process </w:t>
      </w:r>
      <w:r w:rsidR="00AF5A5D">
        <w:rPr>
          <w:rFonts w:ascii="Arial" w:hAnsi="Arial" w:cs="Arial"/>
          <w:sz w:val="22"/>
          <w:szCs w:val="22"/>
        </w:rPr>
        <w:t>take</w:t>
      </w:r>
      <w:r w:rsidR="00710248">
        <w:rPr>
          <w:rFonts w:ascii="Arial" w:hAnsi="Arial" w:cs="Arial"/>
          <w:sz w:val="22"/>
          <w:szCs w:val="22"/>
        </w:rPr>
        <w:t>s</w:t>
      </w:r>
      <w:r w:rsidR="00EA72EF">
        <w:rPr>
          <w:rFonts w:ascii="Arial" w:hAnsi="Arial" w:cs="Arial"/>
          <w:sz w:val="22"/>
          <w:szCs w:val="22"/>
        </w:rPr>
        <w:t xml:space="preserve"> a </w:t>
      </w:r>
      <w:r w:rsidR="00A81E97">
        <w:rPr>
          <w:rFonts w:ascii="Arial" w:hAnsi="Arial" w:cs="Arial"/>
          <w:sz w:val="22"/>
          <w:szCs w:val="22"/>
        </w:rPr>
        <w:t xml:space="preserve">single, </w:t>
      </w:r>
      <w:r w:rsidR="00C73CEF">
        <w:rPr>
          <w:rFonts w:ascii="Arial" w:hAnsi="Arial" w:cs="Arial"/>
          <w:sz w:val="22"/>
          <w:szCs w:val="22"/>
        </w:rPr>
        <w:t xml:space="preserve">standard </w:t>
      </w:r>
      <w:r w:rsidR="00EA72EF">
        <w:rPr>
          <w:rFonts w:ascii="Arial" w:hAnsi="Arial" w:cs="Arial"/>
          <w:sz w:val="22"/>
          <w:szCs w:val="22"/>
        </w:rPr>
        <w:t>approach to these post-accreditation arrangements</w:t>
      </w:r>
      <w:r w:rsidR="0058171F">
        <w:rPr>
          <w:rFonts w:ascii="Arial" w:hAnsi="Arial" w:cs="Arial"/>
          <w:sz w:val="22"/>
          <w:szCs w:val="22"/>
        </w:rPr>
        <w:t xml:space="preserve"> for all accredited companies</w:t>
      </w:r>
      <w:r w:rsidR="00EA72EF">
        <w:rPr>
          <w:rFonts w:ascii="Arial" w:hAnsi="Arial" w:cs="Arial"/>
          <w:sz w:val="22"/>
          <w:szCs w:val="22"/>
        </w:rPr>
        <w:t>.</w:t>
      </w:r>
      <w:r w:rsidR="00D944FD">
        <w:rPr>
          <w:rFonts w:ascii="Arial" w:hAnsi="Arial" w:cs="Arial"/>
          <w:sz w:val="22"/>
          <w:szCs w:val="22"/>
        </w:rPr>
        <w:t xml:space="preserve"> </w:t>
      </w:r>
      <w:r w:rsidR="00EA72EF">
        <w:rPr>
          <w:rFonts w:ascii="Arial" w:hAnsi="Arial" w:cs="Arial"/>
          <w:sz w:val="22"/>
          <w:szCs w:val="22"/>
        </w:rPr>
        <w:t>This creates two key difficulties</w:t>
      </w:r>
      <w:r w:rsidR="004F0F05">
        <w:rPr>
          <w:rFonts w:ascii="Arial" w:hAnsi="Arial" w:cs="Arial"/>
          <w:sz w:val="22"/>
          <w:szCs w:val="22"/>
        </w:rPr>
        <w:t>.</w:t>
      </w:r>
    </w:p>
    <w:p w:rsidR="00D944FD" w:rsidRDefault="00D944FD" w:rsidP="00D944FD">
      <w:pPr>
        <w:rPr>
          <w:rFonts w:ascii="Arial" w:hAnsi="Arial" w:cs="Arial"/>
          <w:sz w:val="22"/>
          <w:szCs w:val="22"/>
        </w:rPr>
      </w:pPr>
    </w:p>
    <w:p w:rsidR="00CA1088" w:rsidRDefault="00EA72EF" w:rsidP="003846A8">
      <w:pPr>
        <w:rPr>
          <w:rFonts w:ascii="Arial" w:hAnsi="Arial" w:cs="Arial"/>
          <w:sz w:val="22"/>
          <w:szCs w:val="22"/>
        </w:rPr>
      </w:pPr>
      <w:r w:rsidRPr="003846A8">
        <w:rPr>
          <w:rFonts w:ascii="Arial" w:hAnsi="Arial" w:cs="Arial"/>
          <w:sz w:val="22"/>
          <w:szCs w:val="22"/>
        </w:rPr>
        <w:t xml:space="preserve">Firstly, it creates an equal compliance burden on all companies, regardless of their record </w:t>
      </w:r>
      <w:r w:rsidRPr="00C24491">
        <w:rPr>
          <w:rFonts w:ascii="Arial" w:hAnsi="Arial" w:cs="Arial"/>
          <w:sz w:val="22"/>
          <w:szCs w:val="22"/>
        </w:rPr>
        <w:t xml:space="preserve">of </w:t>
      </w:r>
      <w:r w:rsidRPr="003846A8">
        <w:rPr>
          <w:rFonts w:ascii="Arial" w:hAnsi="Arial" w:cs="Arial"/>
          <w:sz w:val="22"/>
          <w:szCs w:val="22"/>
        </w:rPr>
        <w:t xml:space="preserve">safety and </w:t>
      </w:r>
      <w:r w:rsidR="00CA1088" w:rsidRPr="003846A8">
        <w:rPr>
          <w:rFonts w:ascii="Arial" w:hAnsi="Arial" w:cs="Arial"/>
          <w:sz w:val="22"/>
          <w:szCs w:val="22"/>
        </w:rPr>
        <w:t xml:space="preserve">track record in </w:t>
      </w:r>
      <w:r w:rsidRPr="003846A8">
        <w:rPr>
          <w:rFonts w:ascii="Arial" w:hAnsi="Arial" w:cs="Arial"/>
          <w:sz w:val="22"/>
          <w:szCs w:val="22"/>
        </w:rPr>
        <w:t>adher</w:t>
      </w:r>
      <w:r w:rsidR="00CA1088" w:rsidRPr="003846A8">
        <w:rPr>
          <w:rFonts w:ascii="Arial" w:hAnsi="Arial" w:cs="Arial"/>
          <w:sz w:val="22"/>
          <w:szCs w:val="22"/>
        </w:rPr>
        <w:t xml:space="preserve">ing </w:t>
      </w:r>
      <w:r w:rsidRPr="003846A8">
        <w:rPr>
          <w:rFonts w:ascii="Arial" w:hAnsi="Arial" w:cs="Arial"/>
          <w:sz w:val="22"/>
          <w:szCs w:val="22"/>
        </w:rPr>
        <w:t>to Scheme requirements. This unnecessarily increases the burden on high</w:t>
      </w:r>
      <w:r w:rsidR="00AF5A5D" w:rsidRPr="003846A8">
        <w:rPr>
          <w:rFonts w:ascii="Arial" w:hAnsi="Arial" w:cs="Arial"/>
          <w:sz w:val="22"/>
          <w:szCs w:val="22"/>
        </w:rPr>
        <w:t>-</w:t>
      </w:r>
      <w:r w:rsidRPr="003846A8">
        <w:rPr>
          <w:rFonts w:ascii="Arial" w:hAnsi="Arial" w:cs="Arial"/>
          <w:sz w:val="22"/>
          <w:szCs w:val="22"/>
        </w:rPr>
        <w:t>performing companies</w:t>
      </w:r>
      <w:r w:rsidR="0058171F">
        <w:rPr>
          <w:rFonts w:ascii="Arial" w:hAnsi="Arial" w:cs="Arial"/>
          <w:sz w:val="22"/>
          <w:szCs w:val="22"/>
        </w:rPr>
        <w:t>.</w:t>
      </w:r>
    </w:p>
    <w:p w:rsidR="007348A8" w:rsidRPr="003846A8" w:rsidRDefault="007348A8" w:rsidP="003846A8"/>
    <w:p w:rsidR="00CA1088" w:rsidRDefault="00CA1088" w:rsidP="00980571">
      <w:pPr>
        <w:rPr>
          <w:rFonts w:ascii="Arial" w:hAnsi="Arial" w:cs="Arial"/>
          <w:sz w:val="22"/>
          <w:szCs w:val="22"/>
        </w:rPr>
      </w:pPr>
      <w:r>
        <w:rPr>
          <w:rFonts w:ascii="Arial" w:hAnsi="Arial" w:cs="Arial"/>
          <w:sz w:val="22"/>
          <w:szCs w:val="22"/>
        </w:rPr>
        <w:t xml:space="preserve">Secondly, the current approach is </w:t>
      </w:r>
      <w:r w:rsidR="003846A8">
        <w:rPr>
          <w:rFonts w:ascii="Arial" w:hAnsi="Arial" w:cs="Arial"/>
          <w:sz w:val="22"/>
          <w:szCs w:val="22"/>
        </w:rPr>
        <w:t xml:space="preserve">not an efficient way for the OFSC to optimise the Scheme’s effectiveness across a growing </w:t>
      </w:r>
      <w:r>
        <w:rPr>
          <w:rFonts w:ascii="Arial" w:hAnsi="Arial" w:cs="Arial"/>
          <w:sz w:val="22"/>
          <w:szCs w:val="22"/>
        </w:rPr>
        <w:t>number of accredited companies</w:t>
      </w:r>
      <w:r w:rsidR="0058171F">
        <w:rPr>
          <w:rFonts w:ascii="Arial" w:hAnsi="Arial" w:cs="Arial"/>
          <w:sz w:val="22"/>
          <w:szCs w:val="22"/>
        </w:rPr>
        <w:t xml:space="preserve">. It </w:t>
      </w:r>
      <w:r w:rsidR="0058171F" w:rsidRPr="003846A8">
        <w:rPr>
          <w:rFonts w:ascii="Arial" w:hAnsi="Arial" w:cs="Arial"/>
          <w:sz w:val="22"/>
          <w:szCs w:val="22"/>
        </w:rPr>
        <w:t xml:space="preserve">diverts OFSC resources from companies requiring its additional attention and support. This is inconsistent with recent recommended approaches to audit models such as those </w:t>
      </w:r>
      <w:r w:rsidR="00702A43">
        <w:rPr>
          <w:rFonts w:ascii="Arial" w:hAnsi="Arial" w:cs="Arial"/>
          <w:sz w:val="22"/>
          <w:szCs w:val="22"/>
        </w:rPr>
        <w:t xml:space="preserve">outlined </w:t>
      </w:r>
      <w:r w:rsidR="0058171F" w:rsidRPr="003846A8">
        <w:rPr>
          <w:rFonts w:ascii="Arial" w:hAnsi="Arial" w:cs="Arial"/>
          <w:sz w:val="22"/>
          <w:szCs w:val="22"/>
        </w:rPr>
        <w:t>by the Productivity</w:t>
      </w:r>
      <w:r w:rsidR="00FA60D9">
        <w:rPr>
          <w:rFonts w:ascii="Arial" w:hAnsi="Arial" w:cs="Arial"/>
          <w:sz w:val="22"/>
          <w:szCs w:val="22"/>
        </w:rPr>
        <w:t> </w:t>
      </w:r>
      <w:r w:rsidR="0058171F" w:rsidRPr="003846A8">
        <w:rPr>
          <w:rFonts w:ascii="Arial" w:hAnsi="Arial" w:cs="Arial"/>
          <w:sz w:val="22"/>
          <w:szCs w:val="22"/>
        </w:rPr>
        <w:t>Commission</w:t>
      </w:r>
      <w:r w:rsidR="00355274">
        <w:rPr>
          <w:rStyle w:val="FootnoteReference"/>
          <w:rFonts w:ascii="Arial" w:hAnsi="Arial" w:cs="Arial"/>
          <w:sz w:val="22"/>
          <w:szCs w:val="22"/>
        </w:rPr>
        <w:footnoteReference w:id="7"/>
      </w:r>
      <w:r w:rsidR="0058171F" w:rsidRPr="003846A8">
        <w:rPr>
          <w:rFonts w:ascii="Arial" w:hAnsi="Arial" w:cs="Arial"/>
          <w:sz w:val="22"/>
          <w:szCs w:val="22"/>
        </w:rPr>
        <w:t>, and does not optimise safety outcomes.</w:t>
      </w:r>
      <w:r>
        <w:rPr>
          <w:rFonts w:ascii="Arial" w:hAnsi="Arial" w:cs="Arial"/>
          <w:sz w:val="22"/>
          <w:szCs w:val="22"/>
        </w:rPr>
        <w:t xml:space="preserve"> </w:t>
      </w:r>
    </w:p>
    <w:p w:rsidR="00366DA5" w:rsidRDefault="00366DA5" w:rsidP="00980571">
      <w:pPr>
        <w:rPr>
          <w:rFonts w:ascii="Arial" w:hAnsi="Arial" w:cs="Arial"/>
          <w:sz w:val="22"/>
          <w:szCs w:val="22"/>
        </w:rPr>
      </w:pPr>
    </w:p>
    <w:p w:rsidR="00366DA5" w:rsidRDefault="00366DA5" w:rsidP="00366DA5">
      <w:pPr>
        <w:rPr>
          <w:rFonts w:ascii="Arial" w:hAnsi="Arial" w:cs="Arial"/>
          <w:sz w:val="22"/>
          <w:szCs w:val="22"/>
        </w:rPr>
      </w:pPr>
      <w:r>
        <w:rPr>
          <w:rFonts w:ascii="Arial" w:hAnsi="Arial" w:cs="Arial"/>
          <w:sz w:val="22"/>
          <w:szCs w:val="22"/>
        </w:rPr>
        <w:t xml:space="preserve">In fact, the current single, standard approach for all accredited companies </w:t>
      </w:r>
      <w:r w:rsidR="00946454">
        <w:rPr>
          <w:rFonts w:ascii="Arial" w:hAnsi="Arial" w:cs="Arial"/>
          <w:sz w:val="22"/>
          <w:szCs w:val="22"/>
        </w:rPr>
        <w:t>has had</w:t>
      </w:r>
      <w:r>
        <w:rPr>
          <w:rFonts w:ascii="Arial" w:hAnsi="Arial" w:cs="Arial"/>
          <w:sz w:val="22"/>
          <w:szCs w:val="22"/>
        </w:rPr>
        <w:t xml:space="preserve"> a significant impact on how efficiently and effectively the OFSC is able to accredit companies and support their continuing adherence to the required safety standards.</w:t>
      </w:r>
    </w:p>
    <w:p w:rsidR="00366DA5" w:rsidRDefault="00366DA5" w:rsidP="00366DA5">
      <w:pPr>
        <w:rPr>
          <w:rFonts w:ascii="Arial" w:hAnsi="Arial" w:cs="Arial"/>
          <w:sz w:val="22"/>
          <w:szCs w:val="22"/>
        </w:rPr>
      </w:pPr>
    </w:p>
    <w:p w:rsidR="00366DA5" w:rsidRDefault="00366DA5" w:rsidP="00366DA5">
      <w:pPr>
        <w:rPr>
          <w:rFonts w:ascii="Arial" w:hAnsi="Arial" w:cs="Arial"/>
          <w:sz w:val="22"/>
          <w:szCs w:val="22"/>
        </w:rPr>
      </w:pPr>
      <w:r>
        <w:rPr>
          <w:rFonts w:ascii="Arial" w:hAnsi="Arial" w:cs="Arial"/>
          <w:sz w:val="22"/>
          <w:szCs w:val="22"/>
        </w:rPr>
        <w:t xml:space="preserve">As the number of companies seeking and gaining accreditation has increased, it has been necessary for the OFSC to focus more on accreditation and </w:t>
      </w:r>
      <w:r w:rsidR="008F3909">
        <w:rPr>
          <w:rFonts w:ascii="Arial" w:hAnsi="Arial" w:cs="Arial"/>
          <w:sz w:val="22"/>
          <w:szCs w:val="22"/>
        </w:rPr>
        <w:t>reaccreditation</w:t>
      </w:r>
      <w:r>
        <w:rPr>
          <w:rFonts w:ascii="Arial" w:hAnsi="Arial" w:cs="Arial"/>
          <w:sz w:val="22"/>
          <w:szCs w:val="22"/>
        </w:rPr>
        <w:t xml:space="preserve"> audits than on</w:t>
      </w:r>
      <w:r w:rsidR="004D2E88">
        <w:rPr>
          <w:rFonts w:ascii="Arial" w:hAnsi="Arial" w:cs="Arial"/>
          <w:sz w:val="22"/>
          <w:szCs w:val="22"/>
        </w:rPr>
        <w:t xml:space="preserve"> </w:t>
      </w:r>
      <w:r>
        <w:rPr>
          <w:rFonts w:ascii="Arial" w:hAnsi="Arial" w:cs="Arial"/>
          <w:sz w:val="22"/>
          <w:szCs w:val="22"/>
        </w:rPr>
        <w:t xml:space="preserve">monitoring (through maintenance audits) and compliance. The emphasis of audits has been necessarily to ensure requirements associated with accreditation and </w:t>
      </w:r>
      <w:r w:rsidR="008F3909">
        <w:rPr>
          <w:rFonts w:ascii="Arial" w:hAnsi="Arial" w:cs="Arial"/>
          <w:sz w:val="22"/>
          <w:szCs w:val="22"/>
        </w:rPr>
        <w:t>reaccreditation</w:t>
      </w:r>
      <w:r>
        <w:rPr>
          <w:rFonts w:ascii="Arial" w:hAnsi="Arial" w:cs="Arial"/>
          <w:sz w:val="22"/>
          <w:szCs w:val="22"/>
        </w:rPr>
        <w:t xml:space="preserve"> are met – but at the expense of periodic mid</w:t>
      </w:r>
      <w:r w:rsidR="009F7217">
        <w:rPr>
          <w:rFonts w:ascii="Arial" w:hAnsi="Arial" w:cs="Arial"/>
          <w:sz w:val="22"/>
          <w:szCs w:val="22"/>
        </w:rPr>
        <w:t>-</w:t>
      </w:r>
      <w:r>
        <w:rPr>
          <w:rFonts w:ascii="Arial" w:hAnsi="Arial" w:cs="Arial"/>
          <w:sz w:val="22"/>
          <w:szCs w:val="22"/>
        </w:rPr>
        <w:t>term maintenance audits</w:t>
      </w:r>
      <w:r w:rsidRPr="004B7D6E">
        <w:rPr>
          <w:rFonts w:ascii="Arial" w:hAnsi="Arial" w:cs="Arial"/>
          <w:sz w:val="22"/>
          <w:szCs w:val="22"/>
        </w:rPr>
        <w:t xml:space="preserve">. As a result, the average number of audits per accredited company per annum has halved since 2007-08. </w:t>
      </w:r>
    </w:p>
    <w:p w:rsidR="00366DA5" w:rsidRDefault="00366DA5" w:rsidP="00366DA5">
      <w:pPr>
        <w:rPr>
          <w:rFonts w:ascii="Arial" w:hAnsi="Arial" w:cs="Arial"/>
          <w:sz w:val="22"/>
          <w:szCs w:val="22"/>
        </w:rPr>
      </w:pPr>
    </w:p>
    <w:p w:rsidR="00366DA5" w:rsidRDefault="00366DA5" w:rsidP="00366DA5">
      <w:pPr>
        <w:rPr>
          <w:rFonts w:ascii="Arial" w:hAnsi="Arial" w:cs="Arial"/>
          <w:sz w:val="22"/>
          <w:szCs w:val="22"/>
        </w:rPr>
      </w:pPr>
      <w:r>
        <w:rPr>
          <w:rFonts w:ascii="Arial" w:hAnsi="Arial" w:cs="Arial"/>
          <w:sz w:val="22"/>
          <w:szCs w:val="22"/>
        </w:rPr>
        <w:t xml:space="preserve">In the three year period to the end of February 2014, the OFSC received a total of 227 new applications for accreditation. A total of 456 initial accreditation audits totalling 787 audits days were undertaken in the same period. There were 454 days allocated to </w:t>
      </w:r>
      <w:r w:rsidR="008F3909">
        <w:rPr>
          <w:rFonts w:ascii="Arial" w:hAnsi="Arial" w:cs="Arial"/>
          <w:sz w:val="22"/>
          <w:szCs w:val="22"/>
        </w:rPr>
        <w:t>reaccreditation</w:t>
      </w:r>
      <w:r>
        <w:rPr>
          <w:rFonts w:ascii="Arial" w:hAnsi="Arial" w:cs="Arial"/>
          <w:sz w:val="22"/>
          <w:szCs w:val="22"/>
        </w:rPr>
        <w:t xml:space="preserve"> audits, bringing the total number of accreditation and </w:t>
      </w:r>
      <w:r w:rsidR="008F3909">
        <w:rPr>
          <w:rFonts w:ascii="Arial" w:hAnsi="Arial" w:cs="Arial"/>
          <w:sz w:val="22"/>
          <w:szCs w:val="22"/>
        </w:rPr>
        <w:t>reaccreditation</w:t>
      </w:r>
      <w:r>
        <w:rPr>
          <w:rFonts w:ascii="Arial" w:hAnsi="Arial" w:cs="Arial"/>
          <w:sz w:val="22"/>
          <w:szCs w:val="22"/>
        </w:rPr>
        <w:t xml:space="preserve"> audit days over the three year period to 1241 days. In the same period, only 341 days were allocated to ongoing maintenance audits. </w:t>
      </w:r>
    </w:p>
    <w:p w:rsidR="00131F34" w:rsidRDefault="00131F34">
      <w:pPr>
        <w:rPr>
          <w:rFonts w:ascii="Arial" w:hAnsi="Arial" w:cs="Arial"/>
          <w:b/>
          <w:sz w:val="22"/>
          <w:szCs w:val="22"/>
        </w:rPr>
      </w:pPr>
      <w:r>
        <w:rPr>
          <w:rFonts w:ascii="Arial" w:hAnsi="Arial" w:cs="Arial"/>
          <w:b/>
          <w:sz w:val="22"/>
          <w:szCs w:val="22"/>
        </w:rPr>
        <w:br w:type="page"/>
      </w:r>
    </w:p>
    <w:p w:rsidR="00366DA5" w:rsidRPr="003337DB" w:rsidRDefault="00366DA5" w:rsidP="00366DA5">
      <w:pPr>
        <w:rPr>
          <w:rFonts w:ascii="Arial" w:hAnsi="Arial" w:cs="Arial"/>
          <w:b/>
          <w:sz w:val="22"/>
          <w:szCs w:val="22"/>
        </w:rPr>
      </w:pPr>
      <w:r w:rsidRPr="003337DB">
        <w:rPr>
          <w:rFonts w:ascii="Arial" w:hAnsi="Arial" w:cs="Arial"/>
          <w:b/>
          <w:sz w:val="22"/>
          <w:szCs w:val="22"/>
        </w:rPr>
        <w:t>Table 4: Audit Types</w:t>
      </w:r>
    </w:p>
    <w:p w:rsidR="00366DA5" w:rsidRPr="00793E83" w:rsidRDefault="00366DA5" w:rsidP="00366DA5">
      <w:pPr>
        <w:rPr>
          <w:rFonts w:ascii="Arial" w:hAnsi="Arial" w:cs="Arial"/>
          <w:sz w:val="22"/>
          <w:szCs w:val="22"/>
        </w:rPr>
      </w:pPr>
    </w:p>
    <w:p w:rsidR="00366DA5" w:rsidRPr="00793E83" w:rsidRDefault="00366DA5" w:rsidP="00366DA5">
      <w:pPr>
        <w:rPr>
          <w:rFonts w:ascii="Arial" w:hAnsi="Arial" w:cs="Arial"/>
          <w:sz w:val="22"/>
          <w:szCs w:val="22"/>
        </w:rPr>
      </w:pPr>
      <w:r w:rsidRPr="009F7217">
        <w:rPr>
          <w:rFonts w:ascii="Arial" w:hAnsi="Arial" w:cs="Arial"/>
          <w:noProof/>
          <w:sz w:val="22"/>
          <w:szCs w:val="22"/>
        </w:rPr>
        <w:drawing>
          <wp:inline distT="0" distB="0" distL="0" distR="0" wp14:anchorId="121B4265" wp14:editId="3ACED231">
            <wp:extent cx="5898524" cy="3419341"/>
            <wp:effectExtent l="0" t="0" r="26035" b="10160"/>
            <wp:docPr id="1" name="Chart 1" descr="Bar graph showing the decrese over time of the number of maintenance audits and the rise of re-accreditation audits. The x axis represents the year and the y axis the number of audits.&#10;&#10;- 2006/07: 110 accreditation audits, 39 maintenance audits, 25 accredited companies&#10;- 2007/08: 145 accreditation audits, 112 maintenance audits, 97 accredited companies&#10;- 2008/09: 164 accreditation audits, 227 maintenance audits, 13 compliance audits, 147 accredited companies&#10;- 2009/10: 165 accreditation audits, 49 reaccreditation audits, 119 maintenance audits, 24 compliance audits, 195 accredited companies&#10;- 2010/11: 114 accreditation audits, 92 reaccreditation audits, 131 maintenance audits, 21 compliance audits, 221 accredited companies&#10;- 2011/12: 144 accreditation audits, 88 reaccreditation audits, 127 maintenance audits, 21 compliance audits, 253 accredited companies&#10;- 2012/13: 133 accreditation audits, 128 reaccreditation audits, 85 maintenance audits, nine compliance audits, 293 accredited companies&#10;-2013/14: 163 accreditation audits, 141 reaccreditation audits, 53 maintenance audits, 12 compliance audits, 299 accredited companies" title="Audit Types Graph"/>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66DA5" w:rsidRPr="00793E83" w:rsidRDefault="00366DA5" w:rsidP="00366DA5">
      <w:pPr>
        <w:rPr>
          <w:rFonts w:ascii="Arial" w:hAnsi="Arial" w:cs="Arial"/>
          <w:sz w:val="22"/>
          <w:szCs w:val="22"/>
        </w:rPr>
      </w:pPr>
    </w:p>
    <w:p w:rsidR="00366DA5" w:rsidRDefault="00366DA5" w:rsidP="00366DA5">
      <w:pPr>
        <w:rPr>
          <w:rFonts w:ascii="Arial" w:hAnsi="Arial" w:cs="Arial"/>
          <w:sz w:val="22"/>
          <w:szCs w:val="22"/>
        </w:rPr>
      </w:pPr>
    </w:p>
    <w:p w:rsidR="00946454" w:rsidRDefault="00366DA5" w:rsidP="00980571">
      <w:pPr>
        <w:rPr>
          <w:rFonts w:ascii="Arial" w:hAnsi="Arial" w:cs="Arial"/>
          <w:sz w:val="22"/>
          <w:szCs w:val="22"/>
        </w:rPr>
      </w:pPr>
      <w:r>
        <w:rPr>
          <w:rFonts w:ascii="Arial" w:hAnsi="Arial" w:cs="Arial"/>
          <w:sz w:val="22"/>
          <w:szCs w:val="22"/>
        </w:rPr>
        <w:t xml:space="preserve">Table 4, above, shows the reduction in maintenance audits as a result of the increasing applications for </w:t>
      </w:r>
      <w:r w:rsidR="008F3909">
        <w:rPr>
          <w:rFonts w:ascii="Arial" w:hAnsi="Arial" w:cs="Arial"/>
          <w:sz w:val="22"/>
          <w:szCs w:val="22"/>
        </w:rPr>
        <w:t>reaccreditation</w:t>
      </w:r>
      <w:r w:rsidR="008B3D25">
        <w:rPr>
          <w:rFonts w:ascii="Arial" w:hAnsi="Arial" w:cs="Arial"/>
          <w:sz w:val="22"/>
          <w:szCs w:val="22"/>
        </w:rPr>
        <w:t xml:space="preserve">. The declining ability to conduct periodic maintenance audits and the current concentration of resources at </w:t>
      </w:r>
      <w:r w:rsidR="008F3909">
        <w:rPr>
          <w:rFonts w:ascii="Arial" w:hAnsi="Arial" w:cs="Arial"/>
          <w:sz w:val="22"/>
          <w:szCs w:val="22"/>
        </w:rPr>
        <w:t>reaccreditation</w:t>
      </w:r>
      <w:r w:rsidR="008B3D25">
        <w:rPr>
          <w:rFonts w:ascii="Arial" w:hAnsi="Arial" w:cs="Arial"/>
          <w:sz w:val="22"/>
          <w:szCs w:val="22"/>
        </w:rPr>
        <w:t xml:space="preserve"> were posed as areas for comment in the discussion paper. The following sections explore options for restructuring the approach for companies beyond achieving initial accreditation. </w:t>
      </w:r>
    </w:p>
    <w:p w:rsidR="00CA1088" w:rsidRDefault="00CA1088" w:rsidP="00980571">
      <w:pPr>
        <w:rPr>
          <w:rFonts w:ascii="Arial" w:hAnsi="Arial" w:cs="Arial"/>
          <w:sz w:val="22"/>
          <w:szCs w:val="22"/>
        </w:rPr>
      </w:pPr>
    </w:p>
    <w:p w:rsidR="00126BBB" w:rsidRPr="00A81E97" w:rsidRDefault="008F3909" w:rsidP="00F32CB5">
      <w:pPr>
        <w:pStyle w:val="Heading2"/>
      </w:pPr>
      <w:bookmarkStart w:id="37" w:name="_Toc377032053"/>
      <w:bookmarkStart w:id="38" w:name="_Toc390429522"/>
      <w:r>
        <w:t>Reaccreditation</w:t>
      </w:r>
      <w:r w:rsidR="00126BBB" w:rsidRPr="00A81E97">
        <w:t xml:space="preserve"> </w:t>
      </w:r>
      <w:r w:rsidR="00C73CEF" w:rsidRPr="00A81E97">
        <w:t>P</w:t>
      </w:r>
      <w:r w:rsidR="00126BBB" w:rsidRPr="00A81E97">
        <w:t>rocess</w:t>
      </w:r>
      <w:bookmarkEnd w:id="37"/>
      <w:bookmarkEnd w:id="38"/>
    </w:p>
    <w:p w:rsidR="00126BBB" w:rsidRPr="001A1425" w:rsidRDefault="00126BBB" w:rsidP="00126BBB">
      <w:pPr>
        <w:rPr>
          <w:rFonts w:ascii="Arial" w:hAnsi="Arial" w:cs="Arial"/>
          <w:sz w:val="22"/>
          <w:szCs w:val="22"/>
        </w:rPr>
      </w:pPr>
    </w:p>
    <w:p w:rsidR="00126BBB" w:rsidRDefault="00126BBB" w:rsidP="00126BBB">
      <w:pPr>
        <w:rPr>
          <w:rFonts w:ascii="Arial" w:hAnsi="Arial" w:cs="Arial"/>
          <w:sz w:val="22"/>
          <w:szCs w:val="22"/>
        </w:rPr>
      </w:pPr>
      <w:r w:rsidRPr="001A1425">
        <w:rPr>
          <w:rFonts w:ascii="Arial" w:hAnsi="Arial" w:cs="Arial"/>
          <w:sz w:val="22"/>
          <w:szCs w:val="22"/>
        </w:rPr>
        <w:t>Under current legislation, accreditation can only be awarded for a period</w:t>
      </w:r>
      <w:r w:rsidR="0058171F">
        <w:rPr>
          <w:rFonts w:ascii="Arial" w:hAnsi="Arial" w:cs="Arial"/>
          <w:sz w:val="22"/>
          <w:szCs w:val="22"/>
        </w:rPr>
        <w:t xml:space="preserve"> of</w:t>
      </w:r>
      <w:r w:rsidRPr="001A1425">
        <w:rPr>
          <w:rFonts w:ascii="Arial" w:hAnsi="Arial" w:cs="Arial"/>
          <w:sz w:val="22"/>
          <w:szCs w:val="22"/>
        </w:rPr>
        <w:t xml:space="preserve"> up to three years</w:t>
      </w:r>
      <w:r w:rsidR="007348A8">
        <w:rPr>
          <w:rFonts w:ascii="Arial" w:hAnsi="Arial" w:cs="Arial"/>
          <w:sz w:val="22"/>
          <w:szCs w:val="22"/>
        </w:rPr>
        <w:t>, with the majority of companies accredited for the full term</w:t>
      </w:r>
      <w:r w:rsidRPr="001A1425">
        <w:rPr>
          <w:rFonts w:ascii="Arial" w:hAnsi="Arial" w:cs="Arial"/>
          <w:sz w:val="22"/>
          <w:szCs w:val="22"/>
        </w:rPr>
        <w:t>. At the end of this period a company must submit a new application and the FSC must</w:t>
      </w:r>
      <w:r w:rsidR="00CA1088">
        <w:rPr>
          <w:rFonts w:ascii="Arial" w:hAnsi="Arial" w:cs="Arial"/>
          <w:sz w:val="22"/>
          <w:szCs w:val="22"/>
        </w:rPr>
        <w:t xml:space="preserve"> </w:t>
      </w:r>
      <w:r w:rsidRPr="001A1425">
        <w:rPr>
          <w:rFonts w:ascii="Arial" w:hAnsi="Arial" w:cs="Arial"/>
          <w:sz w:val="22"/>
          <w:szCs w:val="22"/>
        </w:rPr>
        <w:t>have regard to an on-site audit in making a determination on a subsequent period of accreditation.</w:t>
      </w:r>
    </w:p>
    <w:p w:rsidR="00A810BE" w:rsidRDefault="00A810BE" w:rsidP="00126BBB">
      <w:pPr>
        <w:rPr>
          <w:rFonts w:ascii="Arial" w:hAnsi="Arial" w:cs="Arial"/>
          <w:sz w:val="22"/>
          <w:szCs w:val="22"/>
        </w:rPr>
      </w:pPr>
    </w:p>
    <w:p w:rsidR="00A810BE" w:rsidRDefault="00A810BE" w:rsidP="00A810BE">
      <w:pPr>
        <w:rPr>
          <w:rFonts w:ascii="Arial" w:hAnsi="Arial" w:cs="Arial"/>
          <w:sz w:val="22"/>
          <w:szCs w:val="22"/>
        </w:rPr>
      </w:pPr>
      <w:r>
        <w:rPr>
          <w:rFonts w:ascii="Arial" w:hAnsi="Arial" w:cs="Arial"/>
          <w:sz w:val="22"/>
          <w:szCs w:val="22"/>
        </w:rPr>
        <w:t>Under existing arrangements, a</w:t>
      </w:r>
      <w:r w:rsidRPr="001A1425">
        <w:rPr>
          <w:rFonts w:ascii="Arial" w:hAnsi="Arial" w:cs="Arial"/>
          <w:sz w:val="22"/>
          <w:szCs w:val="22"/>
        </w:rPr>
        <w:t xml:space="preserve"> company’s good performance during the accreditation period will result in reduced audit requirements at </w:t>
      </w:r>
      <w:r w:rsidR="008F3909">
        <w:rPr>
          <w:rFonts w:ascii="Arial" w:hAnsi="Arial" w:cs="Arial"/>
          <w:sz w:val="22"/>
          <w:szCs w:val="22"/>
        </w:rPr>
        <w:t>reaccreditation</w:t>
      </w:r>
      <w:r w:rsidRPr="001A1425">
        <w:rPr>
          <w:rFonts w:ascii="Arial" w:hAnsi="Arial" w:cs="Arial"/>
          <w:sz w:val="22"/>
          <w:szCs w:val="22"/>
        </w:rPr>
        <w:t xml:space="preserve"> (for example, </w:t>
      </w:r>
      <w:r w:rsidR="00AF5A5D">
        <w:rPr>
          <w:rFonts w:ascii="Arial" w:hAnsi="Arial" w:cs="Arial"/>
          <w:sz w:val="22"/>
          <w:szCs w:val="22"/>
        </w:rPr>
        <w:t xml:space="preserve">resulting in </w:t>
      </w:r>
      <w:r w:rsidRPr="001A1425">
        <w:rPr>
          <w:rFonts w:ascii="Arial" w:hAnsi="Arial" w:cs="Arial"/>
          <w:sz w:val="22"/>
          <w:szCs w:val="22"/>
        </w:rPr>
        <w:t xml:space="preserve">a single day audit). However, a company must still have no identified major non-conformances to achieve </w:t>
      </w:r>
      <w:r w:rsidR="008F3909">
        <w:rPr>
          <w:rFonts w:ascii="Arial" w:hAnsi="Arial" w:cs="Arial"/>
          <w:sz w:val="22"/>
          <w:szCs w:val="22"/>
        </w:rPr>
        <w:t>reaccreditation</w:t>
      </w:r>
      <w:r w:rsidR="0058171F">
        <w:rPr>
          <w:rFonts w:ascii="Arial" w:hAnsi="Arial" w:cs="Arial"/>
          <w:sz w:val="22"/>
          <w:szCs w:val="22"/>
        </w:rPr>
        <w:t>,</w:t>
      </w:r>
      <w:r w:rsidRPr="001A1425">
        <w:rPr>
          <w:rFonts w:ascii="Arial" w:hAnsi="Arial" w:cs="Arial"/>
          <w:sz w:val="22"/>
          <w:szCs w:val="22"/>
        </w:rPr>
        <w:t xml:space="preserve"> and multiple audits may still occur to allow the company to achieve </w:t>
      </w:r>
      <w:r w:rsidR="008F3909">
        <w:rPr>
          <w:rFonts w:ascii="Arial" w:hAnsi="Arial" w:cs="Arial"/>
          <w:sz w:val="22"/>
          <w:szCs w:val="22"/>
        </w:rPr>
        <w:t>reaccreditation</w:t>
      </w:r>
      <w:r w:rsidRPr="001A1425">
        <w:rPr>
          <w:rFonts w:ascii="Arial" w:hAnsi="Arial" w:cs="Arial"/>
          <w:sz w:val="22"/>
          <w:szCs w:val="22"/>
        </w:rPr>
        <w:t>. OFSC data demonstrate</w:t>
      </w:r>
      <w:r w:rsidR="00710248">
        <w:rPr>
          <w:rFonts w:ascii="Arial" w:hAnsi="Arial" w:cs="Arial"/>
          <w:sz w:val="22"/>
          <w:szCs w:val="22"/>
        </w:rPr>
        <w:t>s</w:t>
      </w:r>
      <w:r w:rsidRPr="001A1425">
        <w:rPr>
          <w:rFonts w:ascii="Arial" w:hAnsi="Arial" w:cs="Arial"/>
          <w:sz w:val="22"/>
          <w:szCs w:val="22"/>
        </w:rPr>
        <w:t xml:space="preserve"> that companies undergoing </w:t>
      </w:r>
      <w:r w:rsidR="008F3909">
        <w:rPr>
          <w:rFonts w:ascii="Arial" w:hAnsi="Arial" w:cs="Arial"/>
          <w:sz w:val="22"/>
          <w:szCs w:val="22"/>
        </w:rPr>
        <w:t>reaccreditation</w:t>
      </w:r>
      <w:r w:rsidRPr="001A1425">
        <w:rPr>
          <w:rFonts w:ascii="Arial" w:hAnsi="Arial" w:cs="Arial"/>
          <w:sz w:val="22"/>
          <w:szCs w:val="22"/>
        </w:rPr>
        <w:t xml:space="preserve"> for the first or second time typically require two or more audits within a relatively tight timeframe.</w:t>
      </w:r>
    </w:p>
    <w:p w:rsidR="00946454" w:rsidRDefault="00946454" w:rsidP="00A810BE">
      <w:pPr>
        <w:rPr>
          <w:rFonts w:ascii="Arial" w:hAnsi="Arial" w:cs="Arial"/>
          <w:sz w:val="22"/>
          <w:szCs w:val="22"/>
        </w:rPr>
      </w:pPr>
    </w:p>
    <w:p w:rsidR="00946454" w:rsidRDefault="00946454" w:rsidP="00A810BE">
      <w:pPr>
        <w:rPr>
          <w:rFonts w:ascii="Arial" w:hAnsi="Arial" w:cs="Arial"/>
          <w:sz w:val="22"/>
          <w:szCs w:val="22"/>
        </w:rPr>
      </w:pPr>
      <w:r w:rsidRPr="004B7D6E">
        <w:rPr>
          <w:rFonts w:ascii="Arial" w:hAnsi="Arial" w:cs="Arial"/>
          <w:sz w:val="22"/>
          <w:szCs w:val="22"/>
        </w:rPr>
        <w:t xml:space="preserve">As </w:t>
      </w:r>
      <w:r w:rsidR="009F7217" w:rsidRPr="004B7D6E">
        <w:rPr>
          <w:rFonts w:ascii="Arial" w:hAnsi="Arial" w:cs="Arial"/>
          <w:sz w:val="22"/>
          <w:szCs w:val="22"/>
        </w:rPr>
        <w:t xml:space="preserve">Table 4, </w:t>
      </w:r>
      <w:r w:rsidRPr="004B7D6E">
        <w:rPr>
          <w:rFonts w:ascii="Arial" w:hAnsi="Arial" w:cs="Arial"/>
          <w:sz w:val="22"/>
          <w:szCs w:val="22"/>
        </w:rPr>
        <w:t>above</w:t>
      </w:r>
      <w:r w:rsidR="009F7217" w:rsidRPr="004B7D6E">
        <w:rPr>
          <w:rFonts w:ascii="Arial" w:hAnsi="Arial" w:cs="Arial"/>
          <w:sz w:val="22"/>
          <w:szCs w:val="22"/>
        </w:rPr>
        <w:t>,</w:t>
      </w:r>
      <w:r w:rsidRPr="004B7D6E">
        <w:rPr>
          <w:rFonts w:ascii="Arial" w:hAnsi="Arial" w:cs="Arial"/>
          <w:sz w:val="22"/>
          <w:szCs w:val="22"/>
        </w:rPr>
        <w:t xml:space="preserve"> demonstrates, the concentration of audits for </w:t>
      </w:r>
      <w:r w:rsidR="008F3909" w:rsidRPr="004B7D6E">
        <w:rPr>
          <w:rFonts w:ascii="Arial" w:hAnsi="Arial" w:cs="Arial"/>
          <w:sz w:val="22"/>
          <w:szCs w:val="22"/>
        </w:rPr>
        <w:t>reaccreditation</w:t>
      </w:r>
      <w:r w:rsidRPr="004B7D6E">
        <w:rPr>
          <w:rFonts w:ascii="Arial" w:hAnsi="Arial" w:cs="Arial"/>
          <w:sz w:val="22"/>
          <w:szCs w:val="22"/>
        </w:rPr>
        <w:t xml:space="preserve"> has </w:t>
      </w:r>
      <w:r w:rsidR="009F7217" w:rsidRPr="004B7D6E">
        <w:rPr>
          <w:rFonts w:ascii="Arial" w:hAnsi="Arial" w:cs="Arial"/>
          <w:sz w:val="22"/>
          <w:szCs w:val="22"/>
        </w:rPr>
        <w:t>necessitated</w:t>
      </w:r>
      <w:r w:rsidRPr="004B7D6E">
        <w:rPr>
          <w:rFonts w:ascii="Arial" w:hAnsi="Arial" w:cs="Arial"/>
          <w:sz w:val="22"/>
          <w:szCs w:val="22"/>
        </w:rPr>
        <w:t xml:space="preserve"> </w:t>
      </w:r>
      <w:r w:rsidR="009F7217" w:rsidRPr="004B7D6E">
        <w:rPr>
          <w:rFonts w:ascii="Arial" w:hAnsi="Arial" w:cs="Arial"/>
          <w:sz w:val="22"/>
          <w:szCs w:val="22"/>
        </w:rPr>
        <w:t xml:space="preserve">a lesser number </w:t>
      </w:r>
      <w:r w:rsidRPr="004B7D6E">
        <w:rPr>
          <w:rFonts w:ascii="Arial" w:hAnsi="Arial" w:cs="Arial"/>
          <w:sz w:val="22"/>
          <w:szCs w:val="22"/>
        </w:rPr>
        <w:t>of periodic maintenance and compliance checks of companies, with some companies in recent years not being subject to a maintenance audit in the whole three years of accreditation.</w:t>
      </w:r>
    </w:p>
    <w:p w:rsidR="00946454" w:rsidRDefault="00946454" w:rsidP="00A810BE">
      <w:pPr>
        <w:rPr>
          <w:rFonts w:ascii="Arial" w:hAnsi="Arial" w:cs="Arial"/>
          <w:sz w:val="22"/>
          <w:szCs w:val="22"/>
        </w:rPr>
      </w:pPr>
    </w:p>
    <w:p w:rsidR="00946454" w:rsidRPr="001A1425" w:rsidRDefault="00946454" w:rsidP="00A810BE">
      <w:pPr>
        <w:rPr>
          <w:rFonts w:ascii="Arial" w:hAnsi="Arial" w:cs="Arial"/>
          <w:sz w:val="22"/>
          <w:szCs w:val="22"/>
        </w:rPr>
      </w:pPr>
      <w:r>
        <w:rPr>
          <w:rFonts w:ascii="Arial" w:hAnsi="Arial" w:cs="Arial"/>
          <w:sz w:val="22"/>
          <w:szCs w:val="22"/>
        </w:rPr>
        <w:t xml:space="preserve">A common suggestion from submissions to address this issue was to remove the </w:t>
      </w:r>
      <w:r w:rsidR="008F3909">
        <w:rPr>
          <w:rFonts w:ascii="Arial" w:hAnsi="Arial" w:cs="Arial"/>
          <w:sz w:val="22"/>
          <w:szCs w:val="22"/>
        </w:rPr>
        <w:t>reaccreditation</w:t>
      </w:r>
      <w:r>
        <w:rPr>
          <w:rFonts w:ascii="Arial" w:hAnsi="Arial" w:cs="Arial"/>
          <w:sz w:val="22"/>
          <w:szCs w:val="22"/>
        </w:rPr>
        <w:t xml:space="preserve"> process entirely, and extend the accreditation period</w:t>
      </w:r>
      <w:r w:rsidR="008B3D25">
        <w:rPr>
          <w:rFonts w:ascii="Arial" w:hAnsi="Arial" w:cs="Arial"/>
          <w:sz w:val="22"/>
          <w:szCs w:val="22"/>
        </w:rPr>
        <w:t>, discussed below</w:t>
      </w:r>
      <w:r>
        <w:rPr>
          <w:rFonts w:ascii="Arial" w:hAnsi="Arial" w:cs="Arial"/>
          <w:sz w:val="22"/>
          <w:szCs w:val="22"/>
        </w:rPr>
        <w:t>.</w:t>
      </w:r>
    </w:p>
    <w:p w:rsidR="00A810BE" w:rsidRDefault="00A810BE" w:rsidP="00126BBB">
      <w:pPr>
        <w:rPr>
          <w:rFonts w:ascii="Arial" w:hAnsi="Arial" w:cs="Arial"/>
          <w:sz w:val="22"/>
          <w:szCs w:val="22"/>
        </w:rPr>
      </w:pPr>
    </w:p>
    <w:p w:rsidR="00B07B41" w:rsidRDefault="00B07B41">
      <w:pPr>
        <w:rPr>
          <w:rFonts w:ascii="Arial" w:hAnsi="Arial" w:cs="Arial"/>
          <w:b/>
          <w:sz w:val="22"/>
          <w:szCs w:val="22"/>
        </w:rPr>
      </w:pPr>
      <w:r>
        <w:rPr>
          <w:rFonts w:ascii="Arial" w:hAnsi="Arial" w:cs="Arial"/>
          <w:b/>
          <w:sz w:val="22"/>
          <w:szCs w:val="22"/>
        </w:rPr>
        <w:br w:type="page"/>
      </w:r>
    </w:p>
    <w:p w:rsidR="00B472D5" w:rsidRPr="001E2336" w:rsidRDefault="00B472D5" w:rsidP="00F32CB5">
      <w:pPr>
        <w:pStyle w:val="Heading2"/>
      </w:pPr>
      <w:bookmarkStart w:id="39" w:name="_Toc390429523"/>
      <w:r w:rsidRPr="001E2336">
        <w:t xml:space="preserve">Extending </w:t>
      </w:r>
      <w:r w:rsidR="007348A8">
        <w:t xml:space="preserve">the </w:t>
      </w:r>
      <w:r w:rsidRPr="001E2336">
        <w:t>Accreditation Period</w:t>
      </w:r>
      <w:bookmarkEnd w:id="39"/>
    </w:p>
    <w:p w:rsidR="00B472D5" w:rsidRDefault="00B472D5" w:rsidP="00E83C0E">
      <w:pPr>
        <w:rPr>
          <w:rFonts w:ascii="Arial" w:hAnsi="Arial" w:cs="Arial"/>
          <w:sz w:val="22"/>
          <w:szCs w:val="22"/>
        </w:rPr>
      </w:pPr>
    </w:p>
    <w:p w:rsidR="001E2336" w:rsidRDefault="001E2336" w:rsidP="001E2336">
      <w:pPr>
        <w:rPr>
          <w:rFonts w:ascii="Arial" w:hAnsi="Arial" w:cs="Arial"/>
          <w:sz w:val="22"/>
          <w:szCs w:val="22"/>
        </w:rPr>
      </w:pPr>
      <w:r w:rsidRPr="00E307FB">
        <w:rPr>
          <w:rFonts w:ascii="Arial" w:hAnsi="Arial" w:cs="Arial"/>
          <w:sz w:val="22"/>
          <w:szCs w:val="22"/>
        </w:rPr>
        <w:t xml:space="preserve">MBA, ACA, HIA, </w:t>
      </w:r>
      <w:r>
        <w:rPr>
          <w:rFonts w:ascii="Arial" w:hAnsi="Arial" w:cs="Arial"/>
          <w:sz w:val="22"/>
          <w:szCs w:val="22"/>
        </w:rPr>
        <w:t>Ai Group</w:t>
      </w:r>
      <w:r w:rsidRPr="00E307FB">
        <w:rPr>
          <w:rFonts w:ascii="Arial" w:hAnsi="Arial" w:cs="Arial"/>
          <w:sz w:val="22"/>
          <w:szCs w:val="22"/>
        </w:rPr>
        <w:t xml:space="preserve"> and a majority of accredited companies </w:t>
      </w:r>
      <w:r>
        <w:rPr>
          <w:rFonts w:ascii="Arial" w:hAnsi="Arial" w:cs="Arial"/>
          <w:sz w:val="22"/>
          <w:szCs w:val="22"/>
        </w:rPr>
        <w:t>making submissions supported</w:t>
      </w:r>
      <w:r w:rsidRPr="00E307FB">
        <w:rPr>
          <w:rFonts w:ascii="Arial" w:hAnsi="Arial" w:cs="Arial"/>
          <w:sz w:val="22"/>
          <w:szCs w:val="22"/>
        </w:rPr>
        <w:t xml:space="preserve"> </w:t>
      </w:r>
      <w:r>
        <w:rPr>
          <w:rFonts w:ascii="Arial" w:hAnsi="Arial" w:cs="Arial"/>
          <w:sz w:val="22"/>
          <w:szCs w:val="22"/>
        </w:rPr>
        <w:t>extending</w:t>
      </w:r>
      <w:r w:rsidRPr="00E307FB">
        <w:rPr>
          <w:rFonts w:ascii="Arial" w:hAnsi="Arial" w:cs="Arial"/>
          <w:sz w:val="22"/>
          <w:szCs w:val="22"/>
        </w:rPr>
        <w:t xml:space="preserve"> the </w:t>
      </w:r>
      <w:r>
        <w:rPr>
          <w:rFonts w:ascii="Arial" w:hAnsi="Arial" w:cs="Arial"/>
          <w:sz w:val="22"/>
          <w:szCs w:val="22"/>
        </w:rPr>
        <w:t>current 3-</w:t>
      </w:r>
      <w:r w:rsidRPr="00E307FB">
        <w:rPr>
          <w:rFonts w:ascii="Arial" w:hAnsi="Arial" w:cs="Arial"/>
          <w:sz w:val="22"/>
          <w:szCs w:val="22"/>
        </w:rPr>
        <w:t>year</w:t>
      </w:r>
      <w:r w:rsidRPr="000814D2">
        <w:rPr>
          <w:rFonts w:ascii="Arial" w:hAnsi="Arial" w:cs="Arial"/>
          <w:sz w:val="22"/>
          <w:szCs w:val="22"/>
        </w:rPr>
        <w:t xml:space="preserve"> accreditation period</w:t>
      </w:r>
      <w:r w:rsidRPr="00E307FB">
        <w:rPr>
          <w:rFonts w:ascii="Arial" w:hAnsi="Arial" w:cs="Arial"/>
          <w:sz w:val="22"/>
          <w:szCs w:val="22"/>
        </w:rPr>
        <w:t xml:space="preserve">, subject to satisfactory ongoing performance determined by surveillance audits. MBA and HIA suggested </w:t>
      </w:r>
      <w:r>
        <w:rPr>
          <w:rFonts w:ascii="Arial" w:hAnsi="Arial" w:cs="Arial"/>
          <w:sz w:val="22"/>
          <w:szCs w:val="22"/>
        </w:rPr>
        <w:t>an indefinite-period</w:t>
      </w:r>
      <w:r w:rsidRPr="00E307FB">
        <w:rPr>
          <w:rFonts w:ascii="Arial" w:hAnsi="Arial" w:cs="Arial"/>
          <w:sz w:val="22"/>
          <w:szCs w:val="22"/>
        </w:rPr>
        <w:t xml:space="preserve"> </w:t>
      </w:r>
      <w:r w:rsidR="004F0F05">
        <w:rPr>
          <w:rFonts w:ascii="Arial" w:hAnsi="Arial" w:cs="Arial"/>
          <w:sz w:val="22"/>
          <w:szCs w:val="22"/>
        </w:rPr>
        <w:t xml:space="preserve">of </w:t>
      </w:r>
      <w:r w:rsidRPr="00E307FB">
        <w:rPr>
          <w:rFonts w:ascii="Arial" w:hAnsi="Arial" w:cs="Arial"/>
          <w:sz w:val="22"/>
          <w:szCs w:val="22"/>
        </w:rPr>
        <w:t>accreditation</w:t>
      </w:r>
      <w:r>
        <w:rPr>
          <w:rFonts w:ascii="Arial" w:hAnsi="Arial" w:cs="Arial"/>
          <w:sz w:val="22"/>
          <w:szCs w:val="22"/>
        </w:rPr>
        <w:t>,</w:t>
      </w:r>
      <w:r w:rsidRPr="00E307FB">
        <w:rPr>
          <w:rFonts w:ascii="Arial" w:hAnsi="Arial" w:cs="Arial"/>
          <w:sz w:val="22"/>
          <w:szCs w:val="22"/>
        </w:rPr>
        <w:t xml:space="preserve"> while ACA</w:t>
      </w:r>
      <w:r>
        <w:rPr>
          <w:rFonts w:ascii="Arial" w:hAnsi="Arial" w:cs="Arial"/>
          <w:sz w:val="22"/>
          <w:szCs w:val="22"/>
        </w:rPr>
        <w:t xml:space="preserve"> and Ai Group</w:t>
      </w:r>
      <w:r w:rsidRPr="00E307FB">
        <w:rPr>
          <w:rFonts w:ascii="Arial" w:hAnsi="Arial" w:cs="Arial"/>
          <w:sz w:val="22"/>
          <w:szCs w:val="22"/>
        </w:rPr>
        <w:t xml:space="preserve"> proposed </w:t>
      </w:r>
      <w:r>
        <w:rPr>
          <w:rFonts w:ascii="Arial" w:hAnsi="Arial" w:cs="Arial"/>
          <w:sz w:val="22"/>
          <w:szCs w:val="22"/>
        </w:rPr>
        <w:t xml:space="preserve">a </w:t>
      </w:r>
      <w:r w:rsidRPr="00E307FB">
        <w:rPr>
          <w:rFonts w:ascii="Arial" w:hAnsi="Arial" w:cs="Arial"/>
          <w:sz w:val="22"/>
          <w:szCs w:val="22"/>
        </w:rPr>
        <w:t>5</w:t>
      </w:r>
      <w:r>
        <w:rPr>
          <w:rFonts w:ascii="Arial" w:hAnsi="Arial" w:cs="Arial"/>
          <w:sz w:val="22"/>
          <w:szCs w:val="22"/>
        </w:rPr>
        <w:t>-</w:t>
      </w:r>
      <w:r w:rsidRPr="00E307FB">
        <w:rPr>
          <w:rFonts w:ascii="Arial" w:hAnsi="Arial" w:cs="Arial"/>
          <w:sz w:val="22"/>
          <w:szCs w:val="22"/>
        </w:rPr>
        <w:t>year accreditation period. CCF and ACTU want</w:t>
      </w:r>
      <w:r>
        <w:rPr>
          <w:rFonts w:ascii="Arial" w:hAnsi="Arial" w:cs="Arial"/>
          <w:sz w:val="22"/>
          <w:szCs w:val="22"/>
        </w:rPr>
        <w:t>ed</w:t>
      </w:r>
      <w:r w:rsidRPr="00E307FB">
        <w:rPr>
          <w:rFonts w:ascii="Arial" w:hAnsi="Arial" w:cs="Arial"/>
          <w:sz w:val="22"/>
          <w:szCs w:val="22"/>
        </w:rPr>
        <w:t xml:space="preserve"> to retain a 3</w:t>
      </w:r>
      <w:r>
        <w:rPr>
          <w:rFonts w:ascii="Arial" w:hAnsi="Arial" w:cs="Arial"/>
          <w:sz w:val="22"/>
          <w:szCs w:val="22"/>
        </w:rPr>
        <w:t>-</w:t>
      </w:r>
      <w:r w:rsidRPr="00E307FB">
        <w:rPr>
          <w:rFonts w:ascii="Arial" w:hAnsi="Arial" w:cs="Arial"/>
          <w:sz w:val="22"/>
          <w:szCs w:val="22"/>
        </w:rPr>
        <w:t>year accreditation period.</w:t>
      </w:r>
    </w:p>
    <w:p w:rsidR="00946454" w:rsidRDefault="00946454" w:rsidP="001E2336">
      <w:pPr>
        <w:rPr>
          <w:rFonts w:ascii="Arial" w:hAnsi="Arial" w:cs="Arial"/>
          <w:sz w:val="22"/>
          <w:szCs w:val="22"/>
        </w:rPr>
      </w:pPr>
    </w:p>
    <w:p w:rsidR="00946454" w:rsidRPr="001A1425" w:rsidRDefault="00710248" w:rsidP="00946454">
      <w:pPr>
        <w:rPr>
          <w:rFonts w:ascii="Arial" w:hAnsi="Arial" w:cs="Arial"/>
          <w:sz w:val="22"/>
          <w:szCs w:val="22"/>
        </w:rPr>
      </w:pPr>
      <w:r>
        <w:rPr>
          <w:rFonts w:ascii="Arial" w:hAnsi="Arial" w:cs="Arial"/>
          <w:sz w:val="22"/>
          <w:szCs w:val="22"/>
        </w:rPr>
        <w:t xml:space="preserve">Those who supported retaining </w:t>
      </w:r>
      <w:r w:rsidR="00946454">
        <w:rPr>
          <w:rFonts w:ascii="Arial" w:hAnsi="Arial" w:cs="Arial"/>
          <w:sz w:val="22"/>
          <w:szCs w:val="22"/>
        </w:rPr>
        <w:t>a 3-year accreditation period largely expressed concerns that an</w:t>
      </w:r>
      <w:r w:rsidR="009F7217">
        <w:rPr>
          <w:rFonts w:ascii="Arial" w:hAnsi="Arial" w:cs="Arial"/>
          <w:sz w:val="22"/>
          <w:szCs w:val="22"/>
        </w:rPr>
        <w:t>y</w:t>
      </w:r>
      <w:r w:rsidR="00946454">
        <w:rPr>
          <w:rFonts w:ascii="Arial" w:hAnsi="Arial" w:cs="Arial"/>
          <w:sz w:val="22"/>
          <w:szCs w:val="22"/>
        </w:rPr>
        <w:t xml:space="preserve"> introduction of an indefinite period of accreditation would create a perception that a company is no longer subject to monitoring and compliance; and a perception that the current maintenance audits would no longer be in place. </w:t>
      </w:r>
    </w:p>
    <w:p w:rsidR="00D75567" w:rsidRDefault="00D75567" w:rsidP="00D75567">
      <w:pPr>
        <w:rPr>
          <w:rFonts w:ascii="Arial" w:hAnsi="Arial" w:cs="Arial"/>
          <w:sz w:val="22"/>
          <w:szCs w:val="22"/>
          <w:lang w:eastAsia="en-US"/>
        </w:rPr>
      </w:pPr>
    </w:p>
    <w:p w:rsidR="003717F7" w:rsidRPr="006124DE" w:rsidRDefault="003717F7" w:rsidP="003717F7">
      <w:r w:rsidRPr="006124DE">
        <w:rPr>
          <w:rFonts w:ascii="Arial" w:hAnsi="Arial" w:cs="Arial"/>
          <w:sz w:val="22"/>
          <w:szCs w:val="22"/>
          <w:lang w:eastAsia="en-US"/>
        </w:rPr>
        <w:t>The majority of s</w:t>
      </w:r>
      <w:r>
        <w:rPr>
          <w:rFonts w:ascii="Arial" w:hAnsi="Arial" w:cs="Arial"/>
          <w:sz w:val="22"/>
          <w:szCs w:val="22"/>
          <w:lang w:eastAsia="en-US"/>
        </w:rPr>
        <w:t>ubmissions</w:t>
      </w:r>
      <w:r w:rsidRPr="006124DE">
        <w:rPr>
          <w:rFonts w:ascii="Arial" w:hAnsi="Arial" w:cs="Arial"/>
          <w:sz w:val="22"/>
          <w:szCs w:val="22"/>
          <w:lang w:eastAsia="en-US"/>
        </w:rPr>
        <w:t xml:space="preserve"> supported some form of ongoing surveillance audits. Suggestions from accredited companies included</w:t>
      </w:r>
      <w:r w:rsidR="00CF34B6">
        <w:rPr>
          <w:rFonts w:ascii="Arial" w:hAnsi="Arial" w:cs="Arial"/>
          <w:sz w:val="22"/>
          <w:szCs w:val="22"/>
          <w:lang w:eastAsia="en-US"/>
        </w:rPr>
        <w:t>:</w:t>
      </w:r>
      <w:r w:rsidRPr="006124DE">
        <w:rPr>
          <w:rFonts w:ascii="Arial" w:hAnsi="Arial" w:cs="Arial"/>
          <w:sz w:val="22"/>
          <w:szCs w:val="22"/>
          <w:lang w:eastAsia="en-US"/>
        </w:rPr>
        <w:t xml:space="preserve"> using the same</w:t>
      </w:r>
      <w:r w:rsidR="00091148">
        <w:rPr>
          <w:rFonts w:ascii="Arial" w:hAnsi="Arial" w:cs="Arial"/>
          <w:sz w:val="22"/>
          <w:szCs w:val="22"/>
          <w:lang w:eastAsia="en-US"/>
        </w:rPr>
        <w:t xml:space="preserve"> Federal Safety Officer (</w:t>
      </w:r>
      <w:r w:rsidRPr="006124DE">
        <w:rPr>
          <w:rFonts w:ascii="Arial" w:hAnsi="Arial" w:cs="Arial"/>
          <w:sz w:val="22"/>
          <w:szCs w:val="22"/>
          <w:lang w:eastAsia="en-US"/>
        </w:rPr>
        <w:t>FSO</w:t>
      </w:r>
      <w:r w:rsidR="00091148">
        <w:rPr>
          <w:rFonts w:ascii="Arial" w:hAnsi="Arial" w:cs="Arial"/>
          <w:sz w:val="22"/>
          <w:szCs w:val="22"/>
          <w:lang w:eastAsia="en-US"/>
        </w:rPr>
        <w:t>)</w:t>
      </w:r>
      <w:r w:rsidRPr="006124DE">
        <w:rPr>
          <w:rFonts w:ascii="Arial" w:hAnsi="Arial" w:cs="Arial"/>
          <w:sz w:val="22"/>
          <w:szCs w:val="22"/>
          <w:lang w:eastAsia="en-US"/>
        </w:rPr>
        <w:t xml:space="preserve"> </w:t>
      </w:r>
      <w:r>
        <w:rPr>
          <w:rFonts w:ascii="Arial" w:hAnsi="Arial" w:cs="Arial"/>
          <w:sz w:val="22"/>
          <w:szCs w:val="22"/>
          <w:lang w:eastAsia="en-US"/>
        </w:rPr>
        <w:t>t</w:t>
      </w:r>
      <w:r w:rsidRPr="006124DE">
        <w:rPr>
          <w:rFonts w:ascii="Arial" w:hAnsi="Arial" w:cs="Arial"/>
          <w:sz w:val="22"/>
          <w:szCs w:val="22"/>
          <w:lang w:eastAsia="en-US"/>
        </w:rPr>
        <w:t>o detect ‘sanitised’ sites and provide greater insight over multiple projects</w:t>
      </w:r>
      <w:r w:rsidR="00CF34B6">
        <w:rPr>
          <w:rFonts w:ascii="Arial" w:hAnsi="Arial" w:cs="Arial"/>
          <w:sz w:val="22"/>
          <w:szCs w:val="22"/>
          <w:lang w:eastAsia="en-US"/>
        </w:rPr>
        <w:t>;</w:t>
      </w:r>
      <w:r w:rsidRPr="006124DE">
        <w:rPr>
          <w:rFonts w:ascii="Arial" w:hAnsi="Arial" w:cs="Arial"/>
          <w:sz w:val="22"/>
          <w:szCs w:val="22"/>
          <w:lang w:eastAsia="en-US"/>
        </w:rPr>
        <w:t xml:space="preserve"> use of an audit scoring system</w:t>
      </w:r>
      <w:r w:rsidR="00CF34B6">
        <w:rPr>
          <w:rFonts w:ascii="Arial" w:hAnsi="Arial" w:cs="Arial"/>
          <w:sz w:val="22"/>
          <w:szCs w:val="22"/>
          <w:lang w:eastAsia="en-US"/>
        </w:rPr>
        <w:t>;</w:t>
      </w:r>
      <w:r w:rsidRPr="006124DE">
        <w:rPr>
          <w:rFonts w:ascii="Arial" w:hAnsi="Arial" w:cs="Arial"/>
          <w:sz w:val="22"/>
          <w:szCs w:val="22"/>
          <w:lang w:eastAsia="en-US"/>
        </w:rPr>
        <w:t xml:space="preserve"> auditing Scheme and non-scheme projects (as is </w:t>
      </w:r>
      <w:r w:rsidR="006F2AB9">
        <w:rPr>
          <w:rFonts w:ascii="Arial" w:hAnsi="Arial" w:cs="Arial"/>
          <w:sz w:val="22"/>
          <w:szCs w:val="22"/>
          <w:lang w:eastAsia="en-US"/>
        </w:rPr>
        <w:t xml:space="preserve">the </w:t>
      </w:r>
      <w:r w:rsidRPr="006124DE">
        <w:rPr>
          <w:rFonts w:ascii="Arial" w:hAnsi="Arial" w:cs="Arial"/>
          <w:sz w:val="22"/>
          <w:szCs w:val="22"/>
          <w:lang w:eastAsia="en-US"/>
        </w:rPr>
        <w:t>current process)</w:t>
      </w:r>
      <w:r w:rsidR="00CF34B6">
        <w:rPr>
          <w:rFonts w:ascii="Arial" w:hAnsi="Arial" w:cs="Arial"/>
          <w:sz w:val="22"/>
          <w:szCs w:val="22"/>
          <w:lang w:eastAsia="en-US"/>
        </w:rPr>
        <w:t>;</w:t>
      </w:r>
      <w:r w:rsidRPr="006124DE">
        <w:rPr>
          <w:rFonts w:ascii="Arial" w:hAnsi="Arial" w:cs="Arial"/>
          <w:sz w:val="22"/>
          <w:szCs w:val="22"/>
          <w:lang w:eastAsia="en-US"/>
        </w:rPr>
        <w:t xml:space="preserve"> smaller audits over several sites rather than concentrated audits at one site and changing the focus of audits for more site compliance checks.</w:t>
      </w:r>
    </w:p>
    <w:p w:rsidR="003717F7" w:rsidRPr="006124DE" w:rsidRDefault="003717F7" w:rsidP="003717F7">
      <w:pPr>
        <w:rPr>
          <w:rFonts w:ascii="Arial" w:hAnsi="Arial" w:cs="Arial"/>
          <w:sz w:val="22"/>
          <w:szCs w:val="22"/>
          <w:lang w:eastAsia="en-US"/>
        </w:rPr>
      </w:pPr>
    </w:p>
    <w:p w:rsidR="003717F7" w:rsidRDefault="003717F7" w:rsidP="003717F7">
      <w:pPr>
        <w:rPr>
          <w:rFonts w:ascii="Arial" w:hAnsi="Arial" w:cs="Arial"/>
          <w:sz w:val="22"/>
          <w:szCs w:val="22"/>
          <w:lang w:eastAsia="en-US"/>
        </w:rPr>
      </w:pPr>
      <w:r w:rsidRPr="006124DE">
        <w:rPr>
          <w:rFonts w:ascii="Arial" w:hAnsi="Arial" w:cs="Arial"/>
          <w:sz w:val="22"/>
          <w:szCs w:val="22"/>
          <w:lang w:eastAsia="en-US"/>
        </w:rPr>
        <w:t xml:space="preserve">MBA, ACA, CCF, and </w:t>
      </w:r>
      <w:r>
        <w:rPr>
          <w:rFonts w:ascii="Arial" w:hAnsi="Arial" w:cs="Arial"/>
          <w:sz w:val="22"/>
          <w:szCs w:val="22"/>
          <w:lang w:eastAsia="en-US"/>
        </w:rPr>
        <w:t>Ai Group</w:t>
      </w:r>
      <w:r w:rsidRPr="006124DE">
        <w:rPr>
          <w:rFonts w:ascii="Arial" w:hAnsi="Arial" w:cs="Arial"/>
          <w:sz w:val="22"/>
          <w:szCs w:val="22"/>
          <w:lang w:eastAsia="en-US"/>
        </w:rPr>
        <w:t xml:space="preserve"> recommended periodic audits, but </w:t>
      </w:r>
      <w:r>
        <w:rPr>
          <w:rFonts w:ascii="Arial" w:hAnsi="Arial" w:cs="Arial"/>
          <w:sz w:val="22"/>
          <w:szCs w:val="22"/>
          <w:lang w:eastAsia="en-US"/>
        </w:rPr>
        <w:t>suggested</w:t>
      </w:r>
      <w:r w:rsidRPr="006124DE">
        <w:rPr>
          <w:rFonts w:ascii="Arial" w:hAnsi="Arial" w:cs="Arial"/>
          <w:sz w:val="22"/>
          <w:szCs w:val="22"/>
          <w:lang w:eastAsia="en-US"/>
        </w:rPr>
        <w:t xml:space="preserve"> additional options of targeting regions at certain times with less specific notice (ACA)</w:t>
      </w:r>
      <w:r w:rsidR="006F2AB9">
        <w:rPr>
          <w:rFonts w:ascii="Arial" w:hAnsi="Arial" w:cs="Arial"/>
          <w:sz w:val="22"/>
          <w:szCs w:val="22"/>
          <w:lang w:eastAsia="en-US"/>
        </w:rPr>
        <w:t xml:space="preserve"> and a</w:t>
      </w:r>
      <w:r w:rsidRPr="006124DE">
        <w:rPr>
          <w:rFonts w:ascii="Arial" w:hAnsi="Arial" w:cs="Arial"/>
          <w:sz w:val="22"/>
          <w:szCs w:val="22"/>
          <w:lang w:eastAsia="en-US"/>
        </w:rPr>
        <w:t xml:space="preserve"> set number of audits for companies in a timeframe (CCF and MBA), while unions supported un-notified audits.</w:t>
      </w:r>
    </w:p>
    <w:p w:rsidR="003717F7" w:rsidRDefault="003717F7" w:rsidP="003717F7">
      <w:pPr>
        <w:rPr>
          <w:rFonts w:ascii="Arial" w:hAnsi="Arial" w:cs="Arial"/>
          <w:sz w:val="22"/>
          <w:szCs w:val="22"/>
          <w:lang w:eastAsia="en-US"/>
        </w:rPr>
      </w:pPr>
    </w:p>
    <w:p w:rsidR="003717F7" w:rsidRDefault="00CF34B6" w:rsidP="003717F7">
      <w:pPr>
        <w:rPr>
          <w:rFonts w:ascii="Arial" w:hAnsi="Arial" w:cs="Arial"/>
          <w:sz w:val="22"/>
          <w:szCs w:val="22"/>
          <w:lang w:eastAsia="en-US"/>
        </w:rPr>
      </w:pPr>
      <w:r>
        <w:rPr>
          <w:rFonts w:ascii="Arial" w:hAnsi="Arial" w:cs="Arial"/>
          <w:sz w:val="22"/>
          <w:szCs w:val="22"/>
          <w:lang w:eastAsia="en-US"/>
        </w:rPr>
        <w:t>Other than from the unions,</w:t>
      </w:r>
      <w:r w:rsidR="007348A8">
        <w:rPr>
          <w:rFonts w:ascii="Arial" w:hAnsi="Arial" w:cs="Arial"/>
          <w:sz w:val="22"/>
          <w:szCs w:val="22"/>
          <w:lang w:eastAsia="en-US"/>
        </w:rPr>
        <w:t xml:space="preserve"> t</w:t>
      </w:r>
      <w:r w:rsidR="003717F7">
        <w:rPr>
          <w:rFonts w:ascii="Arial" w:hAnsi="Arial" w:cs="Arial"/>
          <w:sz w:val="22"/>
          <w:szCs w:val="22"/>
          <w:lang w:eastAsia="en-US"/>
        </w:rPr>
        <w:t xml:space="preserve">here was little support in submissions for </w:t>
      </w:r>
      <w:r w:rsidR="007348A8">
        <w:rPr>
          <w:rFonts w:ascii="Arial" w:hAnsi="Arial" w:cs="Arial"/>
          <w:sz w:val="22"/>
          <w:szCs w:val="22"/>
          <w:lang w:eastAsia="en-US"/>
        </w:rPr>
        <w:t xml:space="preserve">un-notified </w:t>
      </w:r>
      <w:r w:rsidR="003717F7">
        <w:rPr>
          <w:rFonts w:ascii="Arial" w:hAnsi="Arial" w:cs="Arial"/>
          <w:sz w:val="22"/>
          <w:szCs w:val="22"/>
          <w:lang w:eastAsia="en-US"/>
        </w:rPr>
        <w:t>audits, noting in particular the difficulties for companies in having the right personnel and information on site. Some submissions pointed out the current collaborative, non-combat</w:t>
      </w:r>
      <w:r w:rsidR="006F2AB9">
        <w:rPr>
          <w:rFonts w:ascii="Arial" w:hAnsi="Arial" w:cs="Arial"/>
          <w:sz w:val="22"/>
          <w:szCs w:val="22"/>
          <w:lang w:eastAsia="en-US"/>
        </w:rPr>
        <w:t>ive</w:t>
      </w:r>
      <w:r w:rsidR="003717F7">
        <w:rPr>
          <w:rFonts w:ascii="Arial" w:hAnsi="Arial" w:cs="Arial"/>
          <w:sz w:val="22"/>
          <w:szCs w:val="22"/>
          <w:lang w:eastAsia="en-US"/>
        </w:rPr>
        <w:t xml:space="preserve"> approach to safety adopted by the OFSC. However, a number of submissions saw merit in introducing an element of the unknown, including less notice prior </w:t>
      </w:r>
      <w:r w:rsidR="007348A8">
        <w:rPr>
          <w:rFonts w:ascii="Arial" w:hAnsi="Arial" w:cs="Arial"/>
          <w:sz w:val="22"/>
          <w:szCs w:val="22"/>
          <w:lang w:eastAsia="en-US"/>
        </w:rPr>
        <w:t xml:space="preserve">to </w:t>
      </w:r>
      <w:r w:rsidR="003717F7">
        <w:rPr>
          <w:rFonts w:ascii="Arial" w:hAnsi="Arial" w:cs="Arial"/>
          <w:sz w:val="22"/>
          <w:szCs w:val="22"/>
          <w:lang w:eastAsia="en-US"/>
        </w:rPr>
        <w:t xml:space="preserve">the audit date and withholding details of the specific criteria to be audited. </w:t>
      </w:r>
    </w:p>
    <w:p w:rsidR="003717F7" w:rsidRPr="006124DE" w:rsidRDefault="003717F7" w:rsidP="003717F7">
      <w:pPr>
        <w:rPr>
          <w:rFonts w:ascii="Arial" w:hAnsi="Arial" w:cs="Arial"/>
          <w:sz w:val="22"/>
          <w:szCs w:val="22"/>
          <w:lang w:eastAsia="en-US"/>
        </w:rPr>
      </w:pPr>
    </w:p>
    <w:p w:rsidR="003717F7" w:rsidRDefault="003717F7" w:rsidP="003717F7">
      <w:pPr>
        <w:rPr>
          <w:rFonts w:ascii="Arial" w:hAnsi="Arial" w:cs="Arial"/>
          <w:sz w:val="22"/>
          <w:szCs w:val="22"/>
          <w:lang w:eastAsia="en-US"/>
        </w:rPr>
      </w:pPr>
      <w:r w:rsidRPr="006124DE">
        <w:rPr>
          <w:rFonts w:ascii="Arial" w:hAnsi="Arial" w:cs="Arial"/>
          <w:sz w:val="22"/>
          <w:szCs w:val="22"/>
          <w:lang w:eastAsia="en-US"/>
        </w:rPr>
        <w:t xml:space="preserve">Finally, some associations and accredited companies suggested utilisation of other </w:t>
      </w:r>
      <w:r w:rsidR="00946454">
        <w:rPr>
          <w:rFonts w:ascii="Arial" w:hAnsi="Arial" w:cs="Arial"/>
          <w:sz w:val="22"/>
          <w:szCs w:val="22"/>
          <w:lang w:eastAsia="en-US"/>
        </w:rPr>
        <w:t xml:space="preserve">company performance </w:t>
      </w:r>
      <w:r w:rsidRPr="006124DE">
        <w:rPr>
          <w:rFonts w:ascii="Arial" w:hAnsi="Arial" w:cs="Arial"/>
          <w:sz w:val="22"/>
          <w:szCs w:val="22"/>
          <w:lang w:eastAsia="en-US"/>
        </w:rPr>
        <w:t>information and</w:t>
      </w:r>
      <w:r w:rsidR="006F2AB9">
        <w:rPr>
          <w:rFonts w:ascii="Arial" w:hAnsi="Arial" w:cs="Arial"/>
          <w:sz w:val="22"/>
          <w:szCs w:val="22"/>
          <w:lang w:eastAsia="en-US"/>
        </w:rPr>
        <w:t xml:space="preserve"> </w:t>
      </w:r>
      <w:r w:rsidR="00946454">
        <w:rPr>
          <w:rFonts w:ascii="Arial" w:hAnsi="Arial" w:cs="Arial"/>
          <w:sz w:val="22"/>
          <w:szCs w:val="22"/>
          <w:lang w:eastAsia="en-US"/>
        </w:rPr>
        <w:t>audit</w:t>
      </w:r>
      <w:r w:rsidR="00A266DE">
        <w:rPr>
          <w:rFonts w:ascii="Arial" w:hAnsi="Arial" w:cs="Arial"/>
          <w:sz w:val="22"/>
          <w:szCs w:val="22"/>
          <w:lang w:eastAsia="en-US"/>
        </w:rPr>
        <w:t xml:space="preserve"> </w:t>
      </w:r>
      <w:r w:rsidRPr="006124DE">
        <w:rPr>
          <w:rFonts w:ascii="Arial" w:hAnsi="Arial" w:cs="Arial"/>
          <w:sz w:val="22"/>
          <w:szCs w:val="22"/>
          <w:lang w:eastAsia="en-US"/>
        </w:rPr>
        <w:t xml:space="preserve">results </w:t>
      </w:r>
      <w:r w:rsidR="00946454">
        <w:rPr>
          <w:rFonts w:ascii="Arial" w:hAnsi="Arial" w:cs="Arial"/>
          <w:sz w:val="22"/>
          <w:szCs w:val="22"/>
          <w:lang w:eastAsia="en-US"/>
        </w:rPr>
        <w:t xml:space="preserve">provided by </w:t>
      </w:r>
      <w:r w:rsidRPr="006124DE">
        <w:rPr>
          <w:rFonts w:ascii="Arial" w:hAnsi="Arial" w:cs="Arial"/>
          <w:sz w:val="22"/>
          <w:szCs w:val="22"/>
          <w:lang w:eastAsia="en-US"/>
        </w:rPr>
        <w:t>companies as part of ongoing compliance</w:t>
      </w:r>
      <w:r w:rsidR="00A266DE">
        <w:rPr>
          <w:rFonts w:ascii="Arial" w:hAnsi="Arial" w:cs="Arial"/>
          <w:sz w:val="22"/>
          <w:szCs w:val="22"/>
          <w:lang w:eastAsia="en-US"/>
        </w:rPr>
        <w:t xml:space="preserve"> monitoring;</w:t>
      </w:r>
      <w:r w:rsidRPr="006124DE">
        <w:rPr>
          <w:rFonts w:ascii="Arial" w:hAnsi="Arial" w:cs="Arial"/>
          <w:sz w:val="22"/>
          <w:szCs w:val="22"/>
          <w:lang w:eastAsia="en-US"/>
        </w:rPr>
        <w:t xml:space="preserve"> though no-one advocated the sole reliance on this information for ongoing accreditation compliance.</w:t>
      </w:r>
    </w:p>
    <w:p w:rsidR="003717F7" w:rsidRDefault="003717F7" w:rsidP="003717F7">
      <w:pPr>
        <w:rPr>
          <w:rFonts w:ascii="Arial" w:hAnsi="Arial" w:cs="Arial"/>
          <w:sz w:val="22"/>
          <w:szCs w:val="22"/>
          <w:lang w:eastAsia="en-US"/>
        </w:rPr>
      </w:pPr>
    </w:p>
    <w:p w:rsidR="00D75567" w:rsidRDefault="00D75567" w:rsidP="00D75567">
      <w:pPr>
        <w:rPr>
          <w:rFonts w:ascii="Arial" w:hAnsi="Arial" w:cs="Arial"/>
          <w:sz w:val="22"/>
          <w:szCs w:val="22"/>
          <w:lang w:eastAsia="en-US"/>
        </w:rPr>
      </w:pPr>
      <w:r>
        <w:rPr>
          <w:rFonts w:ascii="Arial" w:hAnsi="Arial" w:cs="Arial"/>
          <w:sz w:val="22"/>
          <w:szCs w:val="22"/>
          <w:lang w:eastAsia="en-US"/>
        </w:rPr>
        <w:t>I</w:t>
      </w:r>
      <w:r w:rsidRPr="006B3200">
        <w:rPr>
          <w:rFonts w:ascii="Arial" w:hAnsi="Arial" w:cs="Arial"/>
          <w:sz w:val="22"/>
          <w:szCs w:val="22"/>
          <w:lang w:eastAsia="en-US"/>
        </w:rPr>
        <w:t xml:space="preserve">f the current </w:t>
      </w:r>
      <w:r w:rsidR="008F3909">
        <w:rPr>
          <w:rFonts w:ascii="Arial" w:hAnsi="Arial" w:cs="Arial"/>
          <w:sz w:val="22"/>
          <w:szCs w:val="22"/>
          <w:lang w:eastAsia="en-US"/>
        </w:rPr>
        <w:t>reaccreditation</w:t>
      </w:r>
      <w:r w:rsidRPr="006B3200">
        <w:rPr>
          <w:rFonts w:ascii="Arial" w:hAnsi="Arial" w:cs="Arial"/>
          <w:sz w:val="22"/>
          <w:szCs w:val="22"/>
          <w:lang w:eastAsia="en-US"/>
        </w:rPr>
        <w:t xml:space="preserve"> </w:t>
      </w:r>
      <w:r w:rsidR="00A266DE">
        <w:rPr>
          <w:rFonts w:ascii="Arial" w:hAnsi="Arial" w:cs="Arial"/>
          <w:sz w:val="22"/>
          <w:szCs w:val="22"/>
          <w:lang w:eastAsia="en-US"/>
        </w:rPr>
        <w:t>process</w:t>
      </w:r>
      <w:r w:rsidRPr="006B3200">
        <w:rPr>
          <w:rFonts w:ascii="Arial" w:hAnsi="Arial" w:cs="Arial"/>
          <w:sz w:val="22"/>
          <w:szCs w:val="22"/>
          <w:lang w:eastAsia="en-US"/>
        </w:rPr>
        <w:t xml:space="preserve"> </w:t>
      </w:r>
      <w:r w:rsidR="003717F7">
        <w:rPr>
          <w:rFonts w:ascii="Arial" w:hAnsi="Arial" w:cs="Arial"/>
          <w:sz w:val="22"/>
          <w:szCs w:val="22"/>
          <w:lang w:eastAsia="en-US"/>
        </w:rPr>
        <w:t>were</w:t>
      </w:r>
      <w:r w:rsidRPr="006B3200">
        <w:rPr>
          <w:rFonts w:ascii="Arial" w:hAnsi="Arial" w:cs="Arial"/>
          <w:sz w:val="22"/>
          <w:szCs w:val="22"/>
          <w:lang w:eastAsia="en-US"/>
        </w:rPr>
        <w:t xml:space="preserve"> abolished and accreditation continue</w:t>
      </w:r>
      <w:r w:rsidR="003717F7">
        <w:rPr>
          <w:rFonts w:ascii="Arial" w:hAnsi="Arial" w:cs="Arial"/>
          <w:sz w:val="22"/>
          <w:szCs w:val="22"/>
          <w:lang w:eastAsia="en-US"/>
        </w:rPr>
        <w:t>d</w:t>
      </w:r>
      <w:r w:rsidRPr="006B3200">
        <w:rPr>
          <w:rFonts w:ascii="Arial" w:hAnsi="Arial" w:cs="Arial"/>
          <w:sz w:val="22"/>
          <w:szCs w:val="22"/>
          <w:lang w:eastAsia="en-US"/>
        </w:rPr>
        <w:t xml:space="preserve"> indefinitely, subject to ongoing and periodic </w:t>
      </w:r>
      <w:r>
        <w:rPr>
          <w:rFonts w:ascii="Arial" w:hAnsi="Arial" w:cs="Arial"/>
          <w:sz w:val="22"/>
          <w:szCs w:val="22"/>
          <w:lang w:eastAsia="en-US"/>
        </w:rPr>
        <w:t>audits</w:t>
      </w:r>
      <w:r w:rsidRPr="006B3200">
        <w:rPr>
          <w:rFonts w:ascii="Arial" w:hAnsi="Arial" w:cs="Arial"/>
          <w:sz w:val="22"/>
          <w:szCs w:val="22"/>
          <w:lang w:eastAsia="en-US"/>
        </w:rPr>
        <w:t>, accredited companies w</w:t>
      </w:r>
      <w:r w:rsidR="003717F7">
        <w:rPr>
          <w:rFonts w:ascii="Arial" w:hAnsi="Arial" w:cs="Arial"/>
          <w:sz w:val="22"/>
          <w:szCs w:val="22"/>
          <w:lang w:eastAsia="en-US"/>
        </w:rPr>
        <w:t>ould</w:t>
      </w:r>
      <w:r w:rsidRPr="006B3200">
        <w:rPr>
          <w:rFonts w:ascii="Arial" w:hAnsi="Arial" w:cs="Arial"/>
          <w:sz w:val="22"/>
          <w:szCs w:val="22"/>
          <w:lang w:eastAsia="en-US"/>
        </w:rPr>
        <w:t xml:space="preserve"> have an incentive to maintain the higher standards </w:t>
      </w:r>
      <w:r>
        <w:rPr>
          <w:rFonts w:ascii="Arial" w:hAnsi="Arial" w:cs="Arial"/>
          <w:sz w:val="22"/>
          <w:szCs w:val="22"/>
          <w:lang w:eastAsia="en-US"/>
        </w:rPr>
        <w:t xml:space="preserve">of accreditation </w:t>
      </w:r>
      <w:r w:rsidRPr="006B3200">
        <w:rPr>
          <w:rFonts w:ascii="Arial" w:hAnsi="Arial" w:cs="Arial"/>
          <w:sz w:val="22"/>
          <w:szCs w:val="22"/>
          <w:lang w:eastAsia="en-US"/>
        </w:rPr>
        <w:t>all the time.</w:t>
      </w:r>
      <w:r w:rsidR="00946454">
        <w:rPr>
          <w:rFonts w:ascii="Arial" w:hAnsi="Arial" w:cs="Arial"/>
          <w:sz w:val="22"/>
          <w:szCs w:val="22"/>
          <w:lang w:eastAsia="en-US"/>
        </w:rPr>
        <w:t xml:space="preserve"> The</w:t>
      </w:r>
      <w:r w:rsidR="00914523">
        <w:rPr>
          <w:rFonts w:ascii="Arial" w:hAnsi="Arial" w:cs="Arial"/>
          <w:sz w:val="22"/>
          <w:szCs w:val="22"/>
          <w:lang w:eastAsia="en-US"/>
        </w:rPr>
        <w:t xml:space="preserve"> following section discusses a possible risk-based approach to these periodic surveillance audits.</w:t>
      </w:r>
      <w:r w:rsidR="004D2E88">
        <w:rPr>
          <w:rFonts w:ascii="Arial" w:hAnsi="Arial" w:cs="Arial"/>
          <w:sz w:val="22"/>
          <w:szCs w:val="22"/>
          <w:lang w:eastAsia="en-US"/>
        </w:rPr>
        <w:t xml:space="preserve"> </w:t>
      </w:r>
    </w:p>
    <w:p w:rsidR="001E2336" w:rsidRDefault="001E2336" w:rsidP="001E2336">
      <w:pPr>
        <w:rPr>
          <w:rFonts w:ascii="Arial" w:hAnsi="Arial" w:cs="Arial"/>
          <w:sz w:val="22"/>
          <w:szCs w:val="22"/>
        </w:rPr>
      </w:pPr>
    </w:p>
    <w:p w:rsidR="00126BBB" w:rsidRDefault="00A81E97" w:rsidP="003005B9">
      <w:pPr>
        <w:pStyle w:val="Heading2"/>
      </w:pPr>
      <w:bookmarkStart w:id="40" w:name="_Toc390429524"/>
      <w:r>
        <w:t>R</w:t>
      </w:r>
      <w:r w:rsidR="00A7163A">
        <w:t>isk-based</w:t>
      </w:r>
      <w:r w:rsidR="00126BBB" w:rsidRPr="007B5A3A">
        <w:t xml:space="preserve"> </w:t>
      </w:r>
      <w:r w:rsidR="005E2374">
        <w:t xml:space="preserve">Audit </w:t>
      </w:r>
      <w:r w:rsidR="003717F7">
        <w:t>A</w:t>
      </w:r>
      <w:r w:rsidR="00212D73">
        <w:t>pproach</w:t>
      </w:r>
      <w:r w:rsidR="005E2374">
        <w:t xml:space="preserve"> to Maintaining Accreditation</w:t>
      </w:r>
      <w:bookmarkEnd w:id="40"/>
    </w:p>
    <w:p w:rsidR="00126BBB" w:rsidRDefault="00126BBB" w:rsidP="00126BBB">
      <w:pPr>
        <w:rPr>
          <w:rFonts w:ascii="Arial" w:hAnsi="Arial" w:cs="Arial"/>
          <w:sz w:val="22"/>
          <w:szCs w:val="22"/>
        </w:rPr>
      </w:pPr>
    </w:p>
    <w:p w:rsidR="00D91973" w:rsidRDefault="00D75567" w:rsidP="00D75567">
      <w:pPr>
        <w:rPr>
          <w:rFonts w:ascii="Arial" w:hAnsi="Arial" w:cs="Arial"/>
          <w:sz w:val="22"/>
          <w:szCs w:val="22"/>
        </w:rPr>
      </w:pPr>
      <w:r>
        <w:rPr>
          <w:rFonts w:ascii="Arial" w:hAnsi="Arial" w:cs="Arial"/>
          <w:sz w:val="22"/>
          <w:szCs w:val="22"/>
        </w:rPr>
        <w:t>Submissions indicated general consensu</w:t>
      </w:r>
      <w:r w:rsidR="003717F7">
        <w:rPr>
          <w:rFonts w:ascii="Arial" w:hAnsi="Arial" w:cs="Arial"/>
          <w:sz w:val="22"/>
          <w:szCs w:val="22"/>
        </w:rPr>
        <w:t xml:space="preserve">s for a risk-based approach to </w:t>
      </w:r>
      <w:r>
        <w:rPr>
          <w:rFonts w:ascii="Arial" w:hAnsi="Arial" w:cs="Arial"/>
          <w:sz w:val="22"/>
          <w:szCs w:val="22"/>
        </w:rPr>
        <w:t>post-accreditation audits</w:t>
      </w:r>
      <w:r w:rsidR="00FE7F72">
        <w:rPr>
          <w:rFonts w:ascii="Arial" w:hAnsi="Arial" w:cs="Arial"/>
          <w:sz w:val="22"/>
          <w:szCs w:val="22"/>
        </w:rPr>
        <w:t xml:space="preserve"> although stakeholders agreed it is important to ensure all companies continue to have FSO site audits.</w:t>
      </w:r>
      <w:r>
        <w:rPr>
          <w:rFonts w:ascii="Arial" w:hAnsi="Arial" w:cs="Arial"/>
          <w:sz w:val="22"/>
          <w:szCs w:val="22"/>
        </w:rPr>
        <w:t xml:space="preserve"> A</w:t>
      </w:r>
      <w:r w:rsidRPr="001A1425">
        <w:rPr>
          <w:rFonts w:ascii="Arial" w:hAnsi="Arial" w:cs="Arial"/>
          <w:sz w:val="22"/>
          <w:szCs w:val="22"/>
        </w:rPr>
        <w:t xml:space="preserve"> schedule of audits </w:t>
      </w:r>
      <w:r w:rsidR="00D91973">
        <w:rPr>
          <w:rFonts w:ascii="Arial" w:hAnsi="Arial" w:cs="Arial"/>
          <w:sz w:val="22"/>
          <w:szCs w:val="22"/>
        </w:rPr>
        <w:t xml:space="preserve">and compliance load commensurate with </w:t>
      </w:r>
      <w:r w:rsidRPr="001A1425">
        <w:rPr>
          <w:rFonts w:ascii="Arial" w:hAnsi="Arial" w:cs="Arial"/>
          <w:sz w:val="22"/>
          <w:szCs w:val="22"/>
        </w:rPr>
        <w:t xml:space="preserve">a risk assessment of the company’s performance </w:t>
      </w:r>
      <w:r>
        <w:rPr>
          <w:rFonts w:ascii="Arial" w:hAnsi="Arial" w:cs="Arial"/>
          <w:sz w:val="22"/>
          <w:szCs w:val="22"/>
        </w:rPr>
        <w:t xml:space="preserve">was supported by MBA, ACA, CCF and Ai Group. </w:t>
      </w:r>
      <w:r w:rsidR="00D91973">
        <w:rPr>
          <w:rFonts w:ascii="Arial" w:hAnsi="Arial" w:cs="Arial"/>
          <w:sz w:val="22"/>
          <w:szCs w:val="22"/>
        </w:rPr>
        <w:t>The details of a risk-based post accreditation model would be further developed in consultation with stakeholders, and it is proposed that the guiding principles would be to:</w:t>
      </w:r>
    </w:p>
    <w:p w:rsidR="00D91973" w:rsidRDefault="00D91973" w:rsidP="00D75567">
      <w:pPr>
        <w:rPr>
          <w:rFonts w:ascii="Arial" w:hAnsi="Arial" w:cs="Arial"/>
          <w:sz w:val="22"/>
          <w:szCs w:val="22"/>
        </w:rPr>
      </w:pPr>
    </w:p>
    <w:p w:rsidR="00D91973" w:rsidRPr="00D91973" w:rsidRDefault="00D91973" w:rsidP="008C1B31">
      <w:pPr>
        <w:pStyle w:val="ListParagraph"/>
        <w:numPr>
          <w:ilvl w:val="0"/>
          <w:numId w:val="15"/>
        </w:numPr>
        <w:rPr>
          <w:rFonts w:ascii="Arial" w:hAnsi="Arial" w:cs="Arial"/>
        </w:rPr>
      </w:pPr>
      <w:r w:rsidRPr="00D91973">
        <w:rPr>
          <w:rFonts w:ascii="Arial" w:hAnsi="Arial" w:cs="Arial"/>
        </w:rPr>
        <w:t>reduce the audit and compliance burden for “low risk” companies;</w:t>
      </w:r>
    </w:p>
    <w:p w:rsidR="00D91973" w:rsidRPr="00D91973" w:rsidRDefault="00415C56" w:rsidP="008C1B31">
      <w:pPr>
        <w:pStyle w:val="ListParagraph"/>
        <w:numPr>
          <w:ilvl w:val="0"/>
          <w:numId w:val="15"/>
        </w:numPr>
        <w:rPr>
          <w:rFonts w:ascii="Arial" w:hAnsi="Arial" w:cs="Arial"/>
        </w:rPr>
      </w:pPr>
      <w:r>
        <w:rPr>
          <w:rFonts w:ascii="Arial" w:hAnsi="Arial" w:cs="Arial"/>
        </w:rPr>
        <w:t xml:space="preserve">redirect more </w:t>
      </w:r>
      <w:r w:rsidR="00D91973" w:rsidRPr="00D91973">
        <w:rPr>
          <w:rFonts w:ascii="Arial" w:hAnsi="Arial" w:cs="Arial"/>
        </w:rPr>
        <w:t xml:space="preserve">audit resources and support </w:t>
      </w:r>
      <w:r>
        <w:rPr>
          <w:rFonts w:ascii="Arial" w:hAnsi="Arial" w:cs="Arial"/>
        </w:rPr>
        <w:t xml:space="preserve">towards the other </w:t>
      </w:r>
      <w:r w:rsidR="00D91973" w:rsidRPr="00D91973">
        <w:rPr>
          <w:rFonts w:ascii="Arial" w:hAnsi="Arial" w:cs="Arial"/>
        </w:rPr>
        <w:t>companies; and</w:t>
      </w:r>
    </w:p>
    <w:p w:rsidR="00D75567" w:rsidRPr="00D91973" w:rsidRDefault="00D91973" w:rsidP="008C1B31">
      <w:pPr>
        <w:pStyle w:val="ListParagraph"/>
        <w:numPr>
          <w:ilvl w:val="0"/>
          <w:numId w:val="15"/>
        </w:numPr>
        <w:rPr>
          <w:rFonts w:ascii="Arial" w:hAnsi="Arial" w:cs="Arial"/>
        </w:rPr>
      </w:pPr>
      <w:r w:rsidRPr="00D91973">
        <w:rPr>
          <w:rFonts w:ascii="Arial" w:hAnsi="Arial" w:cs="Arial"/>
        </w:rPr>
        <w:t xml:space="preserve">increase the </w:t>
      </w:r>
      <w:r w:rsidR="00415C56">
        <w:rPr>
          <w:rFonts w:ascii="Arial" w:hAnsi="Arial" w:cs="Arial"/>
        </w:rPr>
        <w:t xml:space="preserve">overall </w:t>
      </w:r>
      <w:r w:rsidRPr="00D91973">
        <w:rPr>
          <w:rFonts w:ascii="Arial" w:hAnsi="Arial" w:cs="Arial"/>
        </w:rPr>
        <w:t xml:space="preserve">frequency </w:t>
      </w:r>
      <w:r w:rsidR="00415C56">
        <w:rPr>
          <w:rFonts w:ascii="Arial" w:hAnsi="Arial" w:cs="Arial"/>
        </w:rPr>
        <w:t xml:space="preserve">and regularity </w:t>
      </w:r>
      <w:r w:rsidRPr="00D91973">
        <w:rPr>
          <w:rFonts w:ascii="Arial" w:hAnsi="Arial" w:cs="Arial"/>
        </w:rPr>
        <w:t xml:space="preserve">of site audits for all companies.   </w:t>
      </w:r>
    </w:p>
    <w:p w:rsidR="00415C56" w:rsidRDefault="007B0FE5" w:rsidP="00126BBB">
      <w:pPr>
        <w:rPr>
          <w:rFonts w:ascii="Arial" w:hAnsi="Arial" w:cs="Arial"/>
          <w:sz w:val="22"/>
          <w:szCs w:val="22"/>
        </w:rPr>
      </w:pPr>
      <w:r>
        <w:rPr>
          <w:rFonts w:ascii="Arial" w:hAnsi="Arial" w:cs="Arial"/>
          <w:sz w:val="22"/>
          <w:szCs w:val="22"/>
        </w:rPr>
        <w:t>The current standardised reaccreditation process generally re</w:t>
      </w:r>
      <w:r w:rsidR="00FE7F72">
        <w:rPr>
          <w:rFonts w:ascii="Arial" w:hAnsi="Arial" w:cs="Arial"/>
          <w:sz w:val="22"/>
          <w:szCs w:val="22"/>
        </w:rPr>
        <w:t>sults in</w:t>
      </w:r>
      <w:r>
        <w:rPr>
          <w:rFonts w:ascii="Arial" w:hAnsi="Arial" w:cs="Arial"/>
          <w:sz w:val="22"/>
          <w:szCs w:val="22"/>
        </w:rPr>
        <w:t xml:space="preserve"> multiple days of audits for all companies every three years. </w:t>
      </w:r>
      <w:r w:rsidR="00415C56">
        <w:rPr>
          <w:rFonts w:ascii="Arial" w:hAnsi="Arial" w:cs="Arial"/>
          <w:sz w:val="22"/>
          <w:szCs w:val="22"/>
        </w:rPr>
        <w:t xml:space="preserve">This has resulted in a high concentration of audit resources at the </w:t>
      </w:r>
      <w:r w:rsidR="00FE7F72">
        <w:rPr>
          <w:rFonts w:ascii="Arial" w:hAnsi="Arial" w:cs="Arial"/>
          <w:sz w:val="22"/>
          <w:szCs w:val="22"/>
        </w:rPr>
        <w:t>reaccreditation phase</w:t>
      </w:r>
      <w:r w:rsidR="00415C56">
        <w:rPr>
          <w:rFonts w:ascii="Arial" w:hAnsi="Arial" w:cs="Arial"/>
          <w:sz w:val="22"/>
          <w:szCs w:val="22"/>
        </w:rPr>
        <w:t xml:space="preserve">. As shown in Table </w:t>
      </w:r>
      <w:r w:rsidR="00FE7F72">
        <w:rPr>
          <w:rFonts w:ascii="Arial" w:hAnsi="Arial" w:cs="Arial"/>
          <w:sz w:val="22"/>
          <w:szCs w:val="22"/>
        </w:rPr>
        <w:t>4</w:t>
      </w:r>
      <w:r w:rsidR="00415C56">
        <w:rPr>
          <w:rFonts w:ascii="Arial" w:hAnsi="Arial" w:cs="Arial"/>
          <w:sz w:val="22"/>
          <w:szCs w:val="22"/>
        </w:rPr>
        <w:t xml:space="preserve">, as the number of accredited companies has increased over time, this has resulted in a significant decrease in resources available for audits in the three years between accreditation and </w:t>
      </w:r>
      <w:r w:rsidR="008F3909">
        <w:rPr>
          <w:rFonts w:ascii="Arial" w:hAnsi="Arial" w:cs="Arial"/>
          <w:sz w:val="22"/>
          <w:szCs w:val="22"/>
        </w:rPr>
        <w:t>reaccreditation</w:t>
      </w:r>
      <w:r w:rsidR="00415C56">
        <w:rPr>
          <w:rFonts w:ascii="Arial" w:hAnsi="Arial" w:cs="Arial"/>
          <w:sz w:val="22"/>
          <w:szCs w:val="22"/>
        </w:rPr>
        <w:t>.</w:t>
      </w:r>
    </w:p>
    <w:p w:rsidR="00415C56" w:rsidRDefault="00415C56" w:rsidP="00126BBB">
      <w:pPr>
        <w:rPr>
          <w:rFonts w:ascii="Arial" w:hAnsi="Arial" w:cs="Arial"/>
          <w:sz w:val="22"/>
          <w:szCs w:val="22"/>
        </w:rPr>
      </w:pPr>
    </w:p>
    <w:p w:rsidR="00C24C70" w:rsidRDefault="00415C56" w:rsidP="00126BBB">
      <w:pPr>
        <w:rPr>
          <w:rFonts w:ascii="Arial" w:hAnsi="Arial" w:cs="Arial"/>
          <w:sz w:val="22"/>
          <w:szCs w:val="22"/>
        </w:rPr>
      </w:pPr>
      <w:r>
        <w:rPr>
          <w:rFonts w:ascii="Arial" w:hAnsi="Arial" w:cs="Arial"/>
          <w:sz w:val="22"/>
          <w:szCs w:val="22"/>
        </w:rPr>
        <w:t xml:space="preserve">By removing this standardised approach to reaccreditation, the concentration of audit effort at the three-yearly phase could be re-directed </w:t>
      </w:r>
      <w:r w:rsidR="00C24C70">
        <w:rPr>
          <w:rFonts w:ascii="Arial" w:hAnsi="Arial" w:cs="Arial"/>
          <w:sz w:val="22"/>
          <w:szCs w:val="22"/>
        </w:rPr>
        <w:t>to achieve the twin benefits of targeting extra resources to companies most needing it, while increasing the frequency and regularity of site audits for all companies. H</w:t>
      </w:r>
      <w:r>
        <w:rPr>
          <w:rFonts w:ascii="Arial" w:hAnsi="Arial" w:cs="Arial"/>
          <w:sz w:val="22"/>
          <w:szCs w:val="22"/>
        </w:rPr>
        <w:t xml:space="preserve">igh-performing companies (i.e. those assessed as ‘low risk’) </w:t>
      </w:r>
      <w:r w:rsidR="00C24C70">
        <w:rPr>
          <w:rFonts w:ascii="Arial" w:hAnsi="Arial" w:cs="Arial"/>
          <w:sz w:val="22"/>
          <w:szCs w:val="22"/>
        </w:rPr>
        <w:t xml:space="preserve">would have a net reduction in </w:t>
      </w:r>
      <w:r>
        <w:rPr>
          <w:rFonts w:ascii="Arial" w:hAnsi="Arial" w:cs="Arial"/>
          <w:sz w:val="22"/>
          <w:szCs w:val="22"/>
        </w:rPr>
        <w:t xml:space="preserve">total audit days over time, </w:t>
      </w:r>
      <w:r w:rsidR="00C24C70">
        <w:rPr>
          <w:rFonts w:ascii="Arial" w:hAnsi="Arial" w:cs="Arial"/>
          <w:sz w:val="22"/>
          <w:szCs w:val="22"/>
        </w:rPr>
        <w:t>as a result of not hav</w:t>
      </w:r>
      <w:r w:rsidR="00AB4FDE">
        <w:rPr>
          <w:rFonts w:ascii="Arial" w:hAnsi="Arial" w:cs="Arial"/>
          <w:sz w:val="22"/>
          <w:szCs w:val="22"/>
        </w:rPr>
        <w:t>ing</w:t>
      </w:r>
      <w:r w:rsidR="00C24C70">
        <w:rPr>
          <w:rFonts w:ascii="Arial" w:hAnsi="Arial" w:cs="Arial"/>
          <w:sz w:val="22"/>
          <w:szCs w:val="22"/>
        </w:rPr>
        <w:t xml:space="preserve"> multiple audit days every three years. The resources available to be re-directed from this approach should </w:t>
      </w:r>
      <w:r>
        <w:rPr>
          <w:rFonts w:ascii="Arial" w:hAnsi="Arial" w:cs="Arial"/>
          <w:sz w:val="22"/>
          <w:szCs w:val="22"/>
        </w:rPr>
        <w:t>ensur</w:t>
      </w:r>
      <w:r w:rsidR="00C24C70">
        <w:rPr>
          <w:rFonts w:ascii="Arial" w:hAnsi="Arial" w:cs="Arial"/>
          <w:sz w:val="22"/>
          <w:szCs w:val="22"/>
        </w:rPr>
        <w:t xml:space="preserve">e that </w:t>
      </w:r>
      <w:r>
        <w:rPr>
          <w:rFonts w:ascii="Arial" w:hAnsi="Arial" w:cs="Arial"/>
          <w:sz w:val="22"/>
          <w:szCs w:val="22"/>
        </w:rPr>
        <w:t xml:space="preserve">all companies </w:t>
      </w:r>
      <w:r w:rsidR="00C24C70">
        <w:rPr>
          <w:rFonts w:ascii="Arial" w:hAnsi="Arial" w:cs="Arial"/>
          <w:sz w:val="22"/>
          <w:szCs w:val="22"/>
        </w:rPr>
        <w:t xml:space="preserve">are visited by an FSO for </w:t>
      </w:r>
      <w:r>
        <w:rPr>
          <w:rFonts w:ascii="Arial" w:hAnsi="Arial" w:cs="Arial"/>
          <w:sz w:val="22"/>
          <w:szCs w:val="22"/>
        </w:rPr>
        <w:t xml:space="preserve">a </w:t>
      </w:r>
      <w:r w:rsidR="00AB4FDE">
        <w:rPr>
          <w:rFonts w:ascii="Arial" w:hAnsi="Arial" w:cs="Arial"/>
          <w:sz w:val="22"/>
          <w:szCs w:val="22"/>
        </w:rPr>
        <w:t xml:space="preserve">single day </w:t>
      </w:r>
      <w:r>
        <w:rPr>
          <w:rFonts w:ascii="Arial" w:hAnsi="Arial" w:cs="Arial"/>
          <w:sz w:val="22"/>
          <w:szCs w:val="22"/>
        </w:rPr>
        <w:t>site audit at least every 12 to 18 months</w:t>
      </w:r>
      <w:r w:rsidR="00C24C70">
        <w:rPr>
          <w:rFonts w:ascii="Arial" w:hAnsi="Arial" w:cs="Arial"/>
          <w:sz w:val="22"/>
          <w:szCs w:val="22"/>
        </w:rPr>
        <w:t xml:space="preserve"> (some currently have no audits for three years), with more frequent and longer audits for companies that require it. </w:t>
      </w:r>
    </w:p>
    <w:p w:rsidR="00C24C70" w:rsidRDefault="00C24C70" w:rsidP="00126BBB">
      <w:pPr>
        <w:rPr>
          <w:rFonts w:ascii="Arial" w:hAnsi="Arial" w:cs="Arial"/>
          <w:sz w:val="22"/>
          <w:szCs w:val="22"/>
        </w:rPr>
      </w:pPr>
    </w:p>
    <w:p w:rsidR="00FE7F72" w:rsidRDefault="00C24C70" w:rsidP="00126BBB">
      <w:pPr>
        <w:rPr>
          <w:rFonts w:ascii="Arial" w:hAnsi="Arial" w:cs="Arial"/>
          <w:sz w:val="22"/>
          <w:szCs w:val="22"/>
        </w:rPr>
      </w:pPr>
      <w:r>
        <w:rPr>
          <w:rFonts w:ascii="Arial" w:hAnsi="Arial" w:cs="Arial"/>
          <w:sz w:val="22"/>
          <w:szCs w:val="22"/>
        </w:rPr>
        <w:t xml:space="preserve">This model would improve safety outcomes and increase the integrity of the Scheme by increasing the </w:t>
      </w:r>
      <w:r w:rsidR="00FE7F72">
        <w:rPr>
          <w:rFonts w:ascii="Arial" w:hAnsi="Arial" w:cs="Arial"/>
          <w:sz w:val="22"/>
          <w:szCs w:val="22"/>
        </w:rPr>
        <w:t xml:space="preserve">frequency of audits for all companies and providing an increased focus on companies having difficulty maintaining satisfactory standards. </w:t>
      </w:r>
    </w:p>
    <w:p w:rsidR="00FE7F72" w:rsidRDefault="00FE7F72" w:rsidP="00126BBB">
      <w:pPr>
        <w:rPr>
          <w:rFonts w:ascii="Arial" w:hAnsi="Arial" w:cs="Arial"/>
          <w:sz w:val="22"/>
          <w:szCs w:val="22"/>
        </w:rPr>
      </w:pPr>
    </w:p>
    <w:p w:rsidR="00C24C70" w:rsidRDefault="00FE7F72" w:rsidP="00126BBB">
      <w:pPr>
        <w:rPr>
          <w:rFonts w:ascii="Arial" w:hAnsi="Arial" w:cs="Arial"/>
          <w:sz w:val="22"/>
          <w:szCs w:val="22"/>
        </w:rPr>
      </w:pPr>
      <w:r>
        <w:rPr>
          <w:rFonts w:ascii="Arial" w:hAnsi="Arial" w:cs="Arial"/>
          <w:sz w:val="22"/>
          <w:szCs w:val="22"/>
        </w:rPr>
        <w:t>It would reduce the regulatory burden for all companies by eliminating the considerable paper work currently required at the reaccreditation phase, and reduce the audit and compliance monitoring burden for ‘low risk’ companies.</w:t>
      </w:r>
    </w:p>
    <w:p w:rsidR="00C24C70" w:rsidRDefault="00C24C70" w:rsidP="00126BBB">
      <w:pPr>
        <w:rPr>
          <w:rFonts w:ascii="Arial" w:hAnsi="Arial" w:cs="Arial"/>
          <w:sz w:val="22"/>
          <w:szCs w:val="22"/>
        </w:rPr>
      </w:pPr>
    </w:p>
    <w:p w:rsidR="005563C0" w:rsidRDefault="003717F7" w:rsidP="005563C0">
      <w:pPr>
        <w:rPr>
          <w:rFonts w:ascii="Arial" w:hAnsi="Arial" w:cs="Arial"/>
          <w:sz w:val="22"/>
          <w:szCs w:val="22"/>
        </w:rPr>
      </w:pPr>
      <w:r>
        <w:rPr>
          <w:rFonts w:ascii="Arial" w:hAnsi="Arial" w:cs="Arial"/>
          <w:sz w:val="22"/>
          <w:szCs w:val="22"/>
        </w:rPr>
        <w:t>A risk-based assessment and audit schedule</w:t>
      </w:r>
      <w:r w:rsidR="005563C0" w:rsidRPr="001A1425">
        <w:rPr>
          <w:rFonts w:ascii="Arial" w:hAnsi="Arial" w:cs="Arial"/>
          <w:sz w:val="22"/>
          <w:szCs w:val="22"/>
        </w:rPr>
        <w:t xml:space="preserve"> </w:t>
      </w:r>
      <w:r w:rsidR="005563C0">
        <w:rPr>
          <w:rFonts w:ascii="Arial" w:hAnsi="Arial" w:cs="Arial"/>
          <w:sz w:val="22"/>
          <w:szCs w:val="22"/>
        </w:rPr>
        <w:t xml:space="preserve">would </w:t>
      </w:r>
      <w:r w:rsidR="005563C0" w:rsidRPr="001A1425">
        <w:rPr>
          <w:rFonts w:ascii="Arial" w:hAnsi="Arial" w:cs="Arial"/>
          <w:sz w:val="22"/>
          <w:szCs w:val="22"/>
        </w:rPr>
        <w:t xml:space="preserve">provide a better picture of a company’s performance over the life of its accreditation and </w:t>
      </w:r>
      <w:r>
        <w:rPr>
          <w:rFonts w:ascii="Arial" w:hAnsi="Arial" w:cs="Arial"/>
          <w:sz w:val="22"/>
          <w:szCs w:val="22"/>
        </w:rPr>
        <w:t>would</w:t>
      </w:r>
      <w:r w:rsidR="005563C0" w:rsidRPr="001A1425">
        <w:rPr>
          <w:rFonts w:ascii="Arial" w:hAnsi="Arial" w:cs="Arial"/>
          <w:sz w:val="22"/>
          <w:szCs w:val="22"/>
        </w:rPr>
        <w:t xml:space="preserve"> address </w:t>
      </w:r>
      <w:r>
        <w:rPr>
          <w:rFonts w:ascii="Arial" w:hAnsi="Arial" w:cs="Arial"/>
          <w:sz w:val="22"/>
          <w:szCs w:val="22"/>
        </w:rPr>
        <w:t xml:space="preserve">more efficiently </w:t>
      </w:r>
      <w:r w:rsidR="004D67E0">
        <w:rPr>
          <w:rFonts w:ascii="Arial" w:hAnsi="Arial" w:cs="Arial"/>
          <w:sz w:val="22"/>
          <w:szCs w:val="22"/>
        </w:rPr>
        <w:t xml:space="preserve">any </w:t>
      </w:r>
      <w:r w:rsidR="005563C0" w:rsidRPr="001A1425">
        <w:rPr>
          <w:rFonts w:ascii="Arial" w:hAnsi="Arial" w:cs="Arial"/>
          <w:sz w:val="22"/>
          <w:szCs w:val="22"/>
        </w:rPr>
        <w:t xml:space="preserve">concern that companies do not maintain the high standards required to achieve accreditation during the accreditation period. </w:t>
      </w:r>
    </w:p>
    <w:p w:rsidR="006B3200" w:rsidRDefault="006B3200" w:rsidP="00CE034B">
      <w:pPr>
        <w:rPr>
          <w:rFonts w:ascii="Arial" w:hAnsi="Arial" w:cs="Arial"/>
          <w:sz w:val="22"/>
          <w:szCs w:val="22"/>
          <w:lang w:eastAsia="en-US"/>
        </w:rPr>
      </w:pPr>
    </w:p>
    <w:p w:rsidR="003717F7" w:rsidRDefault="00914523" w:rsidP="006B3200">
      <w:pPr>
        <w:rPr>
          <w:rFonts w:ascii="Arial" w:hAnsi="Arial" w:cs="Arial"/>
          <w:sz w:val="22"/>
          <w:szCs w:val="22"/>
          <w:lang w:eastAsia="en-US"/>
        </w:rPr>
      </w:pPr>
      <w:r>
        <w:rPr>
          <w:rFonts w:ascii="Arial" w:hAnsi="Arial" w:cs="Arial"/>
          <w:sz w:val="22"/>
          <w:szCs w:val="22"/>
          <w:lang w:eastAsia="en-US"/>
        </w:rPr>
        <w:t>Such an</w:t>
      </w:r>
      <w:r w:rsidR="00753B9F">
        <w:rPr>
          <w:rFonts w:ascii="Arial" w:hAnsi="Arial" w:cs="Arial"/>
          <w:sz w:val="22"/>
          <w:szCs w:val="22"/>
          <w:lang w:eastAsia="en-US"/>
        </w:rPr>
        <w:t xml:space="preserve"> approach </w:t>
      </w:r>
      <w:r>
        <w:rPr>
          <w:rFonts w:ascii="Arial" w:hAnsi="Arial" w:cs="Arial"/>
          <w:sz w:val="22"/>
          <w:szCs w:val="22"/>
          <w:lang w:eastAsia="en-US"/>
        </w:rPr>
        <w:t>would need to be well</w:t>
      </w:r>
      <w:r w:rsidR="00F01F2A">
        <w:rPr>
          <w:rFonts w:ascii="Arial" w:hAnsi="Arial" w:cs="Arial"/>
          <w:sz w:val="22"/>
          <w:szCs w:val="22"/>
          <w:lang w:eastAsia="en-US"/>
        </w:rPr>
        <w:t>-</w:t>
      </w:r>
      <w:r>
        <w:rPr>
          <w:rFonts w:ascii="Arial" w:hAnsi="Arial" w:cs="Arial"/>
          <w:sz w:val="22"/>
          <w:szCs w:val="22"/>
          <w:lang w:eastAsia="en-US"/>
        </w:rPr>
        <w:t>defined and transparent, to</w:t>
      </w:r>
      <w:r w:rsidR="00753B9F">
        <w:rPr>
          <w:rFonts w:ascii="Arial" w:hAnsi="Arial" w:cs="Arial"/>
          <w:sz w:val="22"/>
          <w:szCs w:val="22"/>
          <w:lang w:eastAsia="en-US"/>
        </w:rPr>
        <w:t xml:space="preserve"> avoid </w:t>
      </w:r>
      <w:r w:rsidR="00F01F2A">
        <w:rPr>
          <w:rFonts w:ascii="Arial" w:hAnsi="Arial" w:cs="Arial"/>
          <w:sz w:val="22"/>
          <w:szCs w:val="22"/>
          <w:lang w:eastAsia="en-US"/>
        </w:rPr>
        <w:t>any</w:t>
      </w:r>
      <w:r w:rsidR="00753B9F">
        <w:rPr>
          <w:rFonts w:ascii="Arial" w:hAnsi="Arial" w:cs="Arial"/>
          <w:sz w:val="22"/>
          <w:szCs w:val="22"/>
          <w:lang w:eastAsia="en-US"/>
        </w:rPr>
        <w:t xml:space="preserve"> perception that checks and balances have been removed and companies demonstrating poor safety standards </w:t>
      </w:r>
      <w:r w:rsidR="00561754">
        <w:rPr>
          <w:rFonts w:ascii="Arial" w:hAnsi="Arial" w:cs="Arial"/>
          <w:sz w:val="22"/>
          <w:szCs w:val="22"/>
          <w:lang w:eastAsia="en-US"/>
        </w:rPr>
        <w:t>would</w:t>
      </w:r>
      <w:r w:rsidR="00753B9F">
        <w:rPr>
          <w:rFonts w:ascii="Arial" w:hAnsi="Arial" w:cs="Arial"/>
          <w:sz w:val="22"/>
          <w:szCs w:val="22"/>
          <w:lang w:eastAsia="en-US"/>
        </w:rPr>
        <w:t xml:space="preserve"> not </w:t>
      </w:r>
      <w:r w:rsidR="00561754">
        <w:rPr>
          <w:rFonts w:ascii="Arial" w:hAnsi="Arial" w:cs="Arial"/>
          <w:sz w:val="22"/>
          <w:szCs w:val="22"/>
          <w:lang w:eastAsia="en-US"/>
        </w:rPr>
        <w:t xml:space="preserve">be </w:t>
      </w:r>
      <w:r w:rsidR="00753B9F">
        <w:rPr>
          <w:rFonts w:ascii="Arial" w:hAnsi="Arial" w:cs="Arial"/>
          <w:sz w:val="22"/>
          <w:szCs w:val="22"/>
          <w:lang w:eastAsia="en-US"/>
        </w:rPr>
        <w:t xml:space="preserve">identified and monitored appropriately. </w:t>
      </w:r>
    </w:p>
    <w:p w:rsidR="003717F7" w:rsidRDefault="003717F7" w:rsidP="006B3200">
      <w:pPr>
        <w:rPr>
          <w:rFonts w:ascii="Arial" w:hAnsi="Arial" w:cs="Arial"/>
          <w:sz w:val="22"/>
          <w:szCs w:val="22"/>
          <w:lang w:eastAsia="en-US"/>
        </w:rPr>
      </w:pPr>
    </w:p>
    <w:p w:rsidR="00561754" w:rsidRDefault="00753B9F" w:rsidP="006B3200">
      <w:pPr>
        <w:rPr>
          <w:rFonts w:ascii="Arial" w:hAnsi="Arial" w:cs="Arial"/>
          <w:sz w:val="22"/>
          <w:szCs w:val="22"/>
          <w:lang w:eastAsia="en-US"/>
        </w:rPr>
      </w:pPr>
      <w:r>
        <w:rPr>
          <w:rFonts w:ascii="Arial" w:hAnsi="Arial" w:cs="Arial"/>
          <w:sz w:val="22"/>
          <w:szCs w:val="22"/>
          <w:lang w:eastAsia="en-US"/>
        </w:rPr>
        <w:t>Any new approach w</w:t>
      </w:r>
      <w:r w:rsidR="00561754">
        <w:rPr>
          <w:rFonts w:ascii="Arial" w:hAnsi="Arial" w:cs="Arial"/>
          <w:sz w:val="22"/>
          <w:szCs w:val="22"/>
          <w:lang w:eastAsia="en-US"/>
        </w:rPr>
        <w:t>ould</w:t>
      </w:r>
      <w:r>
        <w:rPr>
          <w:rFonts w:ascii="Arial" w:hAnsi="Arial" w:cs="Arial"/>
          <w:sz w:val="22"/>
          <w:szCs w:val="22"/>
          <w:lang w:eastAsia="en-US"/>
        </w:rPr>
        <w:t xml:space="preserve"> carry with it </w:t>
      </w:r>
      <w:r w:rsidR="00995575">
        <w:rPr>
          <w:rFonts w:ascii="Arial" w:hAnsi="Arial" w:cs="Arial"/>
          <w:sz w:val="22"/>
          <w:szCs w:val="22"/>
          <w:lang w:eastAsia="en-US"/>
        </w:rPr>
        <w:t xml:space="preserve">the risk </w:t>
      </w:r>
      <w:r w:rsidR="002F2C5D">
        <w:rPr>
          <w:rFonts w:ascii="Arial" w:hAnsi="Arial" w:cs="Arial"/>
          <w:sz w:val="22"/>
          <w:szCs w:val="22"/>
          <w:lang w:eastAsia="en-US"/>
        </w:rPr>
        <w:t>to</w:t>
      </w:r>
      <w:r w:rsidR="00995575">
        <w:rPr>
          <w:rFonts w:ascii="Arial" w:hAnsi="Arial" w:cs="Arial"/>
          <w:sz w:val="22"/>
          <w:szCs w:val="22"/>
          <w:lang w:eastAsia="en-US"/>
        </w:rPr>
        <w:t xml:space="preserve"> </w:t>
      </w:r>
      <w:r w:rsidR="006B3200" w:rsidRPr="006B3200">
        <w:rPr>
          <w:rFonts w:ascii="Arial" w:hAnsi="Arial" w:cs="Arial"/>
          <w:sz w:val="22"/>
          <w:szCs w:val="22"/>
          <w:lang w:eastAsia="en-US"/>
        </w:rPr>
        <w:t xml:space="preserve">accredited companies </w:t>
      </w:r>
      <w:r w:rsidR="002F2C5D">
        <w:rPr>
          <w:rFonts w:ascii="Arial" w:hAnsi="Arial" w:cs="Arial"/>
          <w:sz w:val="22"/>
          <w:szCs w:val="22"/>
          <w:lang w:eastAsia="en-US"/>
        </w:rPr>
        <w:t xml:space="preserve">that they </w:t>
      </w:r>
      <w:r w:rsidR="006B3200" w:rsidRPr="006B3200">
        <w:rPr>
          <w:rFonts w:ascii="Arial" w:hAnsi="Arial" w:cs="Arial"/>
          <w:sz w:val="22"/>
          <w:szCs w:val="22"/>
          <w:lang w:eastAsia="en-US"/>
        </w:rPr>
        <w:t>could lose their accreditation</w:t>
      </w:r>
      <w:r w:rsidR="00FA60D9">
        <w:rPr>
          <w:rFonts w:ascii="Arial" w:hAnsi="Arial" w:cs="Arial"/>
          <w:sz w:val="22"/>
          <w:szCs w:val="22"/>
          <w:lang w:eastAsia="en-US"/>
        </w:rPr>
        <w:t xml:space="preserve"> and therefore</w:t>
      </w:r>
      <w:r w:rsidR="006B3200" w:rsidRPr="006B3200">
        <w:rPr>
          <w:rFonts w:ascii="Arial" w:hAnsi="Arial" w:cs="Arial"/>
          <w:sz w:val="22"/>
          <w:szCs w:val="22"/>
          <w:lang w:eastAsia="en-US"/>
        </w:rPr>
        <w:t xml:space="preserve"> </w:t>
      </w:r>
      <w:r w:rsidR="00FA60D9">
        <w:rPr>
          <w:rFonts w:ascii="Arial" w:hAnsi="Arial" w:cs="Arial"/>
          <w:sz w:val="22"/>
          <w:szCs w:val="22"/>
          <w:lang w:eastAsia="en-US"/>
        </w:rPr>
        <w:t xml:space="preserve">the capacity to bid for Commonwealth Government funded building work </w:t>
      </w:r>
      <w:r w:rsidR="00995575">
        <w:rPr>
          <w:rFonts w:ascii="Arial" w:hAnsi="Arial" w:cs="Arial"/>
          <w:sz w:val="22"/>
          <w:szCs w:val="22"/>
          <w:lang w:eastAsia="en-US"/>
        </w:rPr>
        <w:t>at any time after their initial accreditation</w:t>
      </w:r>
      <w:r w:rsidR="006B3200" w:rsidRPr="006B3200">
        <w:rPr>
          <w:rFonts w:ascii="Arial" w:hAnsi="Arial" w:cs="Arial"/>
          <w:sz w:val="22"/>
          <w:szCs w:val="22"/>
          <w:lang w:eastAsia="en-US"/>
        </w:rPr>
        <w:t xml:space="preserve">. The risk of this </w:t>
      </w:r>
      <w:r w:rsidR="002A7F27">
        <w:rPr>
          <w:rFonts w:ascii="Arial" w:hAnsi="Arial" w:cs="Arial"/>
          <w:sz w:val="22"/>
          <w:szCs w:val="22"/>
          <w:lang w:eastAsia="en-US"/>
        </w:rPr>
        <w:t xml:space="preserve">occurring </w:t>
      </w:r>
      <w:r w:rsidR="006B3200" w:rsidRPr="006B3200">
        <w:rPr>
          <w:rFonts w:ascii="Arial" w:hAnsi="Arial" w:cs="Arial"/>
          <w:sz w:val="22"/>
          <w:szCs w:val="22"/>
          <w:lang w:eastAsia="en-US"/>
        </w:rPr>
        <w:t xml:space="preserve">would be part of the incentive for companies to comply </w:t>
      </w:r>
      <w:r w:rsidR="00561754" w:rsidRPr="006B3200">
        <w:rPr>
          <w:rFonts w:ascii="Arial" w:hAnsi="Arial" w:cs="Arial"/>
          <w:sz w:val="22"/>
          <w:szCs w:val="22"/>
          <w:lang w:eastAsia="en-US"/>
        </w:rPr>
        <w:t xml:space="preserve">rigorously </w:t>
      </w:r>
      <w:r w:rsidR="006B3200" w:rsidRPr="006B3200">
        <w:rPr>
          <w:rFonts w:ascii="Arial" w:hAnsi="Arial" w:cs="Arial"/>
          <w:sz w:val="22"/>
          <w:szCs w:val="22"/>
          <w:lang w:eastAsia="en-US"/>
        </w:rPr>
        <w:t>with the Scheme at all times.</w:t>
      </w:r>
      <w:r w:rsidR="002A7F27">
        <w:rPr>
          <w:rFonts w:ascii="Arial" w:hAnsi="Arial" w:cs="Arial"/>
          <w:sz w:val="22"/>
          <w:szCs w:val="22"/>
          <w:lang w:eastAsia="en-US"/>
        </w:rPr>
        <w:t xml:space="preserve"> </w:t>
      </w:r>
    </w:p>
    <w:p w:rsidR="00561754" w:rsidRDefault="00561754" w:rsidP="006B3200">
      <w:pPr>
        <w:rPr>
          <w:rFonts w:ascii="Arial" w:hAnsi="Arial" w:cs="Arial"/>
          <w:sz w:val="22"/>
          <w:szCs w:val="22"/>
          <w:lang w:eastAsia="en-US"/>
        </w:rPr>
      </w:pPr>
    </w:p>
    <w:p w:rsidR="006B3200" w:rsidRDefault="003717F7" w:rsidP="006B3200">
      <w:pPr>
        <w:rPr>
          <w:rFonts w:ascii="Arial" w:hAnsi="Arial" w:cs="Arial"/>
          <w:sz w:val="22"/>
          <w:szCs w:val="22"/>
          <w:lang w:eastAsia="en-US"/>
        </w:rPr>
      </w:pPr>
      <w:r>
        <w:rPr>
          <w:rFonts w:ascii="Arial" w:hAnsi="Arial" w:cs="Arial"/>
          <w:sz w:val="22"/>
          <w:szCs w:val="22"/>
          <w:lang w:eastAsia="en-US"/>
        </w:rPr>
        <w:t>Therefore a</w:t>
      </w:r>
      <w:r w:rsidR="002A7F27">
        <w:rPr>
          <w:rFonts w:ascii="Arial" w:hAnsi="Arial" w:cs="Arial"/>
          <w:sz w:val="22"/>
          <w:szCs w:val="22"/>
          <w:lang w:eastAsia="en-US"/>
        </w:rPr>
        <w:t xml:space="preserve">ny </w:t>
      </w:r>
      <w:r>
        <w:rPr>
          <w:rFonts w:ascii="Arial" w:hAnsi="Arial" w:cs="Arial"/>
          <w:sz w:val="22"/>
          <w:szCs w:val="22"/>
          <w:lang w:eastAsia="en-US"/>
        </w:rPr>
        <w:t>introduction of</w:t>
      </w:r>
      <w:r w:rsidR="002A7F27">
        <w:rPr>
          <w:rFonts w:ascii="Arial" w:hAnsi="Arial" w:cs="Arial"/>
          <w:sz w:val="22"/>
          <w:szCs w:val="22"/>
          <w:lang w:eastAsia="en-US"/>
        </w:rPr>
        <w:t xml:space="preserve"> a risk-based approach </w:t>
      </w:r>
      <w:r w:rsidR="002F2C5D">
        <w:rPr>
          <w:rFonts w:ascii="Arial" w:hAnsi="Arial" w:cs="Arial"/>
          <w:sz w:val="22"/>
          <w:szCs w:val="22"/>
          <w:lang w:eastAsia="en-US"/>
        </w:rPr>
        <w:t>to maintaining accreditation</w:t>
      </w:r>
      <w:r w:rsidR="002A7F27">
        <w:rPr>
          <w:rFonts w:ascii="Arial" w:hAnsi="Arial" w:cs="Arial"/>
          <w:sz w:val="22"/>
          <w:szCs w:val="22"/>
          <w:lang w:eastAsia="en-US"/>
        </w:rPr>
        <w:t xml:space="preserve"> w</w:t>
      </w:r>
      <w:r w:rsidR="00561754">
        <w:rPr>
          <w:rFonts w:ascii="Arial" w:hAnsi="Arial" w:cs="Arial"/>
          <w:sz w:val="22"/>
          <w:szCs w:val="22"/>
          <w:lang w:eastAsia="en-US"/>
        </w:rPr>
        <w:t>ould</w:t>
      </w:r>
      <w:r w:rsidR="002A7F27">
        <w:rPr>
          <w:rFonts w:ascii="Arial" w:hAnsi="Arial" w:cs="Arial"/>
          <w:sz w:val="22"/>
          <w:szCs w:val="22"/>
          <w:lang w:eastAsia="en-US"/>
        </w:rPr>
        <w:t xml:space="preserve"> </w:t>
      </w:r>
      <w:r w:rsidR="00725D76">
        <w:rPr>
          <w:rFonts w:ascii="Arial" w:hAnsi="Arial" w:cs="Arial"/>
          <w:sz w:val="22"/>
          <w:szCs w:val="22"/>
          <w:lang w:eastAsia="en-US"/>
        </w:rPr>
        <w:t xml:space="preserve">need </w:t>
      </w:r>
      <w:r w:rsidR="002A7F27">
        <w:rPr>
          <w:rFonts w:ascii="Arial" w:hAnsi="Arial" w:cs="Arial"/>
          <w:sz w:val="22"/>
          <w:szCs w:val="22"/>
          <w:lang w:eastAsia="en-US"/>
        </w:rPr>
        <w:t xml:space="preserve">to include a comprehensive </w:t>
      </w:r>
      <w:r w:rsidR="00725D76">
        <w:rPr>
          <w:rFonts w:ascii="Arial" w:hAnsi="Arial" w:cs="Arial"/>
          <w:sz w:val="22"/>
          <w:szCs w:val="22"/>
          <w:lang w:eastAsia="en-US"/>
        </w:rPr>
        <w:t>review</w:t>
      </w:r>
      <w:r w:rsidR="002A7F27">
        <w:rPr>
          <w:rFonts w:ascii="Arial" w:hAnsi="Arial" w:cs="Arial"/>
          <w:sz w:val="22"/>
          <w:szCs w:val="22"/>
          <w:lang w:eastAsia="en-US"/>
        </w:rPr>
        <w:t xml:space="preserve"> of the compliance framework and associated actions in the event that an accredited company fails to meet the required standards.</w:t>
      </w:r>
    </w:p>
    <w:p w:rsidR="002A7F27" w:rsidRDefault="002A7F27" w:rsidP="006B3200">
      <w:pPr>
        <w:rPr>
          <w:rFonts w:ascii="Arial" w:hAnsi="Arial" w:cs="Arial"/>
          <w:sz w:val="22"/>
          <w:szCs w:val="22"/>
          <w:lang w:eastAsia="en-US"/>
        </w:rPr>
      </w:pPr>
    </w:p>
    <w:p w:rsidR="002A7F27" w:rsidRPr="009D34E3" w:rsidRDefault="002A7F27" w:rsidP="006B3200">
      <w:pPr>
        <w:rPr>
          <w:rFonts w:ascii="Arial" w:hAnsi="Arial" w:cs="Arial"/>
          <w:color w:val="FF0000"/>
          <w:sz w:val="22"/>
          <w:szCs w:val="22"/>
          <w:lang w:eastAsia="en-US"/>
        </w:rPr>
      </w:pPr>
      <w:r>
        <w:rPr>
          <w:rFonts w:ascii="Arial" w:hAnsi="Arial" w:cs="Arial"/>
          <w:sz w:val="22"/>
          <w:szCs w:val="22"/>
          <w:lang w:val="en-US"/>
        </w:rPr>
        <w:t>While this report outlines</w:t>
      </w:r>
      <w:r w:rsidR="00914523">
        <w:rPr>
          <w:rFonts w:ascii="Arial" w:hAnsi="Arial" w:cs="Arial"/>
          <w:sz w:val="22"/>
          <w:szCs w:val="22"/>
          <w:lang w:val="en-US"/>
        </w:rPr>
        <w:t xml:space="preserve"> below</w:t>
      </w:r>
      <w:r>
        <w:rPr>
          <w:rFonts w:ascii="Arial" w:hAnsi="Arial" w:cs="Arial"/>
          <w:sz w:val="22"/>
          <w:szCs w:val="22"/>
          <w:lang w:val="en-US"/>
        </w:rPr>
        <w:t xml:space="preserve"> some broad parameters </w:t>
      </w:r>
      <w:r w:rsidR="000F09DE">
        <w:rPr>
          <w:rFonts w:ascii="Arial" w:hAnsi="Arial" w:cs="Arial"/>
          <w:sz w:val="22"/>
          <w:szCs w:val="22"/>
          <w:lang w:val="en-US"/>
        </w:rPr>
        <w:t>of</w:t>
      </w:r>
      <w:r>
        <w:rPr>
          <w:rFonts w:ascii="Arial" w:hAnsi="Arial" w:cs="Arial"/>
          <w:sz w:val="22"/>
          <w:szCs w:val="22"/>
          <w:lang w:val="en-US"/>
        </w:rPr>
        <w:t xml:space="preserve"> a new risk-based </w:t>
      </w:r>
      <w:r w:rsidR="005D3659">
        <w:rPr>
          <w:rFonts w:ascii="Arial" w:hAnsi="Arial" w:cs="Arial"/>
          <w:sz w:val="22"/>
          <w:szCs w:val="22"/>
          <w:lang w:val="en-US"/>
        </w:rPr>
        <w:t>approach</w:t>
      </w:r>
      <w:r>
        <w:rPr>
          <w:rFonts w:ascii="Arial" w:hAnsi="Arial" w:cs="Arial"/>
          <w:sz w:val="22"/>
          <w:szCs w:val="22"/>
          <w:lang w:val="en-US"/>
        </w:rPr>
        <w:t xml:space="preserve">, significant work is required to articulate the detail of </w:t>
      </w:r>
      <w:r w:rsidR="00725D76">
        <w:rPr>
          <w:rFonts w:ascii="Arial" w:hAnsi="Arial" w:cs="Arial"/>
          <w:sz w:val="22"/>
          <w:szCs w:val="22"/>
          <w:lang w:val="en-US"/>
        </w:rPr>
        <w:t>a new system of processes and mechanisms</w:t>
      </w:r>
      <w:r w:rsidR="005D3659">
        <w:rPr>
          <w:rFonts w:ascii="Arial" w:hAnsi="Arial" w:cs="Arial"/>
          <w:sz w:val="22"/>
          <w:szCs w:val="22"/>
          <w:lang w:val="en-US"/>
        </w:rPr>
        <w:t xml:space="preserve"> </w:t>
      </w:r>
      <w:r w:rsidR="00914523">
        <w:rPr>
          <w:rFonts w:ascii="Arial" w:hAnsi="Arial" w:cs="Arial"/>
          <w:sz w:val="22"/>
          <w:szCs w:val="22"/>
          <w:lang w:val="en-US"/>
        </w:rPr>
        <w:t>for maintaining accreditation</w:t>
      </w:r>
      <w:r>
        <w:rPr>
          <w:rFonts w:ascii="Arial" w:hAnsi="Arial" w:cs="Arial"/>
          <w:sz w:val="22"/>
          <w:szCs w:val="22"/>
          <w:lang w:val="en-US"/>
        </w:rPr>
        <w:t xml:space="preserve">. </w:t>
      </w:r>
      <w:r w:rsidR="00914523">
        <w:rPr>
          <w:rFonts w:ascii="Arial" w:hAnsi="Arial" w:cs="Arial"/>
          <w:sz w:val="22"/>
          <w:szCs w:val="22"/>
          <w:lang w:val="en-US"/>
        </w:rPr>
        <w:t>As such, s</w:t>
      </w:r>
      <w:r>
        <w:rPr>
          <w:rFonts w:ascii="Arial" w:hAnsi="Arial" w:cs="Arial"/>
          <w:sz w:val="22"/>
          <w:szCs w:val="22"/>
          <w:lang w:val="en-US"/>
        </w:rPr>
        <w:t xml:space="preserve">ubsequent to the </w:t>
      </w:r>
      <w:r w:rsidR="00725D76">
        <w:rPr>
          <w:rFonts w:ascii="Arial" w:hAnsi="Arial" w:cs="Arial"/>
          <w:sz w:val="22"/>
          <w:szCs w:val="22"/>
          <w:lang w:val="en-US"/>
        </w:rPr>
        <w:t>R</w:t>
      </w:r>
      <w:r>
        <w:rPr>
          <w:rFonts w:ascii="Arial" w:hAnsi="Arial" w:cs="Arial"/>
          <w:sz w:val="22"/>
          <w:szCs w:val="22"/>
          <w:lang w:val="en-US"/>
        </w:rPr>
        <w:t>eview, a working group including key stakeholders with appropriate expertise w</w:t>
      </w:r>
      <w:r w:rsidR="00725D76">
        <w:rPr>
          <w:rFonts w:ascii="Arial" w:hAnsi="Arial" w:cs="Arial"/>
          <w:sz w:val="22"/>
          <w:szCs w:val="22"/>
          <w:lang w:val="en-US"/>
        </w:rPr>
        <w:t>ould</w:t>
      </w:r>
      <w:r>
        <w:rPr>
          <w:rFonts w:ascii="Arial" w:hAnsi="Arial" w:cs="Arial"/>
          <w:sz w:val="22"/>
          <w:szCs w:val="22"/>
          <w:lang w:val="en-US"/>
        </w:rPr>
        <w:t xml:space="preserve"> be established to consider the development and implementation of </w:t>
      </w:r>
      <w:r w:rsidR="00914523">
        <w:rPr>
          <w:rFonts w:ascii="Arial" w:hAnsi="Arial" w:cs="Arial"/>
          <w:sz w:val="22"/>
          <w:szCs w:val="22"/>
          <w:lang w:val="en-US"/>
        </w:rPr>
        <w:t xml:space="preserve">the </w:t>
      </w:r>
      <w:r>
        <w:rPr>
          <w:rFonts w:ascii="Arial" w:hAnsi="Arial" w:cs="Arial"/>
          <w:sz w:val="22"/>
          <w:szCs w:val="22"/>
          <w:lang w:val="en-US"/>
        </w:rPr>
        <w:t>new risk-based approach.</w:t>
      </w:r>
      <w:r w:rsidR="009D34E3">
        <w:rPr>
          <w:rFonts w:ascii="Arial" w:hAnsi="Arial" w:cs="Arial"/>
          <w:sz w:val="22"/>
          <w:szCs w:val="22"/>
          <w:lang w:val="en-US"/>
        </w:rPr>
        <w:t xml:space="preserve"> </w:t>
      </w:r>
    </w:p>
    <w:p w:rsidR="00126BBB" w:rsidRPr="009D34E3" w:rsidRDefault="00126BBB" w:rsidP="00126BBB">
      <w:pPr>
        <w:rPr>
          <w:rFonts w:ascii="Arial" w:hAnsi="Arial" w:cs="Arial"/>
          <w:color w:val="FF0000"/>
          <w:sz w:val="22"/>
          <w:szCs w:val="22"/>
        </w:rPr>
      </w:pPr>
    </w:p>
    <w:p w:rsidR="0034205D" w:rsidRDefault="0034205D">
      <w:pPr>
        <w:rPr>
          <w:rFonts w:ascii="Arial" w:hAnsi="Arial" w:cs="Arial"/>
          <w:b/>
          <w:sz w:val="22"/>
          <w:szCs w:val="22"/>
        </w:rPr>
      </w:pPr>
      <w:bookmarkStart w:id="41" w:name="_Toc382816471"/>
      <w:bookmarkEnd w:id="36"/>
      <w:r>
        <w:br w:type="page"/>
      </w:r>
    </w:p>
    <w:p w:rsidR="007B5A3A" w:rsidRDefault="00212D73" w:rsidP="003005B9">
      <w:pPr>
        <w:pStyle w:val="Heading2"/>
      </w:pPr>
      <w:bookmarkStart w:id="42" w:name="_Toc390429525"/>
      <w:r>
        <w:t>Determining</w:t>
      </w:r>
      <w:r w:rsidR="00725D76">
        <w:t xml:space="preserve"> </w:t>
      </w:r>
      <w:r w:rsidR="0085195D">
        <w:t xml:space="preserve">the </w:t>
      </w:r>
      <w:r w:rsidR="00A7163A">
        <w:t>Risk</w:t>
      </w:r>
      <w:bookmarkEnd w:id="41"/>
      <w:r w:rsidR="009762D0">
        <w:t xml:space="preserve"> Profile</w:t>
      </w:r>
      <w:bookmarkEnd w:id="42"/>
    </w:p>
    <w:p w:rsidR="00725D76" w:rsidRDefault="00725D76" w:rsidP="00C54951">
      <w:pPr>
        <w:rPr>
          <w:rFonts w:ascii="Arial" w:hAnsi="Arial" w:cs="Arial"/>
          <w:sz w:val="22"/>
          <w:szCs w:val="22"/>
          <w:lang w:val="en-US"/>
        </w:rPr>
      </w:pPr>
    </w:p>
    <w:p w:rsidR="003A6C3E" w:rsidRDefault="00002DC9" w:rsidP="00C54951">
      <w:pPr>
        <w:rPr>
          <w:rFonts w:ascii="Arial" w:hAnsi="Arial" w:cs="Arial"/>
          <w:sz w:val="22"/>
          <w:szCs w:val="22"/>
          <w:lang w:val="en-US"/>
        </w:rPr>
      </w:pPr>
      <w:r>
        <w:rPr>
          <w:rFonts w:ascii="Arial" w:hAnsi="Arial" w:cs="Arial"/>
          <w:sz w:val="22"/>
          <w:szCs w:val="22"/>
          <w:lang w:val="en-US"/>
        </w:rPr>
        <w:t xml:space="preserve">Submissions </w:t>
      </w:r>
      <w:r w:rsidR="00725D76">
        <w:rPr>
          <w:rFonts w:ascii="Arial" w:hAnsi="Arial" w:cs="Arial"/>
          <w:sz w:val="22"/>
          <w:szCs w:val="22"/>
          <w:lang w:val="en-US"/>
        </w:rPr>
        <w:t xml:space="preserve">suggested </w:t>
      </w:r>
      <w:r>
        <w:rPr>
          <w:rFonts w:ascii="Arial" w:hAnsi="Arial" w:cs="Arial"/>
          <w:sz w:val="22"/>
          <w:szCs w:val="22"/>
          <w:lang w:val="en-US"/>
        </w:rPr>
        <w:t xml:space="preserve">an extensive and varied list of factors and indicators that might be considered in a risk-based </w:t>
      </w:r>
      <w:r w:rsidR="00966C57">
        <w:rPr>
          <w:rFonts w:ascii="Arial" w:hAnsi="Arial" w:cs="Arial"/>
          <w:sz w:val="22"/>
          <w:szCs w:val="22"/>
          <w:lang w:val="en-US"/>
        </w:rPr>
        <w:t>approach</w:t>
      </w:r>
      <w:r>
        <w:rPr>
          <w:rFonts w:ascii="Arial" w:hAnsi="Arial" w:cs="Arial"/>
          <w:sz w:val="22"/>
          <w:szCs w:val="22"/>
          <w:lang w:val="en-US"/>
        </w:rPr>
        <w:t xml:space="preserve">. These suggestions ranged from statistical and data indicators of both a lag and lead nature, </w:t>
      </w:r>
      <w:r w:rsidR="00725D76">
        <w:rPr>
          <w:rFonts w:ascii="Arial" w:hAnsi="Arial" w:cs="Arial"/>
          <w:sz w:val="22"/>
          <w:szCs w:val="22"/>
          <w:lang w:val="en-US"/>
        </w:rPr>
        <w:t>to</w:t>
      </w:r>
      <w:r>
        <w:rPr>
          <w:rFonts w:ascii="Arial" w:hAnsi="Arial" w:cs="Arial"/>
          <w:sz w:val="22"/>
          <w:szCs w:val="22"/>
          <w:lang w:val="en-US"/>
        </w:rPr>
        <w:t xml:space="preserve"> </w:t>
      </w:r>
      <w:r w:rsidR="00C54951">
        <w:rPr>
          <w:rFonts w:ascii="Arial" w:hAnsi="Arial" w:cs="Arial"/>
          <w:sz w:val="22"/>
          <w:szCs w:val="22"/>
          <w:lang w:val="en-US"/>
        </w:rPr>
        <w:t xml:space="preserve">indicators </w:t>
      </w:r>
      <w:r>
        <w:rPr>
          <w:rFonts w:ascii="Arial" w:hAnsi="Arial" w:cs="Arial"/>
          <w:sz w:val="22"/>
          <w:szCs w:val="22"/>
          <w:lang w:val="en-US"/>
        </w:rPr>
        <w:t xml:space="preserve">around company structure, management and project risk elements. </w:t>
      </w:r>
    </w:p>
    <w:p w:rsidR="003A6C3E" w:rsidRDefault="003A6C3E" w:rsidP="00C54951">
      <w:pPr>
        <w:rPr>
          <w:rFonts w:ascii="Arial" w:hAnsi="Arial" w:cs="Arial"/>
          <w:sz w:val="22"/>
          <w:szCs w:val="22"/>
          <w:lang w:val="en-US"/>
        </w:rPr>
      </w:pPr>
    </w:p>
    <w:p w:rsidR="002F192F" w:rsidRDefault="00C54951" w:rsidP="00C54951">
      <w:pPr>
        <w:rPr>
          <w:rFonts w:ascii="Arial" w:hAnsi="Arial" w:cs="Arial"/>
          <w:sz w:val="22"/>
          <w:szCs w:val="22"/>
          <w:lang w:val="en-US"/>
        </w:rPr>
      </w:pPr>
      <w:r w:rsidRPr="007F5151">
        <w:rPr>
          <w:rFonts w:ascii="Arial" w:hAnsi="Arial" w:cs="Arial"/>
          <w:sz w:val="22"/>
          <w:szCs w:val="22"/>
          <w:lang w:val="en-US"/>
        </w:rPr>
        <w:t xml:space="preserve">The </w:t>
      </w:r>
      <w:r>
        <w:rPr>
          <w:rFonts w:ascii="Arial" w:hAnsi="Arial" w:cs="Arial"/>
          <w:sz w:val="22"/>
          <w:szCs w:val="22"/>
          <w:lang w:val="en-US"/>
        </w:rPr>
        <w:t xml:space="preserve">overall </w:t>
      </w:r>
      <w:r w:rsidRPr="007F5151">
        <w:rPr>
          <w:rFonts w:ascii="Arial" w:hAnsi="Arial" w:cs="Arial"/>
          <w:sz w:val="22"/>
          <w:szCs w:val="22"/>
          <w:lang w:val="en-US"/>
        </w:rPr>
        <w:t xml:space="preserve">concept </w:t>
      </w:r>
      <w:r w:rsidR="000743EF">
        <w:rPr>
          <w:rFonts w:ascii="Arial" w:hAnsi="Arial" w:cs="Arial"/>
          <w:sz w:val="22"/>
          <w:szCs w:val="22"/>
          <w:lang w:val="en-US"/>
        </w:rPr>
        <w:t>would be</w:t>
      </w:r>
      <w:r w:rsidRPr="007F5151">
        <w:rPr>
          <w:rFonts w:ascii="Arial" w:hAnsi="Arial" w:cs="Arial"/>
          <w:sz w:val="22"/>
          <w:szCs w:val="22"/>
          <w:lang w:val="en-US"/>
        </w:rPr>
        <w:t xml:space="preserve"> to </w:t>
      </w:r>
      <w:r w:rsidR="009B1DA5">
        <w:rPr>
          <w:rFonts w:ascii="Arial" w:hAnsi="Arial" w:cs="Arial"/>
          <w:sz w:val="22"/>
          <w:szCs w:val="22"/>
          <w:lang w:val="en-US"/>
        </w:rPr>
        <w:t>determine the</w:t>
      </w:r>
      <w:r w:rsidR="002F192F">
        <w:rPr>
          <w:rFonts w:ascii="Arial" w:hAnsi="Arial" w:cs="Arial"/>
          <w:sz w:val="22"/>
          <w:szCs w:val="22"/>
          <w:lang w:val="en-US"/>
        </w:rPr>
        <w:t xml:space="preserve"> risk </w:t>
      </w:r>
      <w:r w:rsidRPr="007F5151">
        <w:rPr>
          <w:rFonts w:ascii="Arial" w:hAnsi="Arial" w:cs="Arial"/>
          <w:sz w:val="22"/>
          <w:szCs w:val="22"/>
          <w:lang w:val="en-US"/>
        </w:rPr>
        <w:t>profile of an accredited company in order to determine the scope and frequency</w:t>
      </w:r>
      <w:r w:rsidR="00966C57">
        <w:rPr>
          <w:rFonts w:ascii="Arial" w:hAnsi="Arial" w:cs="Arial"/>
          <w:sz w:val="22"/>
          <w:szCs w:val="22"/>
          <w:lang w:val="en-US"/>
        </w:rPr>
        <w:t xml:space="preserve"> of </w:t>
      </w:r>
      <w:r w:rsidR="00725D76">
        <w:rPr>
          <w:rFonts w:ascii="Arial" w:hAnsi="Arial" w:cs="Arial"/>
          <w:sz w:val="22"/>
          <w:szCs w:val="22"/>
          <w:lang w:val="en-US"/>
        </w:rPr>
        <w:t xml:space="preserve">subsequent </w:t>
      </w:r>
      <w:r w:rsidR="00966C57">
        <w:rPr>
          <w:rFonts w:ascii="Arial" w:hAnsi="Arial" w:cs="Arial"/>
          <w:sz w:val="22"/>
          <w:szCs w:val="22"/>
          <w:lang w:val="en-US"/>
        </w:rPr>
        <w:t>audit</w:t>
      </w:r>
      <w:r w:rsidR="00725D76">
        <w:rPr>
          <w:rFonts w:ascii="Arial" w:hAnsi="Arial" w:cs="Arial"/>
          <w:sz w:val="22"/>
          <w:szCs w:val="22"/>
          <w:lang w:val="en-US"/>
        </w:rPr>
        <w:t>s</w:t>
      </w:r>
      <w:r w:rsidR="00533F62">
        <w:rPr>
          <w:rFonts w:ascii="Arial" w:hAnsi="Arial" w:cs="Arial"/>
          <w:sz w:val="22"/>
          <w:szCs w:val="22"/>
          <w:lang w:val="en-US"/>
        </w:rPr>
        <w:t>.</w:t>
      </w:r>
      <w:r w:rsidRPr="007F5151">
        <w:rPr>
          <w:rFonts w:ascii="Arial" w:hAnsi="Arial" w:cs="Arial"/>
          <w:sz w:val="22"/>
          <w:szCs w:val="22"/>
          <w:lang w:val="en-US"/>
        </w:rPr>
        <w:t xml:space="preserve"> </w:t>
      </w:r>
    </w:p>
    <w:p w:rsidR="005D3659" w:rsidRDefault="005D3659" w:rsidP="00C54951">
      <w:pPr>
        <w:rPr>
          <w:rFonts w:ascii="Arial" w:hAnsi="Arial" w:cs="Arial"/>
          <w:sz w:val="22"/>
          <w:szCs w:val="22"/>
          <w:lang w:val="en-US"/>
        </w:rPr>
      </w:pPr>
    </w:p>
    <w:p w:rsidR="005D3659" w:rsidRDefault="005D3659" w:rsidP="00C54951">
      <w:pPr>
        <w:rPr>
          <w:rFonts w:ascii="Arial" w:hAnsi="Arial" w:cs="Arial"/>
          <w:sz w:val="22"/>
          <w:szCs w:val="22"/>
          <w:lang w:val="en-US"/>
        </w:rPr>
      </w:pPr>
      <w:r>
        <w:rPr>
          <w:rFonts w:ascii="Arial" w:hAnsi="Arial" w:cs="Arial"/>
          <w:sz w:val="22"/>
          <w:szCs w:val="22"/>
          <w:lang w:val="en-US"/>
        </w:rPr>
        <w:t xml:space="preserve">Importantly, even with a move to a risk-based approach, </w:t>
      </w:r>
      <w:r w:rsidR="00667C8F">
        <w:rPr>
          <w:rFonts w:ascii="Arial" w:hAnsi="Arial" w:cs="Arial"/>
          <w:sz w:val="22"/>
          <w:szCs w:val="22"/>
          <w:lang w:val="en-US"/>
        </w:rPr>
        <w:t xml:space="preserve">when compared to audit frequency in the past two to three years, </w:t>
      </w:r>
      <w:r>
        <w:rPr>
          <w:rFonts w:ascii="Arial" w:hAnsi="Arial" w:cs="Arial"/>
          <w:sz w:val="22"/>
          <w:szCs w:val="22"/>
          <w:lang w:val="en-US"/>
        </w:rPr>
        <w:t xml:space="preserve">the frequency of ongoing audits would increase for </w:t>
      </w:r>
      <w:r w:rsidR="00A90830">
        <w:rPr>
          <w:rFonts w:ascii="Arial" w:hAnsi="Arial" w:cs="Arial"/>
          <w:sz w:val="22"/>
          <w:szCs w:val="22"/>
          <w:lang w:val="en-US"/>
        </w:rPr>
        <w:t xml:space="preserve">some </w:t>
      </w:r>
      <w:r>
        <w:rPr>
          <w:rFonts w:ascii="Arial" w:hAnsi="Arial" w:cs="Arial"/>
          <w:sz w:val="22"/>
          <w:szCs w:val="22"/>
          <w:lang w:val="en-US"/>
        </w:rPr>
        <w:t xml:space="preserve">companies, as the </w:t>
      </w:r>
      <w:r w:rsidR="009B1DA5">
        <w:rPr>
          <w:rFonts w:ascii="Arial" w:hAnsi="Arial" w:cs="Arial"/>
          <w:sz w:val="22"/>
          <w:szCs w:val="22"/>
          <w:lang w:val="en-US"/>
        </w:rPr>
        <w:t xml:space="preserve">current </w:t>
      </w:r>
      <w:r>
        <w:rPr>
          <w:rFonts w:ascii="Arial" w:hAnsi="Arial" w:cs="Arial"/>
          <w:sz w:val="22"/>
          <w:szCs w:val="22"/>
          <w:lang w:val="en-US"/>
        </w:rPr>
        <w:t xml:space="preserve">concentration of audits at </w:t>
      </w:r>
      <w:r w:rsidR="008F3909">
        <w:rPr>
          <w:rFonts w:ascii="Arial" w:hAnsi="Arial" w:cs="Arial"/>
          <w:sz w:val="22"/>
          <w:szCs w:val="22"/>
          <w:lang w:val="en-US"/>
        </w:rPr>
        <w:t>reaccreditation</w:t>
      </w:r>
      <w:r>
        <w:rPr>
          <w:rFonts w:ascii="Arial" w:hAnsi="Arial" w:cs="Arial"/>
          <w:sz w:val="22"/>
          <w:szCs w:val="22"/>
          <w:lang w:val="en-US"/>
        </w:rPr>
        <w:t xml:space="preserve"> is re</w:t>
      </w:r>
      <w:r w:rsidR="009B1DA5">
        <w:rPr>
          <w:rFonts w:ascii="Arial" w:hAnsi="Arial" w:cs="Arial"/>
          <w:sz w:val="22"/>
          <w:szCs w:val="22"/>
          <w:lang w:val="en-US"/>
        </w:rPr>
        <w:t>-</w:t>
      </w:r>
      <w:r>
        <w:rPr>
          <w:rFonts w:ascii="Arial" w:hAnsi="Arial" w:cs="Arial"/>
          <w:sz w:val="22"/>
          <w:szCs w:val="22"/>
          <w:lang w:val="en-US"/>
        </w:rPr>
        <w:t xml:space="preserve">directed to more </w:t>
      </w:r>
      <w:r w:rsidR="00A90830">
        <w:rPr>
          <w:rFonts w:ascii="Arial" w:hAnsi="Arial" w:cs="Arial"/>
          <w:sz w:val="22"/>
          <w:szCs w:val="22"/>
          <w:lang w:val="en-US"/>
        </w:rPr>
        <w:t xml:space="preserve">regular periodic </w:t>
      </w:r>
      <w:r>
        <w:rPr>
          <w:rFonts w:ascii="Arial" w:hAnsi="Arial" w:cs="Arial"/>
          <w:sz w:val="22"/>
          <w:szCs w:val="22"/>
          <w:lang w:val="en-US"/>
        </w:rPr>
        <w:t>maintenance and compliance checks for companies.</w:t>
      </w:r>
    </w:p>
    <w:p w:rsidR="00C54951" w:rsidRDefault="00C54951" w:rsidP="00C54951">
      <w:pPr>
        <w:rPr>
          <w:rFonts w:ascii="Arial" w:hAnsi="Arial" w:cs="Arial"/>
          <w:sz w:val="22"/>
          <w:szCs w:val="22"/>
          <w:lang w:val="en-US"/>
        </w:rPr>
      </w:pPr>
    </w:p>
    <w:p w:rsidR="007B0877" w:rsidRDefault="007B0877" w:rsidP="00C54951">
      <w:pPr>
        <w:rPr>
          <w:rFonts w:ascii="Arial" w:hAnsi="Arial" w:cs="Arial"/>
          <w:sz w:val="22"/>
          <w:szCs w:val="22"/>
          <w:lang w:val="en-US"/>
        </w:rPr>
      </w:pPr>
    </w:p>
    <w:p w:rsidR="002F192F" w:rsidRPr="00533F62" w:rsidRDefault="002F192F" w:rsidP="00C54951">
      <w:pPr>
        <w:rPr>
          <w:rFonts w:ascii="Arial" w:hAnsi="Arial" w:cs="Arial"/>
          <w:b/>
          <w:sz w:val="22"/>
          <w:szCs w:val="22"/>
          <w:lang w:val="en-US"/>
        </w:rPr>
      </w:pPr>
      <w:r w:rsidRPr="00533F62">
        <w:rPr>
          <w:rFonts w:ascii="Arial" w:hAnsi="Arial" w:cs="Arial"/>
          <w:b/>
          <w:sz w:val="22"/>
          <w:szCs w:val="22"/>
          <w:lang w:val="en-US"/>
        </w:rPr>
        <w:t>Diagram 1</w:t>
      </w:r>
      <w:r w:rsidR="00533F62" w:rsidRPr="00533F62">
        <w:rPr>
          <w:rFonts w:ascii="Arial" w:hAnsi="Arial" w:cs="Arial"/>
          <w:b/>
          <w:sz w:val="22"/>
          <w:szCs w:val="22"/>
          <w:lang w:val="en-US"/>
        </w:rPr>
        <w:t>: A</w:t>
      </w:r>
      <w:r w:rsidRPr="00533F62">
        <w:rPr>
          <w:rFonts w:ascii="Arial" w:hAnsi="Arial" w:cs="Arial"/>
          <w:b/>
          <w:sz w:val="22"/>
          <w:szCs w:val="22"/>
          <w:lang w:val="en-US"/>
        </w:rPr>
        <w:t xml:space="preserve"> </w:t>
      </w:r>
      <w:r w:rsidR="007B0FE5">
        <w:rPr>
          <w:rFonts w:ascii="Arial" w:hAnsi="Arial" w:cs="Arial"/>
          <w:b/>
          <w:sz w:val="22"/>
          <w:szCs w:val="22"/>
          <w:lang w:val="en-US"/>
        </w:rPr>
        <w:t xml:space="preserve">possible </w:t>
      </w:r>
      <w:r w:rsidRPr="00533F62">
        <w:rPr>
          <w:rFonts w:ascii="Arial" w:hAnsi="Arial" w:cs="Arial"/>
          <w:b/>
          <w:sz w:val="22"/>
          <w:szCs w:val="22"/>
          <w:lang w:val="en-US"/>
        </w:rPr>
        <w:t xml:space="preserve">risk-based approach </w:t>
      </w:r>
      <w:r w:rsidR="001F5AB4">
        <w:rPr>
          <w:rFonts w:ascii="Arial" w:hAnsi="Arial" w:cs="Arial"/>
          <w:b/>
          <w:sz w:val="22"/>
          <w:szCs w:val="22"/>
          <w:lang w:val="en-US"/>
        </w:rPr>
        <w:t>to maintaining accreditation</w:t>
      </w:r>
    </w:p>
    <w:p w:rsidR="00D341C7" w:rsidRDefault="00D341C7" w:rsidP="00D23BB5">
      <w:pPr>
        <w:rPr>
          <w:rFonts w:ascii="Arial" w:hAnsi="Arial" w:cs="Arial"/>
          <w:sz w:val="22"/>
          <w:szCs w:val="22"/>
          <w:lang w:val="en-US"/>
        </w:rPr>
      </w:pPr>
    </w:p>
    <w:p w:rsidR="00D23BB5" w:rsidRDefault="003D03B4" w:rsidP="003D03B4">
      <w:pPr>
        <w:jc w:val="center"/>
        <w:rPr>
          <w:rFonts w:ascii="Arial" w:hAnsi="Arial" w:cs="Arial"/>
          <w:sz w:val="22"/>
          <w:szCs w:val="22"/>
          <w:lang w:val="en-US"/>
        </w:rPr>
      </w:pPr>
      <w:r>
        <w:rPr>
          <w:rFonts w:ascii="Arial" w:hAnsi="Arial" w:cs="Arial"/>
          <w:noProof/>
          <w:sz w:val="22"/>
          <w:szCs w:val="22"/>
        </w:rPr>
        <w:drawing>
          <wp:inline distT="0" distB="0" distL="0" distR="0" wp14:anchorId="2B626FCD" wp14:editId="7A67E8AE">
            <wp:extent cx="5442439" cy="1979593"/>
            <wp:effectExtent l="0" t="0" r="6350" b="1905"/>
            <wp:docPr id="310" name="Picture 310" descr="Flow chart showing a possible risk based approach to maintaining accreditation. Chart shows the initial risk profile of a company being developed once it has been accredited.&#10;&#10;A company would develop a risk profile and it would then determine its placement in one of three groups: Maintenance, Improvement or Compliance, according to whether the risk is low, medium or high, respectively.&#10;&#10;Once being audited the company would update the risk profile based on the result of audit. The company would then either remain in or move between the three groups. Then the process would be repeated for the next scheduled audit.&#10;&#10;" title="Maintaining Accredi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44215" cy="1980239"/>
                    </a:xfrm>
                    <a:prstGeom prst="rect">
                      <a:avLst/>
                    </a:prstGeom>
                    <a:noFill/>
                  </pic:spPr>
                </pic:pic>
              </a:graphicData>
            </a:graphic>
          </wp:inline>
        </w:drawing>
      </w:r>
    </w:p>
    <w:p w:rsidR="00D23BB5" w:rsidRDefault="00D23BB5" w:rsidP="00D23BB5">
      <w:pPr>
        <w:rPr>
          <w:rFonts w:ascii="Arial" w:hAnsi="Arial" w:cs="Arial"/>
          <w:sz w:val="22"/>
          <w:szCs w:val="22"/>
          <w:lang w:val="en-US"/>
        </w:rPr>
      </w:pPr>
    </w:p>
    <w:p w:rsidR="00D341C7" w:rsidRDefault="00D341C7" w:rsidP="00D23BB5">
      <w:pPr>
        <w:rPr>
          <w:rFonts w:ascii="Arial" w:hAnsi="Arial" w:cs="Arial"/>
          <w:sz w:val="22"/>
          <w:szCs w:val="22"/>
          <w:lang w:val="en-US"/>
        </w:rPr>
      </w:pPr>
    </w:p>
    <w:p w:rsidR="001F5AB4" w:rsidRDefault="0066606B" w:rsidP="00D23BB5">
      <w:pPr>
        <w:rPr>
          <w:rFonts w:ascii="Arial" w:hAnsi="Arial" w:cs="Arial"/>
          <w:sz w:val="22"/>
          <w:szCs w:val="22"/>
          <w:lang w:val="en-US"/>
        </w:rPr>
      </w:pPr>
      <w:r>
        <w:rPr>
          <w:rFonts w:ascii="Arial" w:hAnsi="Arial" w:cs="Arial"/>
          <w:sz w:val="22"/>
          <w:szCs w:val="22"/>
          <w:lang w:val="en-US"/>
        </w:rPr>
        <w:t>T</w:t>
      </w:r>
      <w:r w:rsidR="00914523">
        <w:rPr>
          <w:rFonts w:ascii="Arial" w:hAnsi="Arial" w:cs="Arial"/>
          <w:sz w:val="22"/>
          <w:szCs w:val="22"/>
          <w:lang w:val="en-US"/>
        </w:rPr>
        <w:t xml:space="preserve">he </w:t>
      </w:r>
      <w:r w:rsidR="008448FD">
        <w:rPr>
          <w:rFonts w:ascii="Arial" w:hAnsi="Arial" w:cs="Arial"/>
          <w:sz w:val="22"/>
          <w:szCs w:val="22"/>
          <w:lang w:val="en-US"/>
        </w:rPr>
        <w:t xml:space="preserve">possible </w:t>
      </w:r>
      <w:r w:rsidR="00533F62">
        <w:rPr>
          <w:rFonts w:ascii="Arial" w:hAnsi="Arial" w:cs="Arial"/>
          <w:sz w:val="22"/>
          <w:szCs w:val="22"/>
          <w:lang w:val="en-US"/>
        </w:rPr>
        <w:t xml:space="preserve">risk-based </w:t>
      </w:r>
      <w:r w:rsidR="00914523">
        <w:rPr>
          <w:rFonts w:ascii="Arial" w:hAnsi="Arial" w:cs="Arial"/>
          <w:sz w:val="22"/>
          <w:szCs w:val="22"/>
          <w:lang w:val="en-US"/>
        </w:rPr>
        <w:t>approach</w:t>
      </w:r>
      <w:r w:rsidR="001F5AB4">
        <w:rPr>
          <w:rFonts w:ascii="Arial" w:hAnsi="Arial" w:cs="Arial"/>
          <w:sz w:val="22"/>
          <w:szCs w:val="22"/>
          <w:lang w:val="en-US"/>
        </w:rPr>
        <w:t xml:space="preserve"> to maintaining accreditation</w:t>
      </w:r>
      <w:r w:rsidR="00914523">
        <w:rPr>
          <w:rFonts w:ascii="Arial" w:hAnsi="Arial" w:cs="Arial"/>
          <w:sz w:val="22"/>
          <w:szCs w:val="22"/>
          <w:lang w:val="en-US"/>
        </w:rPr>
        <w:t xml:space="preserve"> outlined in </w:t>
      </w:r>
      <w:r w:rsidR="007E791F">
        <w:rPr>
          <w:rFonts w:ascii="Arial" w:hAnsi="Arial" w:cs="Arial"/>
          <w:sz w:val="22"/>
          <w:szCs w:val="22"/>
          <w:lang w:val="en-US"/>
        </w:rPr>
        <w:t>D</w:t>
      </w:r>
      <w:r w:rsidR="00914523">
        <w:rPr>
          <w:rFonts w:ascii="Arial" w:hAnsi="Arial" w:cs="Arial"/>
          <w:sz w:val="22"/>
          <w:szCs w:val="22"/>
          <w:lang w:val="en-US"/>
        </w:rPr>
        <w:t>iagram</w:t>
      </w:r>
      <w:r w:rsidR="007E791F">
        <w:rPr>
          <w:rFonts w:ascii="Arial" w:hAnsi="Arial" w:cs="Arial"/>
          <w:sz w:val="22"/>
          <w:szCs w:val="22"/>
          <w:lang w:val="en-US"/>
        </w:rPr>
        <w:t xml:space="preserve"> 1</w:t>
      </w:r>
      <w:r w:rsidR="00914523">
        <w:rPr>
          <w:rFonts w:ascii="Arial" w:hAnsi="Arial" w:cs="Arial"/>
          <w:sz w:val="22"/>
          <w:szCs w:val="22"/>
          <w:lang w:val="en-US"/>
        </w:rPr>
        <w:t xml:space="preserve">, </w:t>
      </w:r>
      <w:r w:rsidR="007E791F">
        <w:rPr>
          <w:rFonts w:ascii="Arial" w:hAnsi="Arial" w:cs="Arial"/>
          <w:sz w:val="22"/>
          <w:szCs w:val="22"/>
          <w:lang w:val="en-US"/>
        </w:rPr>
        <w:t xml:space="preserve">above, </w:t>
      </w:r>
      <w:r>
        <w:rPr>
          <w:rFonts w:ascii="Arial" w:hAnsi="Arial" w:cs="Arial"/>
          <w:sz w:val="22"/>
          <w:szCs w:val="22"/>
          <w:lang w:val="en-US"/>
        </w:rPr>
        <w:t>shows the</w:t>
      </w:r>
      <w:r w:rsidR="00914523">
        <w:rPr>
          <w:rFonts w:ascii="Arial" w:hAnsi="Arial" w:cs="Arial"/>
          <w:sz w:val="22"/>
          <w:szCs w:val="22"/>
          <w:lang w:val="en-US"/>
        </w:rPr>
        <w:t xml:space="preserve"> </w:t>
      </w:r>
      <w:r>
        <w:rPr>
          <w:rFonts w:ascii="Arial" w:hAnsi="Arial" w:cs="Arial"/>
          <w:sz w:val="22"/>
          <w:szCs w:val="22"/>
          <w:lang w:val="en-US"/>
        </w:rPr>
        <w:t xml:space="preserve">initial </w:t>
      </w:r>
      <w:r w:rsidR="00914523">
        <w:rPr>
          <w:rFonts w:ascii="Arial" w:hAnsi="Arial" w:cs="Arial"/>
          <w:sz w:val="22"/>
          <w:szCs w:val="22"/>
          <w:lang w:val="en-US"/>
        </w:rPr>
        <w:t xml:space="preserve">risk profile </w:t>
      </w:r>
      <w:r>
        <w:rPr>
          <w:rFonts w:ascii="Arial" w:hAnsi="Arial" w:cs="Arial"/>
          <w:sz w:val="22"/>
          <w:szCs w:val="22"/>
          <w:lang w:val="en-US"/>
        </w:rPr>
        <w:t xml:space="preserve">of a company being developed </w:t>
      </w:r>
      <w:r w:rsidR="00914523">
        <w:rPr>
          <w:rFonts w:ascii="Arial" w:hAnsi="Arial" w:cs="Arial"/>
          <w:sz w:val="22"/>
          <w:szCs w:val="22"/>
          <w:lang w:val="en-US"/>
        </w:rPr>
        <w:t xml:space="preserve">once </w:t>
      </w:r>
      <w:r>
        <w:rPr>
          <w:rFonts w:ascii="Arial" w:hAnsi="Arial" w:cs="Arial"/>
          <w:sz w:val="22"/>
          <w:szCs w:val="22"/>
          <w:lang w:val="en-US"/>
        </w:rPr>
        <w:t xml:space="preserve">it has been </w:t>
      </w:r>
      <w:r w:rsidR="00914523">
        <w:rPr>
          <w:rFonts w:ascii="Arial" w:hAnsi="Arial" w:cs="Arial"/>
          <w:sz w:val="22"/>
          <w:szCs w:val="22"/>
          <w:lang w:val="en-US"/>
        </w:rPr>
        <w:t>accredit</w:t>
      </w:r>
      <w:r>
        <w:rPr>
          <w:rFonts w:ascii="Arial" w:hAnsi="Arial" w:cs="Arial"/>
          <w:sz w:val="22"/>
          <w:szCs w:val="22"/>
          <w:lang w:val="en-US"/>
        </w:rPr>
        <w:t>ed</w:t>
      </w:r>
      <w:r w:rsidR="00914523">
        <w:rPr>
          <w:rFonts w:ascii="Arial" w:hAnsi="Arial" w:cs="Arial"/>
          <w:sz w:val="22"/>
          <w:szCs w:val="22"/>
          <w:lang w:val="en-US"/>
        </w:rPr>
        <w:t xml:space="preserve">. </w:t>
      </w:r>
    </w:p>
    <w:p w:rsidR="001F5AB4" w:rsidRDefault="001F5AB4" w:rsidP="00D23BB5">
      <w:pPr>
        <w:rPr>
          <w:rFonts w:ascii="Arial" w:hAnsi="Arial" w:cs="Arial"/>
          <w:sz w:val="22"/>
          <w:szCs w:val="22"/>
          <w:lang w:val="en-US"/>
        </w:rPr>
      </w:pPr>
    </w:p>
    <w:p w:rsidR="0066606B" w:rsidRDefault="008448FD" w:rsidP="00D23BB5">
      <w:pPr>
        <w:rPr>
          <w:rFonts w:ascii="Arial" w:hAnsi="Arial" w:cs="Arial"/>
          <w:sz w:val="22"/>
          <w:szCs w:val="22"/>
          <w:lang w:val="en-US"/>
        </w:rPr>
      </w:pPr>
      <w:r>
        <w:rPr>
          <w:rFonts w:ascii="Arial" w:hAnsi="Arial" w:cs="Arial"/>
          <w:sz w:val="22"/>
          <w:szCs w:val="22"/>
          <w:lang w:val="en-US"/>
        </w:rPr>
        <w:t xml:space="preserve">Any </w:t>
      </w:r>
      <w:r w:rsidR="0066606B">
        <w:rPr>
          <w:rFonts w:ascii="Arial" w:hAnsi="Arial" w:cs="Arial"/>
          <w:sz w:val="22"/>
          <w:szCs w:val="22"/>
          <w:lang w:val="en-US"/>
        </w:rPr>
        <w:t xml:space="preserve">risk profile </w:t>
      </w:r>
      <w:r>
        <w:rPr>
          <w:rFonts w:ascii="Arial" w:hAnsi="Arial" w:cs="Arial"/>
          <w:sz w:val="22"/>
          <w:szCs w:val="22"/>
          <w:lang w:val="en-US"/>
        </w:rPr>
        <w:t xml:space="preserve">would </w:t>
      </w:r>
      <w:r w:rsidR="001F5AB4">
        <w:rPr>
          <w:rFonts w:ascii="Arial" w:hAnsi="Arial" w:cs="Arial"/>
          <w:sz w:val="22"/>
          <w:szCs w:val="22"/>
          <w:lang w:val="en-US"/>
        </w:rPr>
        <w:t xml:space="preserve">entail the evaluation of </w:t>
      </w:r>
      <w:r w:rsidR="0066606B">
        <w:rPr>
          <w:rFonts w:ascii="Arial" w:hAnsi="Arial" w:cs="Arial"/>
          <w:sz w:val="22"/>
          <w:szCs w:val="22"/>
          <w:lang w:val="en-US"/>
        </w:rPr>
        <w:t xml:space="preserve">a range of </w:t>
      </w:r>
      <w:r w:rsidR="0066606B" w:rsidRPr="007F5151">
        <w:rPr>
          <w:rFonts w:ascii="Arial" w:hAnsi="Arial" w:cs="Arial"/>
          <w:sz w:val="22"/>
          <w:szCs w:val="22"/>
          <w:lang w:val="en-US"/>
        </w:rPr>
        <w:t xml:space="preserve">identified performance </w:t>
      </w:r>
      <w:r w:rsidR="0066606B">
        <w:rPr>
          <w:rFonts w:ascii="Arial" w:hAnsi="Arial" w:cs="Arial"/>
          <w:sz w:val="22"/>
          <w:szCs w:val="22"/>
          <w:lang w:val="en-US"/>
        </w:rPr>
        <w:t xml:space="preserve">and risk </w:t>
      </w:r>
      <w:r w:rsidR="0066606B" w:rsidRPr="007F5151">
        <w:rPr>
          <w:rFonts w:ascii="Arial" w:hAnsi="Arial" w:cs="Arial"/>
          <w:sz w:val="22"/>
          <w:szCs w:val="22"/>
          <w:lang w:val="en-US"/>
        </w:rPr>
        <w:t>indicators</w:t>
      </w:r>
      <w:r w:rsidR="000D12C6">
        <w:rPr>
          <w:rFonts w:ascii="Arial" w:hAnsi="Arial" w:cs="Arial"/>
          <w:sz w:val="22"/>
          <w:szCs w:val="22"/>
          <w:lang w:val="en-US"/>
        </w:rPr>
        <w:t>.</w:t>
      </w:r>
      <w:r w:rsidR="001F5AB4" w:rsidRPr="001F5AB4">
        <w:rPr>
          <w:rFonts w:ascii="Arial" w:hAnsi="Arial" w:cs="Arial"/>
          <w:sz w:val="22"/>
          <w:szCs w:val="22"/>
          <w:lang w:eastAsia="en-US"/>
        </w:rPr>
        <w:t xml:space="preserve"> </w:t>
      </w:r>
      <w:r w:rsidR="001F5AB4">
        <w:rPr>
          <w:rFonts w:ascii="Arial" w:hAnsi="Arial" w:cs="Arial"/>
          <w:sz w:val="22"/>
          <w:szCs w:val="22"/>
          <w:lang w:eastAsia="en-US"/>
        </w:rPr>
        <w:t xml:space="preserve">These could include company specific factors such as size, revenue, typical works, location etc., as well as </w:t>
      </w:r>
      <w:r w:rsidR="00062F71">
        <w:rPr>
          <w:rFonts w:ascii="Arial" w:hAnsi="Arial" w:cs="Arial"/>
          <w:sz w:val="22"/>
          <w:szCs w:val="22"/>
          <w:lang w:eastAsia="en-US"/>
        </w:rPr>
        <w:t xml:space="preserve">key </w:t>
      </w:r>
      <w:r w:rsidR="001F5AB4">
        <w:rPr>
          <w:rFonts w:ascii="Arial" w:hAnsi="Arial" w:cs="Arial"/>
          <w:sz w:val="22"/>
          <w:szCs w:val="22"/>
          <w:lang w:eastAsia="en-US"/>
        </w:rPr>
        <w:t>company performance factors such as previous audit results, corrective actions, conditions, incident history etc</w:t>
      </w:r>
      <w:r>
        <w:rPr>
          <w:rFonts w:ascii="Arial" w:hAnsi="Arial" w:cs="Arial"/>
          <w:sz w:val="22"/>
          <w:szCs w:val="22"/>
          <w:lang w:eastAsia="en-US"/>
        </w:rPr>
        <w:t xml:space="preserve">. </w:t>
      </w:r>
    </w:p>
    <w:p w:rsidR="0066606B" w:rsidRDefault="0066606B" w:rsidP="00D23BB5">
      <w:pPr>
        <w:rPr>
          <w:rFonts w:ascii="Arial" w:hAnsi="Arial" w:cs="Arial"/>
          <w:sz w:val="22"/>
          <w:szCs w:val="22"/>
          <w:lang w:val="en-US"/>
        </w:rPr>
      </w:pPr>
    </w:p>
    <w:p w:rsidR="001F5AB4" w:rsidRDefault="008448FD" w:rsidP="00D23BB5">
      <w:pPr>
        <w:rPr>
          <w:rFonts w:ascii="Arial" w:hAnsi="Arial" w:cs="Arial"/>
          <w:sz w:val="22"/>
          <w:szCs w:val="22"/>
          <w:lang w:eastAsia="en-US"/>
        </w:rPr>
      </w:pPr>
      <w:r>
        <w:rPr>
          <w:rFonts w:ascii="Arial" w:hAnsi="Arial" w:cs="Arial"/>
          <w:sz w:val="22"/>
          <w:szCs w:val="22"/>
          <w:lang w:eastAsia="en-US"/>
        </w:rPr>
        <w:t>In the example above, a</w:t>
      </w:r>
      <w:r w:rsidR="001F5AB4">
        <w:rPr>
          <w:rFonts w:ascii="Arial" w:hAnsi="Arial" w:cs="Arial"/>
          <w:sz w:val="22"/>
          <w:szCs w:val="22"/>
          <w:lang w:eastAsia="en-US"/>
        </w:rPr>
        <w:t xml:space="preserve"> company’s</w:t>
      </w:r>
      <w:r w:rsidR="007B0FE5">
        <w:rPr>
          <w:rFonts w:ascii="Arial" w:hAnsi="Arial" w:cs="Arial"/>
          <w:sz w:val="22"/>
          <w:szCs w:val="22"/>
          <w:lang w:eastAsia="en-US"/>
        </w:rPr>
        <w:t xml:space="preserve"> risk profile </w:t>
      </w:r>
      <w:r>
        <w:rPr>
          <w:rFonts w:ascii="Arial" w:hAnsi="Arial" w:cs="Arial"/>
          <w:sz w:val="22"/>
          <w:szCs w:val="22"/>
          <w:lang w:eastAsia="en-US"/>
        </w:rPr>
        <w:t>w</w:t>
      </w:r>
      <w:r w:rsidR="0066606B">
        <w:rPr>
          <w:rFonts w:ascii="Arial" w:hAnsi="Arial" w:cs="Arial"/>
          <w:sz w:val="22"/>
          <w:szCs w:val="22"/>
          <w:lang w:eastAsia="en-US"/>
        </w:rPr>
        <w:t xml:space="preserve">ould </w:t>
      </w:r>
      <w:r w:rsidR="00D23BB5">
        <w:rPr>
          <w:rFonts w:ascii="Arial" w:hAnsi="Arial" w:cs="Arial"/>
          <w:sz w:val="22"/>
          <w:szCs w:val="22"/>
          <w:lang w:eastAsia="en-US"/>
        </w:rPr>
        <w:t xml:space="preserve">determine </w:t>
      </w:r>
      <w:r w:rsidR="001F5AB4">
        <w:rPr>
          <w:rFonts w:ascii="Arial" w:hAnsi="Arial" w:cs="Arial"/>
          <w:sz w:val="22"/>
          <w:szCs w:val="22"/>
          <w:lang w:eastAsia="en-US"/>
        </w:rPr>
        <w:t>i</w:t>
      </w:r>
      <w:r w:rsidR="0066606B">
        <w:rPr>
          <w:rFonts w:ascii="Arial" w:hAnsi="Arial" w:cs="Arial"/>
          <w:sz w:val="22"/>
          <w:szCs w:val="22"/>
          <w:lang w:eastAsia="en-US"/>
        </w:rPr>
        <w:t>t</w:t>
      </w:r>
      <w:r w:rsidR="001F5AB4">
        <w:rPr>
          <w:rFonts w:ascii="Arial" w:hAnsi="Arial" w:cs="Arial"/>
          <w:sz w:val="22"/>
          <w:szCs w:val="22"/>
          <w:lang w:eastAsia="en-US"/>
        </w:rPr>
        <w:t>s</w:t>
      </w:r>
      <w:r w:rsidR="0066606B">
        <w:rPr>
          <w:rFonts w:ascii="Arial" w:hAnsi="Arial" w:cs="Arial"/>
          <w:sz w:val="22"/>
          <w:szCs w:val="22"/>
          <w:lang w:eastAsia="en-US"/>
        </w:rPr>
        <w:t xml:space="preserve"> </w:t>
      </w:r>
      <w:r w:rsidR="00D23BB5">
        <w:rPr>
          <w:rFonts w:ascii="Arial" w:hAnsi="Arial" w:cs="Arial"/>
          <w:sz w:val="22"/>
          <w:szCs w:val="22"/>
          <w:lang w:eastAsia="en-US"/>
        </w:rPr>
        <w:t>placement in one of three groups</w:t>
      </w:r>
      <w:r w:rsidR="000D12C6">
        <w:rPr>
          <w:rFonts w:ascii="Arial" w:hAnsi="Arial" w:cs="Arial"/>
          <w:sz w:val="22"/>
          <w:szCs w:val="22"/>
          <w:lang w:eastAsia="en-US"/>
        </w:rPr>
        <w:t xml:space="preserve">: </w:t>
      </w:r>
      <w:r w:rsidR="00914523">
        <w:rPr>
          <w:rFonts w:ascii="Arial" w:hAnsi="Arial" w:cs="Arial"/>
          <w:sz w:val="22"/>
          <w:szCs w:val="22"/>
          <w:lang w:eastAsia="en-US"/>
        </w:rPr>
        <w:t>Maintenance, Improvement or Compliance</w:t>
      </w:r>
      <w:r w:rsidR="001F5AB4">
        <w:rPr>
          <w:rFonts w:ascii="Arial" w:hAnsi="Arial" w:cs="Arial"/>
          <w:sz w:val="22"/>
          <w:szCs w:val="22"/>
          <w:lang w:eastAsia="en-US"/>
        </w:rPr>
        <w:t>, according to whether the risk is low, medium or high, respectively</w:t>
      </w:r>
      <w:r w:rsidR="000D12C6">
        <w:rPr>
          <w:rFonts w:ascii="Arial" w:hAnsi="Arial" w:cs="Arial"/>
          <w:sz w:val="22"/>
          <w:szCs w:val="22"/>
          <w:lang w:eastAsia="en-US"/>
        </w:rPr>
        <w:t>.</w:t>
      </w:r>
    </w:p>
    <w:p w:rsidR="001F5AB4" w:rsidRDefault="001F5AB4" w:rsidP="00D23BB5">
      <w:pPr>
        <w:rPr>
          <w:rFonts w:ascii="Arial" w:hAnsi="Arial" w:cs="Arial"/>
          <w:sz w:val="22"/>
          <w:szCs w:val="22"/>
          <w:lang w:eastAsia="en-US"/>
        </w:rPr>
      </w:pPr>
    </w:p>
    <w:p w:rsidR="007B0877" w:rsidRDefault="007B0877" w:rsidP="00D23BB5">
      <w:pPr>
        <w:rPr>
          <w:rFonts w:ascii="Arial" w:hAnsi="Arial" w:cs="Arial"/>
          <w:sz w:val="22"/>
          <w:szCs w:val="22"/>
          <w:lang w:eastAsia="en-US"/>
        </w:rPr>
      </w:pPr>
      <w:r>
        <w:rPr>
          <w:rFonts w:ascii="Arial" w:hAnsi="Arial" w:cs="Arial"/>
          <w:sz w:val="22"/>
          <w:szCs w:val="22"/>
          <w:lang w:eastAsia="en-US"/>
        </w:rPr>
        <w:t>In which of the thr</w:t>
      </w:r>
      <w:r w:rsidR="00FE7F72">
        <w:rPr>
          <w:rFonts w:ascii="Arial" w:hAnsi="Arial" w:cs="Arial"/>
          <w:sz w:val="22"/>
          <w:szCs w:val="22"/>
          <w:lang w:eastAsia="en-US"/>
        </w:rPr>
        <w:t xml:space="preserve">ee groups a company was placed </w:t>
      </w:r>
      <w:r w:rsidR="008448FD">
        <w:rPr>
          <w:rFonts w:ascii="Arial" w:hAnsi="Arial" w:cs="Arial"/>
          <w:sz w:val="22"/>
          <w:szCs w:val="22"/>
          <w:lang w:eastAsia="en-US"/>
        </w:rPr>
        <w:t>w</w:t>
      </w:r>
      <w:r>
        <w:rPr>
          <w:rFonts w:ascii="Arial" w:hAnsi="Arial" w:cs="Arial"/>
          <w:sz w:val="22"/>
          <w:szCs w:val="22"/>
          <w:lang w:eastAsia="en-US"/>
        </w:rPr>
        <w:t xml:space="preserve">ould </w:t>
      </w:r>
      <w:r w:rsidR="008448FD">
        <w:rPr>
          <w:rFonts w:ascii="Arial" w:hAnsi="Arial" w:cs="Arial"/>
          <w:sz w:val="22"/>
          <w:szCs w:val="22"/>
          <w:lang w:eastAsia="en-US"/>
        </w:rPr>
        <w:t xml:space="preserve">then </w:t>
      </w:r>
      <w:r>
        <w:rPr>
          <w:rFonts w:ascii="Arial" w:hAnsi="Arial" w:cs="Arial"/>
          <w:sz w:val="22"/>
          <w:szCs w:val="22"/>
          <w:lang w:eastAsia="en-US"/>
        </w:rPr>
        <w:t>determine t</w:t>
      </w:r>
      <w:r w:rsidR="00A854D0">
        <w:rPr>
          <w:rFonts w:ascii="Arial" w:hAnsi="Arial" w:cs="Arial"/>
          <w:sz w:val="22"/>
          <w:szCs w:val="22"/>
          <w:lang w:eastAsia="en-US"/>
        </w:rPr>
        <w:t xml:space="preserve">he timing and scope of </w:t>
      </w:r>
      <w:r>
        <w:rPr>
          <w:rFonts w:ascii="Arial" w:hAnsi="Arial" w:cs="Arial"/>
          <w:sz w:val="22"/>
          <w:szCs w:val="22"/>
          <w:lang w:eastAsia="en-US"/>
        </w:rPr>
        <w:t xml:space="preserve">its maintenance </w:t>
      </w:r>
      <w:r w:rsidR="00A854D0">
        <w:rPr>
          <w:rFonts w:ascii="Arial" w:hAnsi="Arial" w:cs="Arial"/>
          <w:sz w:val="22"/>
          <w:szCs w:val="22"/>
          <w:lang w:eastAsia="en-US"/>
        </w:rPr>
        <w:t>audits</w:t>
      </w:r>
      <w:r>
        <w:rPr>
          <w:rFonts w:ascii="Arial" w:hAnsi="Arial" w:cs="Arial"/>
          <w:sz w:val="22"/>
          <w:szCs w:val="22"/>
          <w:lang w:eastAsia="en-US"/>
        </w:rPr>
        <w:t>. O</w:t>
      </w:r>
      <w:r w:rsidR="00A854D0">
        <w:rPr>
          <w:rFonts w:ascii="Arial" w:hAnsi="Arial" w:cs="Arial"/>
          <w:sz w:val="22"/>
          <w:szCs w:val="22"/>
          <w:lang w:eastAsia="en-US"/>
        </w:rPr>
        <w:t xml:space="preserve">ngoing requirements </w:t>
      </w:r>
      <w:r w:rsidR="00062F71">
        <w:rPr>
          <w:rFonts w:ascii="Arial" w:hAnsi="Arial" w:cs="Arial"/>
          <w:sz w:val="22"/>
          <w:szCs w:val="22"/>
          <w:lang w:eastAsia="en-US"/>
        </w:rPr>
        <w:t xml:space="preserve">beyond auditing </w:t>
      </w:r>
      <w:r w:rsidR="00A854D0">
        <w:rPr>
          <w:rFonts w:ascii="Arial" w:hAnsi="Arial" w:cs="Arial"/>
          <w:sz w:val="22"/>
          <w:szCs w:val="22"/>
          <w:lang w:eastAsia="en-US"/>
        </w:rPr>
        <w:t xml:space="preserve">would </w:t>
      </w:r>
      <w:r w:rsidR="00062F71">
        <w:rPr>
          <w:rFonts w:ascii="Arial" w:hAnsi="Arial" w:cs="Arial"/>
          <w:sz w:val="22"/>
          <w:szCs w:val="22"/>
          <w:lang w:eastAsia="en-US"/>
        </w:rPr>
        <w:t xml:space="preserve">also </w:t>
      </w:r>
      <w:r w:rsidR="00A854D0">
        <w:rPr>
          <w:rFonts w:ascii="Arial" w:hAnsi="Arial" w:cs="Arial"/>
          <w:sz w:val="22"/>
          <w:szCs w:val="22"/>
          <w:lang w:eastAsia="en-US"/>
        </w:rPr>
        <w:t>be tailored</w:t>
      </w:r>
      <w:r>
        <w:rPr>
          <w:rFonts w:ascii="Arial" w:hAnsi="Arial" w:cs="Arial"/>
          <w:sz w:val="22"/>
          <w:szCs w:val="22"/>
          <w:lang w:eastAsia="en-US"/>
        </w:rPr>
        <w:t xml:space="preserve">, </w:t>
      </w:r>
      <w:r w:rsidR="0055391E">
        <w:rPr>
          <w:rFonts w:ascii="Arial" w:hAnsi="Arial" w:cs="Arial"/>
          <w:sz w:val="22"/>
          <w:szCs w:val="22"/>
          <w:lang w:eastAsia="en-US"/>
        </w:rPr>
        <w:t xml:space="preserve">according to </w:t>
      </w:r>
      <w:r w:rsidR="00A854D0">
        <w:rPr>
          <w:rFonts w:ascii="Arial" w:hAnsi="Arial" w:cs="Arial"/>
          <w:sz w:val="22"/>
          <w:szCs w:val="22"/>
          <w:lang w:eastAsia="en-US"/>
        </w:rPr>
        <w:t xml:space="preserve">which group a company </w:t>
      </w:r>
      <w:r w:rsidR="0055391E">
        <w:rPr>
          <w:rFonts w:ascii="Arial" w:hAnsi="Arial" w:cs="Arial"/>
          <w:sz w:val="22"/>
          <w:szCs w:val="22"/>
          <w:lang w:eastAsia="en-US"/>
        </w:rPr>
        <w:t>wa</w:t>
      </w:r>
      <w:r w:rsidR="00A854D0">
        <w:rPr>
          <w:rFonts w:ascii="Arial" w:hAnsi="Arial" w:cs="Arial"/>
          <w:sz w:val="22"/>
          <w:szCs w:val="22"/>
          <w:lang w:eastAsia="en-US"/>
        </w:rPr>
        <w:t xml:space="preserve">s </w:t>
      </w:r>
      <w:r w:rsidR="0055391E">
        <w:rPr>
          <w:rFonts w:ascii="Arial" w:hAnsi="Arial" w:cs="Arial"/>
          <w:sz w:val="22"/>
          <w:szCs w:val="22"/>
          <w:lang w:eastAsia="en-US"/>
        </w:rPr>
        <w:t xml:space="preserve">placed </w:t>
      </w:r>
      <w:r w:rsidR="00A854D0">
        <w:rPr>
          <w:rFonts w:ascii="Arial" w:hAnsi="Arial" w:cs="Arial"/>
          <w:sz w:val="22"/>
          <w:szCs w:val="22"/>
          <w:lang w:eastAsia="en-US"/>
        </w:rPr>
        <w:t>in</w:t>
      </w:r>
      <w:r>
        <w:rPr>
          <w:rFonts w:ascii="Arial" w:hAnsi="Arial" w:cs="Arial"/>
          <w:sz w:val="22"/>
          <w:szCs w:val="22"/>
          <w:lang w:eastAsia="en-US"/>
        </w:rPr>
        <w:t xml:space="preserve"> through its risk profile</w:t>
      </w:r>
      <w:r w:rsidR="0055391E">
        <w:rPr>
          <w:rFonts w:ascii="Arial" w:hAnsi="Arial" w:cs="Arial"/>
          <w:sz w:val="22"/>
          <w:szCs w:val="22"/>
          <w:lang w:eastAsia="en-US"/>
        </w:rPr>
        <w:t xml:space="preserve">. </w:t>
      </w:r>
    </w:p>
    <w:p w:rsidR="007B0877" w:rsidRDefault="007B0877" w:rsidP="00D23BB5">
      <w:pPr>
        <w:rPr>
          <w:rFonts w:ascii="Arial" w:hAnsi="Arial" w:cs="Arial"/>
          <w:sz w:val="22"/>
          <w:szCs w:val="22"/>
          <w:lang w:eastAsia="en-US"/>
        </w:rPr>
      </w:pPr>
    </w:p>
    <w:p w:rsidR="00D23BB5" w:rsidRDefault="00062F71" w:rsidP="00D23BB5">
      <w:pPr>
        <w:rPr>
          <w:rFonts w:ascii="Arial" w:hAnsi="Arial" w:cs="Arial"/>
          <w:sz w:val="22"/>
          <w:szCs w:val="22"/>
          <w:lang w:eastAsia="en-US"/>
        </w:rPr>
      </w:pPr>
      <w:r>
        <w:rPr>
          <w:rFonts w:ascii="Arial" w:hAnsi="Arial" w:cs="Arial"/>
          <w:sz w:val="22"/>
          <w:szCs w:val="22"/>
          <w:lang w:eastAsia="en-US"/>
        </w:rPr>
        <w:t>Subsequent to a</w:t>
      </w:r>
      <w:r w:rsidR="00A854D0">
        <w:rPr>
          <w:rFonts w:ascii="Arial" w:hAnsi="Arial" w:cs="Arial"/>
          <w:sz w:val="22"/>
          <w:szCs w:val="22"/>
          <w:lang w:eastAsia="en-US"/>
        </w:rPr>
        <w:t xml:space="preserve"> maintenance audit, </w:t>
      </w:r>
      <w:r w:rsidR="0055391E">
        <w:rPr>
          <w:rFonts w:ascii="Arial" w:hAnsi="Arial" w:cs="Arial"/>
          <w:sz w:val="22"/>
          <w:szCs w:val="22"/>
          <w:lang w:eastAsia="en-US"/>
        </w:rPr>
        <w:t xml:space="preserve">a company’s risk profile would be updated, based on </w:t>
      </w:r>
      <w:r w:rsidR="00A854D0">
        <w:rPr>
          <w:rFonts w:ascii="Arial" w:hAnsi="Arial" w:cs="Arial"/>
          <w:sz w:val="22"/>
          <w:szCs w:val="22"/>
          <w:lang w:eastAsia="en-US"/>
        </w:rPr>
        <w:t>the results of th</w:t>
      </w:r>
      <w:r w:rsidR="0055391E">
        <w:rPr>
          <w:rFonts w:ascii="Arial" w:hAnsi="Arial" w:cs="Arial"/>
          <w:sz w:val="22"/>
          <w:szCs w:val="22"/>
          <w:lang w:eastAsia="en-US"/>
        </w:rPr>
        <w:t>e</w:t>
      </w:r>
      <w:r w:rsidR="00A854D0">
        <w:rPr>
          <w:rFonts w:ascii="Arial" w:hAnsi="Arial" w:cs="Arial"/>
          <w:sz w:val="22"/>
          <w:szCs w:val="22"/>
          <w:lang w:eastAsia="en-US"/>
        </w:rPr>
        <w:t xml:space="preserve"> audit </w:t>
      </w:r>
      <w:r w:rsidR="0055391E">
        <w:rPr>
          <w:rFonts w:ascii="Arial" w:hAnsi="Arial" w:cs="Arial"/>
          <w:sz w:val="22"/>
          <w:szCs w:val="22"/>
          <w:lang w:eastAsia="en-US"/>
        </w:rPr>
        <w:t xml:space="preserve">and </w:t>
      </w:r>
      <w:r w:rsidR="007B0877">
        <w:rPr>
          <w:rFonts w:ascii="Arial" w:hAnsi="Arial" w:cs="Arial"/>
          <w:sz w:val="22"/>
          <w:szCs w:val="22"/>
          <w:lang w:eastAsia="en-US"/>
        </w:rPr>
        <w:t xml:space="preserve">on </w:t>
      </w:r>
      <w:r w:rsidR="00A854D0">
        <w:rPr>
          <w:rFonts w:ascii="Arial" w:hAnsi="Arial" w:cs="Arial"/>
          <w:sz w:val="22"/>
          <w:szCs w:val="22"/>
          <w:lang w:eastAsia="en-US"/>
        </w:rPr>
        <w:t xml:space="preserve">other company </w:t>
      </w:r>
      <w:r>
        <w:rPr>
          <w:rFonts w:ascii="Arial" w:hAnsi="Arial" w:cs="Arial"/>
          <w:sz w:val="22"/>
          <w:szCs w:val="22"/>
          <w:lang w:eastAsia="en-US"/>
        </w:rPr>
        <w:t xml:space="preserve">WHS </w:t>
      </w:r>
      <w:r w:rsidR="00A854D0">
        <w:rPr>
          <w:rFonts w:ascii="Arial" w:hAnsi="Arial" w:cs="Arial"/>
          <w:sz w:val="22"/>
          <w:szCs w:val="22"/>
          <w:lang w:eastAsia="en-US"/>
        </w:rPr>
        <w:t>performance information</w:t>
      </w:r>
      <w:r w:rsidR="0055391E">
        <w:rPr>
          <w:rFonts w:ascii="Arial" w:hAnsi="Arial" w:cs="Arial"/>
          <w:sz w:val="22"/>
          <w:szCs w:val="22"/>
          <w:lang w:eastAsia="en-US"/>
        </w:rPr>
        <w:t>, and t</w:t>
      </w:r>
      <w:r w:rsidR="00A854D0">
        <w:rPr>
          <w:rFonts w:ascii="Arial" w:hAnsi="Arial" w:cs="Arial"/>
          <w:sz w:val="22"/>
          <w:szCs w:val="22"/>
          <w:lang w:eastAsia="en-US"/>
        </w:rPr>
        <w:t>he company would either remain in or move between the three groups.</w:t>
      </w:r>
      <w:r w:rsidR="007B0877">
        <w:rPr>
          <w:rFonts w:ascii="Arial" w:hAnsi="Arial" w:cs="Arial"/>
          <w:sz w:val="22"/>
          <w:szCs w:val="22"/>
          <w:lang w:eastAsia="en-US"/>
        </w:rPr>
        <w:t xml:space="preserve"> </w:t>
      </w:r>
      <w:r w:rsidR="000743EF">
        <w:rPr>
          <w:rFonts w:ascii="Arial" w:hAnsi="Arial" w:cs="Arial"/>
          <w:sz w:val="22"/>
          <w:szCs w:val="22"/>
          <w:lang w:eastAsia="en-US"/>
        </w:rPr>
        <w:t xml:space="preserve">Audits would continue to be scheduled in this way based on the updated risk profile for each company. </w:t>
      </w:r>
    </w:p>
    <w:p w:rsidR="00062F71" w:rsidRDefault="00062F71" w:rsidP="00D23BB5">
      <w:pPr>
        <w:rPr>
          <w:rFonts w:ascii="Arial" w:hAnsi="Arial" w:cs="Arial"/>
          <w:sz w:val="22"/>
          <w:szCs w:val="22"/>
          <w:lang w:eastAsia="en-US"/>
        </w:rPr>
      </w:pPr>
    </w:p>
    <w:p w:rsidR="000A2F63" w:rsidRDefault="000A2F63">
      <w:pPr>
        <w:rPr>
          <w:rFonts w:ascii="Arial" w:hAnsi="Arial" w:cs="Arial"/>
          <w:sz w:val="22"/>
          <w:szCs w:val="22"/>
          <w:lang w:eastAsia="en-US"/>
        </w:rPr>
      </w:pPr>
      <w:r>
        <w:rPr>
          <w:rFonts w:ascii="Arial" w:hAnsi="Arial" w:cs="Arial"/>
          <w:sz w:val="22"/>
          <w:szCs w:val="22"/>
          <w:lang w:eastAsia="en-US"/>
        </w:rPr>
        <w:br w:type="page"/>
      </w:r>
    </w:p>
    <w:p w:rsidR="00062F71" w:rsidRDefault="00491A95" w:rsidP="00D23BB5">
      <w:pPr>
        <w:rPr>
          <w:rFonts w:ascii="Arial" w:hAnsi="Arial" w:cs="Arial"/>
          <w:sz w:val="22"/>
          <w:szCs w:val="22"/>
          <w:lang w:eastAsia="en-US"/>
        </w:rPr>
      </w:pPr>
      <w:r>
        <w:rPr>
          <w:rFonts w:ascii="Arial" w:hAnsi="Arial" w:cs="Arial"/>
          <w:sz w:val="22"/>
          <w:szCs w:val="22"/>
          <w:lang w:eastAsia="en-US"/>
        </w:rPr>
        <w:t xml:space="preserve">The combination of removing the </w:t>
      </w:r>
      <w:r w:rsidR="008F3909">
        <w:rPr>
          <w:rFonts w:ascii="Arial" w:hAnsi="Arial" w:cs="Arial"/>
          <w:sz w:val="22"/>
          <w:szCs w:val="22"/>
          <w:lang w:eastAsia="en-US"/>
        </w:rPr>
        <w:t>reaccreditation</w:t>
      </w:r>
      <w:r>
        <w:rPr>
          <w:rFonts w:ascii="Arial" w:hAnsi="Arial" w:cs="Arial"/>
          <w:sz w:val="22"/>
          <w:szCs w:val="22"/>
          <w:lang w:eastAsia="en-US"/>
        </w:rPr>
        <w:t xml:space="preserve"> process and all associated paperwork and audit requirements, with the introduction of ongoin</w:t>
      </w:r>
      <w:r w:rsidR="0078389F">
        <w:rPr>
          <w:rFonts w:ascii="Arial" w:hAnsi="Arial" w:cs="Arial"/>
          <w:sz w:val="22"/>
          <w:szCs w:val="22"/>
          <w:lang w:eastAsia="en-US"/>
        </w:rPr>
        <w:t>g accreditation subject to risk-</w:t>
      </w:r>
      <w:r>
        <w:rPr>
          <w:rFonts w:ascii="Arial" w:hAnsi="Arial" w:cs="Arial"/>
          <w:sz w:val="22"/>
          <w:szCs w:val="22"/>
          <w:lang w:eastAsia="en-US"/>
        </w:rPr>
        <w:t xml:space="preserve">based maintenance requirements, is seen as the best way to reduce red tape for accredited companies, </w:t>
      </w:r>
      <w:r w:rsidR="00BC574E">
        <w:rPr>
          <w:rFonts w:ascii="Arial" w:hAnsi="Arial" w:cs="Arial"/>
          <w:sz w:val="22"/>
          <w:szCs w:val="22"/>
          <w:lang w:eastAsia="en-US"/>
        </w:rPr>
        <w:t xml:space="preserve">and </w:t>
      </w:r>
      <w:r>
        <w:rPr>
          <w:rFonts w:ascii="Arial" w:hAnsi="Arial" w:cs="Arial"/>
          <w:sz w:val="22"/>
          <w:szCs w:val="22"/>
          <w:lang w:eastAsia="en-US"/>
        </w:rPr>
        <w:t>allocat</w:t>
      </w:r>
      <w:r w:rsidR="00BC574E">
        <w:rPr>
          <w:rFonts w:ascii="Arial" w:hAnsi="Arial" w:cs="Arial"/>
          <w:sz w:val="22"/>
          <w:szCs w:val="22"/>
          <w:lang w:eastAsia="en-US"/>
        </w:rPr>
        <w:t>ing</w:t>
      </w:r>
      <w:r>
        <w:rPr>
          <w:rFonts w:ascii="Arial" w:hAnsi="Arial" w:cs="Arial"/>
          <w:sz w:val="22"/>
          <w:szCs w:val="22"/>
          <w:lang w:eastAsia="en-US"/>
        </w:rPr>
        <w:t xml:space="preserve"> resources more efficiently and effectively while enhancing the monitoring of ongoing compliance with the Scheme’ requirements for all accredited companies. On this basis, the following recommendations are made:</w:t>
      </w:r>
    </w:p>
    <w:p w:rsidR="00D944FD" w:rsidRDefault="00D944FD" w:rsidP="00D23BB5">
      <w:pPr>
        <w:rPr>
          <w:rFonts w:ascii="Arial" w:hAnsi="Arial" w:cs="Arial"/>
          <w:sz w:val="22"/>
          <w:szCs w:val="22"/>
          <w:lang w:eastAsia="en-US"/>
        </w:rPr>
      </w:pPr>
    </w:p>
    <w:p w:rsidR="00FB3877" w:rsidRDefault="00D944FD" w:rsidP="00FB3877">
      <w:pPr>
        <w:rPr>
          <w:rFonts w:ascii="Arial" w:hAnsi="Arial" w:cs="Arial"/>
          <w:sz w:val="22"/>
          <w:szCs w:val="22"/>
          <w:highlight w:val="lightGray"/>
        </w:rPr>
      </w:pPr>
      <w:r w:rsidRPr="005C2E4D">
        <w:rPr>
          <w:rFonts w:ascii="Arial" w:hAnsi="Arial" w:cs="Arial"/>
          <w:noProof/>
          <w:sz w:val="22"/>
          <w:szCs w:val="22"/>
        </w:rPr>
        <mc:AlternateContent>
          <mc:Choice Requires="wps">
            <w:drawing>
              <wp:inline distT="0" distB="0" distL="0" distR="0" wp14:anchorId="7F5659E9" wp14:editId="2EC445D8">
                <wp:extent cx="5743575" cy="790575"/>
                <wp:effectExtent l="0" t="0" r="28575" b="28575"/>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790575"/>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D944F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w:t>
                            </w:r>
                            <w:r>
                              <w:rPr>
                                <w:rFonts w:ascii="Arial" w:hAnsi="Arial" w:cs="Arial"/>
                                <w:sz w:val="22"/>
                                <w:szCs w:val="22"/>
                              </w:rPr>
                              <w:t>current reaccreditation</w:t>
                            </w:r>
                            <w:r w:rsidRPr="009406F8">
                              <w:rPr>
                                <w:rFonts w:ascii="Arial" w:hAnsi="Arial" w:cs="Arial"/>
                                <w:sz w:val="22"/>
                                <w:szCs w:val="22"/>
                              </w:rPr>
                              <w:t xml:space="preserve"> process </w:t>
                            </w:r>
                            <w:r>
                              <w:rPr>
                                <w:rFonts w:ascii="Arial" w:hAnsi="Arial" w:cs="Arial"/>
                                <w:sz w:val="22"/>
                                <w:szCs w:val="22"/>
                              </w:rPr>
                              <w:t xml:space="preserve">be </w:t>
                            </w:r>
                            <w:r w:rsidRPr="009406F8">
                              <w:rPr>
                                <w:rFonts w:ascii="Arial" w:hAnsi="Arial" w:cs="Arial"/>
                                <w:sz w:val="22"/>
                                <w:szCs w:val="22"/>
                              </w:rPr>
                              <w:t xml:space="preserve">abolished, including all </w:t>
                            </w:r>
                            <w:r>
                              <w:rPr>
                                <w:rFonts w:ascii="Arial" w:hAnsi="Arial" w:cs="Arial"/>
                                <w:sz w:val="22"/>
                                <w:szCs w:val="22"/>
                              </w:rPr>
                              <w:t xml:space="preserve">associated </w:t>
                            </w:r>
                            <w:r w:rsidRPr="009406F8">
                              <w:rPr>
                                <w:rFonts w:ascii="Arial" w:hAnsi="Arial" w:cs="Arial"/>
                                <w:sz w:val="22"/>
                                <w:szCs w:val="22"/>
                              </w:rPr>
                              <w:t>paperwork and other red tape requirements. Companies’ accreditation</w:t>
                            </w:r>
                            <w:r>
                              <w:rPr>
                                <w:rFonts w:ascii="Arial" w:hAnsi="Arial" w:cs="Arial"/>
                                <w:sz w:val="22"/>
                                <w:szCs w:val="22"/>
                              </w:rPr>
                              <w:t>s</w:t>
                            </w:r>
                            <w:r w:rsidRPr="009406F8">
                              <w:rPr>
                                <w:rFonts w:ascii="Arial" w:hAnsi="Arial" w:cs="Arial"/>
                                <w:sz w:val="22"/>
                                <w:szCs w:val="22"/>
                              </w:rPr>
                              <w:t xml:space="preserve"> </w:t>
                            </w:r>
                            <w:r>
                              <w:rPr>
                                <w:rFonts w:ascii="Arial" w:hAnsi="Arial" w:cs="Arial"/>
                                <w:sz w:val="22"/>
                                <w:szCs w:val="22"/>
                              </w:rPr>
                              <w:t>to</w:t>
                            </w:r>
                            <w:r w:rsidRPr="009406F8">
                              <w:rPr>
                                <w:rFonts w:ascii="Arial" w:hAnsi="Arial" w:cs="Arial"/>
                                <w:sz w:val="22"/>
                                <w:szCs w:val="22"/>
                              </w:rPr>
                              <w:t xml:space="preserve"> continue indefinitely, subject to satisfactory compliance with Scheme requirements</w:t>
                            </w:r>
                            <w:r>
                              <w:rPr>
                                <w:rFonts w:ascii="Arial" w:hAnsi="Arial" w:cs="Arial"/>
                                <w:sz w:val="22"/>
                                <w:szCs w:val="22"/>
                              </w:rPr>
                              <w:t>.</w:t>
                            </w:r>
                            <w:r w:rsidRPr="009406F8">
                              <w:rPr>
                                <w:rFonts w:ascii="Arial" w:hAnsi="Arial" w:cs="Arial"/>
                                <w:sz w:val="22"/>
                                <w:szCs w:val="22"/>
                              </w:rPr>
                              <w:t xml:space="preserve"> </w:t>
                            </w:r>
                          </w:p>
                        </w:txbxContent>
                      </wps:txbx>
                      <wps:bodyPr rot="0" vert="horz" wrap="square" lIns="91440" tIns="45720" rIns="91440" bIns="45720" anchor="ctr" anchorCtr="0">
                        <a:noAutofit/>
                      </wps:bodyPr>
                    </wps:wsp>
                  </a:graphicData>
                </a:graphic>
              </wp:inline>
            </w:drawing>
          </mc:Choice>
          <mc:Fallback>
            <w:pict>
              <v:shape w14:anchorId="7F5659E9" id="_x0000_s1037" type="#_x0000_t202" style="width:452.25pt;height:62.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" fillcolor="#d8d8d8 [2732]">
                <v:textbox>
                  <w:txbxContent>
                    <w:p w:rsidR="00226B47" w:rsidRPr="005C2E4D" w:rsidRDefault="00226B47" w:rsidP="00D944FD">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w:t>
                      </w:r>
                      <w:r>
                        <w:rPr>
                          <w:rFonts w:ascii="Arial" w:hAnsi="Arial" w:cs="Arial"/>
                          <w:sz w:val="22"/>
                          <w:szCs w:val="22"/>
                        </w:rPr>
                        <w:t>current reaccreditation</w:t>
                      </w:r>
                      <w:r w:rsidRPr="009406F8">
                        <w:rPr>
                          <w:rFonts w:ascii="Arial" w:hAnsi="Arial" w:cs="Arial"/>
                          <w:sz w:val="22"/>
                          <w:szCs w:val="22"/>
                        </w:rPr>
                        <w:t xml:space="preserve"> process </w:t>
                      </w:r>
                      <w:r>
                        <w:rPr>
                          <w:rFonts w:ascii="Arial" w:hAnsi="Arial" w:cs="Arial"/>
                          <w:sz w:val="22"/>
                          <w:szCs w:val="22"/>
                        </w:rPr>
                        <w:t xml:space="preserve">be </w:t>
                      </w:r>
                      <w:r w:rsidRPr="009406F8">
                        <w:rPr>
                          <w:rFonts w:ascii="Arial" w:hAnsi="Arial" w:cs="Arial"/>
                          <w:sz w:val="22"/>
                          <w:szCs w:val="22"/>
                        </w:rPr>
                        <w:t xml:space="preserve">abolished, including all </w:t>
                      </w:r>
                      <w:r>
                        <w:rPr>
                          <w:rFonts w:ascii="Arial" w:hAnsi="Arial" w:cs="Arial"/>
                          <w:sz w:val="22"/>
                          <w:szCs w:val="22"/>
                        </w:rPr>
                        <w:t xml:space="preserve">associated </w:t>
                      </w:r>
                      <w:r w:rsidRPr="009406F8">
                        <w:rPr>
                          <w:rFonts w:ascii="Arial" w:hAnsi="Arial" w:cs="Arial"/>
                          <w:sz w:val="22"/>
                          <w:szCs w:val="22"/>
                        </w:rPr>
                        <w:t>paperwork and other red tape requirements. Companies’ accreditation</w:t>
                      </w:r>
                      <w:r>
                        <w:rPr>
                          <w:rFonts w:ascii="Arial" w:hAnsi="Arial" w:cs="Arial"/>
                          <w:sz w:val="22"/>
                          <w:szCs w:val="22"/>
                        </w:rPr>
                        <w:t>s</w:t>
                      </w:r>
                      <w:r w:rsidRPr="009406F8">
                        <w:rPr>
                          <w:rFonts w:ascii="Arial" w:hAnsi="Arial" w:cs="Arial"/>
                          <w:sz w:val="22"/>
                          <w:szCs w:val="22"/>
                        </w:rPr>
                        <w:t xml:space="preserve"> </w:t>
                      </w:r>
                      <w:r>
                        <w:rPr>
                          <w:rFonts w:ascii="Arial" w:hAnsi="Arial" w:cs="Arial"/>
                          <w:sz w:val="22"/>
                          <w:szCs w:val="22"/>
                        </w:rPr>
                        <w:t>to</w:t>
                      </w:r>
                      <w:r w:rsidRPr="009406F8">
                        <w:rPr>
                          <w:rFonts w:ascii="Arial" w:hAnsi="Arial" w:cs="Arial"/>
                          <w:sz w:val="22"/>
                          <w:szCs w:val="22"/>
                        </w:rPr>
                        <w:t xml:space="preserve"> continue indefinitely, subject to satisfactory compliance with Scheme requirements</w:t>
                      </w:r>
                      <w:r>
                        <w:rPr>
                          <w:rFonts w:ascii="Arial" w:hAnsi="Arial" w:cs="Arial"/>
                          <w:sz w:val="22"/>
                          <w:szCs w:val="22"/>
                        </w:rPr>
                        <w:t>.</w:t>
                      </w:r>
                      <w:r w:rsidRPr="009406F8">
                        <w:rPr>
                          <w:rFonts w:ascii="Arial" w:hAnsi="Arial" w:cs="Arial"/>
                          <w:sz w:val="22"/>
                          <w:szCs w:val="22"/>
                        </w:rPr>
                        <w:t xml:space="preserve"> </w:t>
                      </w:r>
                    </w:p>
                  </w:txbxContent>
                </v:textbox>
                <w10:anchorlock/>
              </v:shape>
            </w:pict>
          </mc:Fallback>
        </mc:AlternateContent>
      </w:r>
    </w:p>
    <w:p w:rsidR="00D944FD" w:rsidRPr="005E46C2" w:rsidRDefault="00D944FD" w:rsidP="00FB3877">
      <w:pPr>
        <w:rPr>
          <w:rFonts w:ascii="Arial" w:hAnsi="Arial" w:cs="Arial"/>
          <w:sz w:val="22"/>
          <w:szCs w:val="22"/>
          <w:highlight w:val="lightGray"/>
        </w:rPr>
      </w:pPr>
    </w:p>
    <w:p w:rsidR="00AB0007" w:rsidRDefault="00AB0007" w:rsidP="00B65679">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3AB82F3C" wp14:editId="46F8DA60">
                <wp:extent cx="5743575" cy="972355"/>
                <wp:effectExtent l="0" t="0" r="28575" b="1841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72355"/>
                        </a:xfrm>
                        <a:prstGeom prst="rect">
                          <a:avLst/>
                        </a:prstGeom>
                        <a:solidFill>
                          <a:schemeClr val="bg1">
                            <a:lumMod val="85000"/>
                          </a:schemeClr>
                        </a:solidFill>
                        <a:ln w="9525">
                          <a:solidFill>
                            <a:srgbClr val="000000"/>
                          </a:solidFill>
                          <a:miter lim="800000"/>
                          <a:headEnd/>
                          <a:tailEnd/>
                        </a:ln>
                      </wps:spPr>
                      <wps:txbx>
                        <w:txbxContent>
                          <w:p w:rsidR="00226B47" w:rsidRPr="005C2E4D" w:rsidRDefault="00226B47" w:rsidP="00AB000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13</w:t>
                            </w:r>
                            <w:r w:rsidRPr="005E46C2">
                              <w:rPr>
                                <w:rFonts w:ascii="Arial" w:hAnsi="Arial" w:cs="Arial"/>
                                <w:sz w:val="22"/>
                                <w:szCs w:val="22"/>
                                <w:highlight w:val="lightGray"/>
                              </w:rPr>
                              <w:t>:</w:t>
                            </w:r>
                            <w:r>
                              <w:rPr>
                                <w:rFonts w:ascii="Arial" w:hAnsi="Arial" w:cs="Arial"/>
                                <w:sz w:val="22"/>
                                <w:szCs w:val="22"/>
                              </w:rPr>
                              <w:t xml:space="preserve"> </w:t>
                            </w:r>
                            <w:r w:rsidRPr="00AB0007">
                              <w:rPr>
                                <w:rFonts w:ascii="Arial" w:hAnsi="Arial" w:cs="Arial"/>
                                <w:sz w:val="22"/>
                                <w:szCs w:val="22"/>
                              </w:rPr>
                              <w:t xml:space="preserve">The </w:t>
                            </w:r>
                            <w:r>
                              <w:rPr>
                                <w:rFonts w:ascii="Arial" w:hAnsi="Arial" w:cs="Arial"/>
                                <w:sz w:val="22"/>
                                <w:szCs w:val="22"/>
                              </w:rPr>
                              <w:t xml:space="preserve">OFSC, in consultation with relevant stakeholders, develops </w:t>
                            </w:r>
                            <w:r w:rsidRPr="00AB0007">
                              <w:rPr>
                                <w:rFonts w:ascii="Arial" w:hAnsi="Arial" w:cs="Arial"/>
                                <w:sz w:val="22"/>
                                <w:szCs w:val="22"/>
                              </w:rPr>
                              <w:t>a risk-based approach</w:t>
                            </w:r>
                            <w:r>
                              <w:rPr>
                                <w:rFonts w:ascii="Arial" w:hAnsi="Arial" w:cs="Arial"/>
                                <w:sz w:val="22"/>
                                <w:szCs w:val="22"/>
                              </w:rPr>
                              <w:t xml:space="preserve"> to maintaining accreditation</w:t>
                            </w:r>
                            <w:r w:rsidRPr="00AB0007">
                              <w:rPr>
                                <w:rFonts w:ascii="Arial" w:hAnsi="Arial" w:cs="Arial"/>
                                <w:sz w:val="22"/>
                                <w:szCs w:val="22"/>
                              </w:rPr>
                              <w:t xml:space="preserve"> that tailors </w:t>
                            </w:r>
                            <w:r>
                              <w:rPr>
                                <w:rFonts w:ascii="Arial" w:hAnsi="Arial" w:cs="Arial"/>
                                <w:sz w:val="22"/>
                                <w:szCs w:val="22"/>
                              </w:rPr>
                              <w:t>ongoing frequency and scope of audits</w:t>
                            </w:r>
                            <w:r w:rsidRPr="00AB0007">
                              <w:rPr>
                                <w:rFonts w:ascii="Arial" w:hAnsi="Arial" w:cs="Arial"/>
                                <w:sz w:val="22"/>
                                <w:szCs w:val="22"/>
                              </w:rPr>
                              <w:t xml:space="preserve"> </w:t>
                            </w:r>
                            <w:r>
                              <w:rPr>
                                <w:rFonts w:ascii="Arial" w:hAnsi="Arial" w:cs="Arial"/>
                                <w:sz w:val="22"/>
                                <w:szCs w:val="22"/>
                              </w:rPr>
                              <w:t xml:space="preserve">for accredited companies to ensure ongoing </w:t>
                            </w:r>
                            <w:r w:rsidRPr="00AB0007">
                              <w:rPr>
                                <w:rFonts w:ascii="Arial" w:hAnsi="Arial" w:cs="Arial"/>
                                <w:sz w:val="22"/>
                                <w:szCs w:val="22"/>
                              </w:rPr>
                              <w:t>compliance with Scheme requirements</w:t>
                            </w:r>
                            <w:r>
                              <w:rPr>
                                <w:rFonts w:ascii="Arial" w:hAnsi="Arial" w:cs="Arial"/>
                                <w:sz w:val="22"/>
                                <w:szCs w:val="22"/>
                              </w:rPr>
                              <w:t>.</w:t>
                            </w:r>
                            <w:r w:rsidRPr="00AB0007">
                              <w:rPr>
                                <w:rFonts w:ascii="Arial" w:hAnsi="Arial" w:cs="Arial"/>
                                <w:sz w:val="22"/>
                                <w:szCs w:val="22"/>
                              </w:rPr>
                              <w:t xml:space="preserve"> </w:t>
                            </w:r>
                          </w:p>
                        </w:txbxContent>
                      </wps:txbx>
                      <wps:bodyPr rot="0" vert="horz" wrap="square" lIns="91440" tIns="45720" rIns="91440" bIns="45720" anchor="ctr" anchorCtr="0">
                        <a:noAutofit/>
                      </wps:bodyPr>
                    </wps:wsp>
                  </a:graphicData>
                </a:graphic>
              </wp:inline>
            </w:drawing>
          </mc:Choice>
          <mc:Fallback>
            <w:pict>
              <v:shape w14:anchorId="3AB82F3C" id="_x0000_s1038" type="#_x0000_t202" style="width:452.25pt;height:76.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" fillcolor="#d8d8d8 [2732]">
                <v:textbox>
                  <w:txbxContent>
                    <w:p w:rsidR="00226B47" w:rsidRPr="005C2E4D" w:rsidRDefault="00226B47" w:rsidP="00AB000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13</w:t>
                      </w:r>
                      <w:r w:rsidRPr="005E46C2">
                        <w:rPr>
                          <w:rFonts w:ascii="Arial" w:hAnsi="Arial" w:cs="Arial"/>
                          <w:sz w:val="22"/>
                          <w:szCs w:val="22"/>
                          <w:highlight w:val="lightGray"/>
                        </w:rPr>
                        <w:t>:</w:t>
                      </w:r>
                      <w:r>
                        <w:rPr>
                          <w:rFonts w:ascii="Arial" w:hAnsi="Arial" w:cs="Arial"/>
                          <w:sz w:val="22"/>
                          <w:szCs w:val="22"/>
                        </w:rPr>
                        <w:t xml:space="preserve"> </w:t>
                      </w:r>
                      <w:r w:rsidRPr="00AB0007">
                        <w:rPr>
                          <w:rFonts w:ascii="Arial" w:hAnsi="Arial" w:cs="Arial"/>
                          <w:sz w:val="22"/>
                          <w:szCs w:val="22"/>
                        </w:rPr>
                        <w:t xml:space="preserve">The </w:t>
                      </w:r>
                      <w:r>
                        <w:rPr>
                          <w:rFonts w:ascii="Arial" w:hAnsi="Arial" w:cs="Arial"/>
                          <w:sz w:val="22"/>
                          <w:szCs w:val="22"/>
                        </w:rPr>
                        <w:t xml:space="preserve">OFSC, in consultation with relevant stakeholders, develops </w:t>
                      </w:r>
                      <w:r w:rsidRPr="00AB0007">
                        <w:rPr>
                          <w:rFonts w:ascii="Arial" w:hAnsi="Arial" w:cs="Arial"/>
                          <w:sz w:val="22"/>
                          <w:szCs w:val="22"/>
                        </w:rPr>
                        <w:t>a risk-based approach</w:t>
                      </w:r>
                      <w:r>
                        <w:rPr>
                          <w:rFonts w:ascii="Arial" w:hAnsi="Arial" w:cs="Arial"/>
                          <w:sz w:val="22"/>
                          <w:szCs w:val="22"/>
                        </w:rPr>
                        <w:t xml:space="preserve"> to maintaining accreditation</w:t>
                      </w:r>
                      <w:r w:rsidRPr="00AB0007">
                        <w:rPr>
                          <w:rFonts w:ascii="Arial" w:hAnsi="Arial" w:cs="Arial"/>
                          <w:sz w:val="22"/>
                          <w:szCs w:val="22"/>
                        </w:rPr>
                        <w:t xml:space="preserve"> that tailors </w:t>
                      </w:r>
                      <w:r>
                        <w:rPr>
                          <w:rFonts w:ascii="Arial" w:hAnsi="Arial" w:cs="Arial"/>
                          <w:sz w:val="22"/>
                          <w:szCs w:val="22"/>
                        </w:rPr>
                        <w:t>ongoing frequency and scope of audits</w:t>
                      </w:r>
                      <w:r w:rsidRPr="00AB0007">
                        <w:rPr>
                          <w:rFonts w:ascii="Arial" w:hAnsi="Arial" w:cs="Arial"/>
                          <w:sz w:val="22"/>
                          <w:szCs w:val="22"/>
                        </w:rPr>
                        <w:t xml:space="preserve"> </w:t>
                      </w:r>
                      <w:r>
                        <w:rPr>
                          <w:rFonts w:ascii="Arial" w:hAnsi="Arial" w:cs="Arial"/>
                          <w:sz w:val="22"/>
                          <w:szCs w:val="22"/>
                        </w:rPr>
                        <w:t xml:space="preserve">for accredited companies to ensure ongoing </w:t>
                      </w:r>
                      <w:r w:rsidRPr="00AB0007">
                        <w:rPr>
                          <w:rFonts w:ascii="Arial" w:hAnsi="Arial" w:cs="Arial"/>
                          <w:sz w:val="22"/>
                          <w:szCs w:val="22"/>
                        </w:rPr>
                        <w:t>compliance with Scheme requirements</w:t>
                      </w:r>
                      <w:r>
                        <w:rPr>
                          <w:rFonts w:ascii="Arial" w:hAnsi="Arial" w:cs="Arial"/>
                          <w:sz w:val="22"/>
                          <w:szCs w:val="22"/>
                        </w:rPr>
                        <w:t>.</w:t>
                      </w:r>
                      <w:r w:rsidRPr="00AB0007">
                        <w:rPr>
                          <w:rFonts w:ascii="Arial" w:hAnsi="Arial" w:cs="Arial"/>
                          <w:sz w:val="22"/>
                          <w:szCs w:val="22"/>
                        </w:rPr>
                        <w:t xml:space="preserve"> </w:t>
                      </w:r>
                    </w:p>
                  </w:txbxContent>
                </v:textbox>
                <w10:anchorlock/>
              </v:shape>
            </w:pict>
          </mc:Fallback>
        </mc:AlternateContent>
      </w:r>
    </w:p>
    <w:p w:rsidR="00FB3877" w:rsidRPr="008525D8" w:rsidRDefault="00FB3877" w:rsidP="008525D8"/>
    <w:p w:rsidR="00793E83" w:rsidRDefault="00793E83" w:rsidP="008525D8">
      <w:bookmarkStart w:id="43" w:name="_Toc382816481"/>
    </w:p>
    <w:p w:rsidR="00AB0007" w:rsidRDefault="00AB0007" w:rsidP="003005B9">
      <w:pPr>
        <w:pStyle w:val="Heading2"/>
      </w:pPr>
      <w:bookmarkStart w:id="44" w:name="_Toc390429526"/>
      <w:r>
        <w:t>Reporting</w:t>
      </w:r>
      <w:bookmarkEnd w:id="44"/>
    </w:p>
    <w:p w:rsidR="00AB0007" w:rsidRDefault="00AB0007" w:rsidP="00AB0007"/>
    <w:p w:rsidR="00AE5855" w:rsidRDefault="00126BBA" w:rsidP="00AB0007">
      <w:pPr>
        <w:rPr>
          <w:rFonts w:ascii="Arial" w:hAnsi="Arial" w:cs="Arial"/>
          <w:sz w:val="22"/>
          <w:szCs w:val="22"/>
          <w:lang w:eastAsia="en-US"/>
        </w:rPr>
      </w:pPr>
      <w:r w:rsidRPr="00AB0007">
        <w:rPr>
          <w:rFonts w:ascii="Arial" w:hAnsi="Arial" w:cs="Arial"/>
          <w:sz w:val="22"/>
          <w:szCs w:val="22"/>
          <w:lang w:eastAsia="en-US"/>
        </w:rPr>
        <w:t>Accredited co</w:t>
      </w:r>
      <w:r w:rsidR="00AE5855">
        <w:rPr>
          <w:rFonts w:ascii="Arial" w:hAnsi="Arial" w:cs="Arial"/>
          <w:sz w:val="22"/>
          <w:szCs w:val="22"/>
          <w:lang w:eastAsia="en-US"/>
        </w:rPr>
        <w:t>mpanies</w:t>
      </w:r>
      <w:r w:rsidRPr="00AB0007">
        <w:rPr>
          <w:rFonts w:ascii="Arial" w:hAnsi="Arial" w:cs="Arial"/>
          <w:sz w:val="22"/>
          <w:szCs w:val="22"/>
          <w:lang w:eastAsia="en-US"/>
        </w:rPr>
        <w:t xml:space="preserve"> are required to</w:t>
      </w:r>
      <w:r>
        <w:rPr>
          <w:rFonts w:ascii="Arial" w:hAnsi="Arial" w:cs="Arial"/>
          <w:sz w:val="22"/>
          <w:szCs w:val="22"/>
          <w:lang w:eastAsia="en-US"/>
        </w:rPr>
        <w:t xml:space="preserve"> </w:t>
      </w:r>
      <w:r w:rsidR="00AE5855">
        <w:rPr>
          <w:rFonts w:ascii="Arial" w:hAnsi="Arial" w:cs="Arial"/>
          <w:sz w:val="22"/>
          <w:szCs w:val="22"/>
          <w:lang w:eastAsia="en-US"/>
        </w:rPr>
        <w:t xml:space="preserve">provide </w:t>
      </w:r>
      <w:r>
        <w:rPr>
          <w:rFonts w:ascii="Arial" w:hAnsi="Arial" w:cs="Arial"/>
          <w:sz w:val="22"/>
          <w:szCs w:val="22"/>
          <w:lang w:eastAsia="en-US"/>
        </w:rPr>
        <w:t xml:space="preserve">WHS data through periodic reports to the OFSC. Requirements include </w:t>
      </w:r>
      <w:r w:rsidRPr="0049188B">
        <w:rPr>
          <w:rFonts w:ascii="Arial" w:hAnsi="Arial" w:cs="Arial"/>
          <w:sz w:val="22"/>
          <w:szCs w:val="22"/>
          <w:lang w:eastAsia="en-US"/>
        </w:rPr>
        <w:t>providing</w:t>
      </w:r>
      <w:r w:rsidR="000D2A1A">
        <w:rPr>
          <w:rFonts w:ascii="Arial" w:hAnsi="Arial" w:cs="Arial"/>
          <w:sz w:val="22"/>
          <w:szCs w:val="22"/>
          <w:lang w:eastAsia="en-US"/>
        </w:rPr>
        <w:t>:</w:t>
      </w:r>
      <w:r w:rsidRPr="0049188B">
        <w:rPr>
          <w:rFonts w:ascii="Arial" w:hAnsi="Arial" w:cs="Arial"/>
          <w:sz w:val="22"/>
          <w:szCs w:val="22"/>
          <w:lang w:eastAsia="en-US"/>
        </w:rPr>
        <w:t xml:space="preserve"> </w:t>
      </w:r>
    </w:p>
    <w:p w:rsidR="00B07B41" w:rsidRDefault="00B07B41" w:rsidP="00AB0007">
      <w:pPr>
        <w:rPr>
          <w:rFonts w:ascii="Arial" w:hAnsi="Arial" w:cs="Arial"/>
          <w:sz w:val="22"/>
          <w:szCs w:val="22"/>
          <w:lang w:eastAsia="en-US"/>
        </w:rPr>
      </w:pPr>
    </w:p>
    <w:p w:rsidR="003D10F9" w:rsidRDefault="003D10F9" w:rsidP="008C1B31">
      <w:pPr>
        <w:pStyle w:val="ListParagraph"/>
        <w:numPr>
          <w:ilvl w:val="0"/>
          <w:numId w:val="11"/>
        </w:numPr>
        <w:spacing w:after="120" w:line="240" w:lineRule="auto"/>
        <w:ind w:left="567" w:hanging="283"/>
        <w:rPr>
          <w:rFonts w:ascii="Arial" w:hAnsi="Arial" w:cs="Arial"/>
        </w:rPr>
      </w:pPr>
      <w:r w:rsidRPr="0049188B">
        <w:rPr>
          <w:rFonts w:ascii="Arial" w:hAnsi="Arial" w:cs="Arial"/>
        </w:rPr>
        <w:t xml:space="preserve">incident reports for </w:t>
      </w:r>
      <w:r w:rsidR="00126BBA" w:rsidRPr="003D10F9">
        <w:rPr>
          <w:rFonts w:ascii="Arial" w:hAnsi="Arial" w:cs="Arial"/>
        </w:rPr>
        <w:t xml:space="preserve">lost time </w:t>
      </w:r>
      <w:r w:rsidR="00AE5855">
        <w:rPr>
          <w:rFonts w:ascii="Arial" w:hAnsi="Arial" w:cs="Arial"/>
        </w:rPr>
        <w:t>and</w:t>
      </w:r>
      <w:r w:rsidR="00126BBA" w:rsidRPr="003D10F9">
        <w:rPr>
          <w:rFonts w:ascii="Arial" w:hAnsi="Arial" w:cs="Arial"/>
        </w:rPr>
        <w:t xml:space="preserve"> medically treated injuries </w:t>
      </w:r>
      <w:r w:rsidR="00EC4A58">
        <w:rPr>
          <w:rFonts w:ascii="Arial" w:hAnsi="Arial" w:cs="Arial"/>
        </w:rPr>
        <w:t>on Scheme projects,</w:t>
      </w:r>
    </w:p>
    <w:p w:rsidR="003D10F9" w:rsidRDefault="00126BBA" w:rsidP="008C1B31">
      <w:pPr>
        <w:pStyle w:val="ListParagraph"/>
        <w:numPr>
          <w:ilvl w:val="0"/>
          <w:numId w:val="11"/>
        </w:numPr>
        <w:spacing w:after="120" w:line="240" w:lineRule="auto"/>
        <w:ind w:left="567" w:hanging="283"/>
        <w:rPr>
          <w:rFonts w:ascii="Arial" w:hAnsi="Arial" w:cs="Arial"/>
        </w:rPr>
      </w:pPr>
      <w:r w:rsidRPr="003D10F9">
        <w:rPr>
          <w:rFonts w:ascii="Arial" w:hAnsi="Arial" w:cs="Arial"/>
        </w:rPr>
        <w:t xml:space="preserve">notifiable dangerous occurrences on Scheme projects, </w:t>
      </w:r>
    </w:p>
    <w:p w:rsidR="003D10F9" w:rsidRDefault="00126BBA" w:rsidP="008C1B31">
      <w:pPr>
        <w:pStyle w:val="ListParagraph"/>
        <w:numPr>
          <w:ilvl w:val="0"/>
          <w:numId w:val="11"/>
        </w:numPr>
        <w:spacing w:after="120" w:line="240" w:lineRule="auto"/>
        <w:ind w:left="567" w:hanging="283"/>
        <w:rPr>
          <w:rFonts w:ascii="Arial" w:hAnsi="Arial" w:cs="Arial"/>
        </w:rPr>
      </w:pPr>
      <w:r w:rsidRPr="003D10F9">
        <w:rPr>
          <w:rFonts w:ascii="Arial" w:hAnsi="Arial" w:cs="Arial"/>
        </w:rPr>
        <w:t>lost time injuries that occur on non-Scheme projects valued at greater than $3 million</w:t>
      </w:r>
      <w:r w:rsidR="003D10F9">
        <w:rPr>
          <w:rFonts w:ascii="Arial" w:hAnsi="Arial" w:cs="Arial"/>
        </w:rPr>
        <w:t>;</w:t>
      </w:r>
    </w:p>
    <w:p w:rsidR="003D10F9" w:rsidRDefault="003D10F9" w:rsidP="008C1B31">
      <w:pPr>
        <w:pStyle w:val="ListParagraph"/>
        <w:numPr>
          <w:ilvl w:val="0"/>
          <w:numId w:val="11"/>
        </w:numPr>
        <w:spacing w:after="120" w:line="240" w:lineRule="auto"/>
        <w:ind w:left="567" w:hanging="283"/>
        <w:rPr>
          <w:rFonts w:ascii="Arial" w:hAnsi="Arial" w:cs="Arial"/>
        </w:rPr>
      </w:pPr>
      <w:r>
        <w:rPr>
          <w:rFonts w:ascii="Arial" w:hAnsi="Arial" w:cs="Arial"/>
        </w:rPr>
        <w:t>i</w:t>
      </w:r>
      <w:r w:rsidR="00126BBA" w:rsidRPr="003D10F9">
        <w:rPr>
          <w:rFonts w:ascii="Arial" w:hAnsi="Arial" w:cs="Arial"/>
        </w:rPr>
        <w:t>ncident reports for all fatalities</w:t>
      </w:r>
      <w:r>
        <w:rPr>
          <w:rFonts w:ascii="Arial" w:hAnsi="Arial" w:cs="Arial"/>
        </w:rPr>
        <w:t>,</w:t>
      </w:r>
      <w:r w:rsidR="00AE5855" w:rsidRPr="003D10F9">
        <w:rPr>
          <w:rFonts w:ascii="Arial" w:hAnsi="Arial" w:cs="Arial"/>
        </w:rPr>
        <w:t xml:space="preserve"> </w:t>
      </w:r>
      <w:r w:rsidR="00126BBA" w:rsidRPr="003D10F9">
        <w:rPr>
          <w:rFonts w:ascii="Arial" w:hAnsi="Arial" w:cs="Arial"/>
        </w:rPr>
        <w:t>regardless of project value</w:t>
      </w:r>
      <w:r>
        <w:rPr>
          <w:rFonts w:ascii="Arial" w:hAnsi="Arial" w:cs="Arial"/>
        </w:rPr>
        <w:t>;</w:t>
      </w:r>
    </w:p>
    <w:p w:rsidR="003D10F9" w:rsidRDefault="00126BBA" w:rsidP="008C1B31">
      <w:pPr>
        <w:pStyle w:val="ListParagraph"/>
        <w:numPr>
          <w:ilvl w:val="0"/>
          <w:numId w:val="11"/>
        </w:numPr>
        <w:spacing w:after="120" w:line="240" w:lineRule="auto"/>
        <w:ind w:left="567" w:hanging="283"/>
        <w:rPr>
          <w:rFonts w:ascii="Arial" w:hAnsi="Arial" w:cs="Arial"/>
        </w:rPr>
      </w:pPr>
      <w:r w:rsidRPr="003D10F9">
        <w:rPr>
          <w:rFonts w:ascii="Arial" w:hAnsi="Arial" w:cs="Arial"/>
        </w:rPr>
        <w:t>information regarding projects undertaken through bi</w:t>
      </w:r>
      <w:r w:rsidR="003D10F9">
        <w:rPr>
          <w:rFonts w:ascii="Arial" w:hAnsi="Arial" w:cs="Arial"/>
        </w:rPr>
        <w:t>-</w:t>
      </w:r>
      <w:r w:rsidRPr="003D10F9">
        <w:rPr>
          <w:rFonts w:ascii="Arial" w:hAnsi="Arial" w:cs="Arial"/>
        </w:rPr>
        <w:t>annual and Scheme project reports, including</w:t>
      </w:r>
      <w:r w:rsidR="003D10F9">
        <w:rPr>
          <w:rFonts w:ascii="Arial" w:hAnsi="Arial" w:cs="Arial"/>
        </w:rPr>
        <w:t>:</w:t>
      </w:r>
      <w:r w:rsidRPr="003D10F9">
        <w:rPr>
          <w:rFonts w:ascii="Arial" w:hAnsi="Arial" w:cs="Arial"/>
        </w:rPr>
        <w:t xml:space="preserve"> </w:t>
      </w:r>
    </w:p>
    <w:p w:rsidR="003D10F9" w:rsidRDefault="00126BBA" w:rsidP="008C1B31">
      <w:pPr>
        <w:pStyle w:val="ListParagraph"/>
        <w:numPr>
          <w:ilvl w:val="1"/>
          <w:numId w:val="11"/>
        </w:numPr>
        <w:spacing w:after="120" w:line="240" w:lineRule="auto"/>
        <w:rPr>
          <w:rFonts w:ascii="Arial" w:hAnsi="Arial" w:cs="Arial"/>
        </w:rPr>
      </w:pPr>
      <w:r w:rsidRPr="003D10F9">
        <w:rPr>
          <w:rFonts w:ascii="Arial" w:hAnsi="Arial" w:cs="Arial"/>
        </w:rPr>
        <w:t>which high</w:t>
      </w:r>
      <w:r w:rsidR="00B164E4">
        <w:rPr>
          <w:rFonts w:ascii="Arial" w:hAnsi="Arial" w:cs="Arial"/>
        </w:rPr>
        <w:t xml:space="preserve"> </w:t>
      </w:r>
      <w:r w:rsidRPr="003D10F9">
        <w:rPr>
          <w:rFonts w:ascii="Arial" w:hAnsi="Arial" w:cs="Arial"/>
        </w:rPr>
        <w:t xml:space="preserve">risk activities were undertaken on site, </w:t>
      </w:r>
    </w:p>
    <w:p w:rsidR="003D10F9" w:rsidRDefault="00126BBA" w:rsidP="008C1B31">
      <w:pPr>
        <w:pStyle w:val="ListParagraph"/>
        <w:numPr>
          <w:ilvl w:val="1"/>
          <w:numId w:val="11"/>
        </w:numPr>
        <w:spacing w:after="120" w:line="240" w:lineRule="auto"/>
        <w:rPr>
          <w:rFonts w:ascii="Arial" w:hAnsi="Arial" w:cs="Arial"/>
        </w:rPr>
      </w:pPr>
      <w:r w:rsidRPr="003D10F9">
        <w:rPr>
          <w:rFonts w:ascii="Arial" w:hAnsi="Arial" w:cs="Arial"/>
        </w:rPr>
        <w:t xml:space="preserve">hours worked by employees and subcontractors, and </w:t>
      </w:r>
    </w:p>
    <w:p w:rsidR="00AB0007" w:rsidRPr="003D10F9" w:rsidRDefault="00126BBA" w:rsidP="008C1B31">
      <w:pPr>
        <w:pStyle w:val="ListParagraph"/>
        <w:numPr>
          <w:ilvl w:val="1"/>
          <w:numId w:val="11"/>
        </w:numPr>
        <w:spacing w:after="120" w:line="240" w:lineRule="auto"/>
        <w:rPr>
          <w:rFonts w:ascii="Arial" w:hAnsi="Arial" w:cs="Arial"/>
        </w:rPr>
      </w:pPr>
      <w:r w:rsidRPr="003D10F9">
        <w:rPr>
          <w:rFonts w:ascii="Arial" w:hAnsi="Arial" w:cs="Arial"/>
        </w:rPr>
        <w:t>any notices issued by local jurisdictional authorities</w:t>
      </w:r>
    </w:p>
    <w:p w:rsidR="00AE5855" w:rsidRPr="00AB0007" w:rsidRDefault="00AE5855" w:rsidP="00AB0007">
      <w:pPr>
        <w:rPr>
          <w:rFonts w:ascii="Arial" w:hAnsi="Arial" w:cs="Arial"/>
          <w:sz w:val="22"/>
          <w:szCs w:val="22"/>
          <w:lang w:eastAsia="en-US"/>
        </w:rPr>
      </w:pPr>
    </w:p>
    <w:p w:rsidR="002C6935" w:rsidRDefault="00AB0007" w:rsidP="00AB0007">
      <w:pPr>
        <w:rPr>
          <w:rFonts w:ascii="Arial" w:hAnsi="Arial" w:cs="Arial"/>
          <w:sz w:val="22"/>
          <w:szCs w:val="22"/>
          <w:lang w:eastAsia="en-US"/>
        </w:rPr>
      </w:pPr>
      <w:r w:rsidRPr="00AB0007">
        <w:rPr>
          <w:rFonts w:ascii="Arial" w:hAnsi="Arial" w:cs="Arial"/>
          <w:sz w:val="22"/>
          <w:szCs w:val="22"/>
          <w:lang w:eastAsia="en-US"/>
        </w:rPr>
        <w:t>The information collected is used both at an individual company level to assess the performance of an accredited company, and Scheme-wide to identify trends within the bi</w:t>
      </w:r>
      <w:r w:rsidR="003D10F9">
        <w:rPr>
          <w:rFonts w:ascii="Arial" w:hAnsi="Arial" w:cs="Arial"/>
          <w:sz w:val="22"/>
          <w:szCs w:val="22"/>
          <w:lang w:eastAsia="en-US"/>
        </w:rPr>
        <w:t>-</w:t>
      </w:r>
      <w:r w:rsidRPr="00AB0007">
        <w:rPr>
          <w:rFonts w:ascii="Arial" w:hAnsi="Arial" w:cs="Arial"/>
          <w:sz w:val="22"/>
          <w:szCs w:val="22"/>
          <w:lang w:eastAsia="en-US"/>
        </w:rPr>
        <w:t>annual data analysis report published on</w:t>
      </w:r>
      <w:r w:rsidR="00E53FD3">
        <w:rPr>
          <w:rFonts w:ascii="Arial" w:hAnsi="Arial" w:cs="Arial"/>
          <w:sz w:val="22"/>
          <w:szCs w:val="22"/>
          <w:lang w:eastAsia="en-US"/>
        </w:rPr>
        <w:t xml:space="preserve"> the OFSC’</w:t>
      </w:r>
      <w:r w:rsidR="0078389F">
        <w:rPr>
          <w:rFonts w:ascii="Arial" w:hAnsi="Arial" w:cs="Arial"/>
          <w:sz w:val="22"/>
          <w:szCs w:val="22"/>
          <w:lang w:eastAsia="en-US"/>
        </w:rPr>
        <w:t>s</w:t>
      </w:r>
      <w:r w:rsidR="00E53FD3">
        <w:rPr>
          <w:rFonts w:ascii="Arial" w:hAnsi="Arial" w:cs="Arial"/>
          <w:sz w:val="22"/>
          <w:szCs w:val="22"/>
          <w:lang w:eastAsia="en-US"/>
        </w:rPr>
        <w:t xml:space="preserve"> website (</w:t>
      </w:r>
      <w:r w:rsidR="0078389F">
        <w:rPr>
          <w:rFonts w:ascii="Arial" w:hAnsi="Arial" w:cs="Arial"/>
          <w:sz w:val="22"/>
          <w:szCs w:val="22"/>
          <w:lang w:eastAsia="en-US"/>
        </w:rPr>
        <w:t>www.</w:t>
      </w:r>
      <w:r w:rsidRPr="00AB0007">
        <w:rPr>
          <w:rFonts w:ascii="Arial" w:hAnsi="Arial" w:cs="Arial"/>
          <w:sz w:val="22"/>
          <w:szCs w:val="22"/>
          <w:lang w:eastAsia="en-US"/>
        </w:rPr>
        <w:t>fsc.gov.au</w:t>
      </w:r>
      <w:r w:rsidR="00E53FD3">
        <w:rPr>
          <w:rFonts w:ascii="Arial" w:hAnsi="Arial" w:cs="Arial"/>
          <w:sz w:val="22"/>
          <w:szCs w:val="22"/>
          <w:lang w:eastAsia="en-US"/>
        </w:rPr>
        <w:t>)</w:t>
      </w:r>
      <w:r w:rsidRPr="00AB0007">
        <w:rPr>
          <w:rFonts w:ascii="Arial" w:hAnsi="Arial" w:cs="Arial"/>
          <w:sz w:val="22"/>
          <w:szCs w:val="22"/>
          <w:lang w:eastAsia="en-US"/>
        </w:rPr>
        <w:t xml:space="preserve">. </w:t>
      </w:r>
    </w:p>
    <w:p w:rsidR="00AB0007" w:rsidRPr="00AB0007" w:rsidRDefault="00AB0007" w:rsidP="00AB0007">
      <w:pPr>
        <w:rPr>
          <w:rFonts w:ascii="Arial" w:hAnsi="Arial" w:cs="Arial"/>
          <w:sz w:val="22"/>
          <w:szCs w:val="22"/>
          <w:lang w:eastAsia="en-US"/>
        </w:rPr>
      </w:pPr>
    </w:p>
    <w:p w:rsidR="00DC2FCF" w:rsidRDefault="00AB0007" w:rsidP="00AB0007">
      <w:pPr>
        <w:rPr>
          <w:rFonts w:ascii="Arial" w:hAnsi="Arial" w:cs="Arial"/>
          <w:sz w:val="22"/>
          <w:szCs w:val="22"/>
          <w:lang w:eastAsia="en-US"/>
        </w:rPr>
      </w:pPr>
      <w:r w:rsidRPr="00AB0007">
        <w:rPr>
          <w:rFonts w:ascii="Arial" w:hAnsi="Arial" w:cs="Arial"/>
          <w:sz w:val="22"/>
          <w:szCs w:val="22"/>
          <w:lang w:eastAsia="en-US"/>
        </w:rPr>
        <w:t xml:space="preserve">While 80 per cent of accredited companies responding to the </w:t>
      </w:r>
      <w:r w:rsidR="000A6808">
        <w:rPr>
          <w:rFonts w:ascii="Arial" w:hAnsi="Arial" w:cs="Arial"/>
          <w:sz w:val="22"/>
          <w:szCs w:val="22"/>
          <w:lang w:eastAsia="en-US"/>
        </w:rPr>
        <w:t>S</w:t>
      </w:r>
      <w:r w:rsidRPr="00AB0007">
        <w:rPr>
          <w:rFonts w:ascii="Arial" w:hAnsi="Arial" w:cs="Arial"/>
          <w:sz w:val="22"/>
          <w:szCs w:val="22"/>
          <w:lang w:eastAsia="en-US"/>
        </w:rPr>
        <w:t xml:space="preserve">urvey believed </w:t>
      </w:r>
      <w:r w:rsidR="00E53FD3">
        <w:rPr>
          <w:rFonts w:ascii="Arial" w:hAnsi="Arial" w:cs="Arial"/>
          <w:sz w:val="22"/>
          <w:szCs w:val="22"/>
          <w:lang w:eastAsia="en-US"/>
        </w:rPr>
        <w:t xml:space="preserve">the </w:t>
      </w:r>
      <w:r w:rsidRPr="00AB0007">
        <w:rPr>
          <w:rFonts w:ascii="Arial" w:hAnsi="Arial" w:cs="Arial"/>
          <w:sz w:val="22"/>
          <w:szCs w:val="22"/>
          <w:lang w:eastAsia="en-US"/>
        </w:rPr>
        <w:t>OFSC</w:t>
      </w:r>
      <w:r w:rsidR="00E53FD3">
        <w:rPr>
          <w:rFonts w:ascii="Arial" w:hAnsi="Arial" w:cs="Arial"/>
          <w:sz w:val="22"/>
          <w:szCs w:val="22"/>
          <w:lang w:eastAsia="en-US"/>
        </w:rPr>
        <w:t>’s</w:t>
      </w:r>
      <w:r w:rsidR="00E23F52">
        <w:rPr>
          <w:rFonts w:ascii="Arial" w:hAnsi="Arial" w:cs="Arial"/>
          <w:sz w:val="22"/>
          <w:szCs w:val="22"/>
          <w:lang w:eastAsia="en-US"/>
        </w:rPr>
        <w:t xml:space="preserve"> reporting requirements were “</w:t>
      </w:r>
      <w:r w:rsidRPr="00AB0007">
        <w:rPr>
          <w:rFonts w:ascii="Arial" w:hAnsi="Arial" w:cs="Arial"/>
          <w:sz w:val="22"/>
          <w:szCs w:val="22"/>
          <w:lang w:eastAsia="en-US"/>
        </w:rPr>
        <w:t>about right</w:t>
      </w:r>
      <w:r w:rsidR="00E23F52">
        <w:rPr>
          <w:rFonts w:ascii="Arial" w:hAnsi="Arial" w:cs="Arial"/>
          <w:sz w:val="22"/>
          <w:szCs w:val="22"/>
          <w:lang w:eastAsia="en-US"/>
        </w:rPr>
        <w:t>”</w:t>
      </w:r>
      <w:r w:rsidRPr="00AB0007">
        <w:rPr>
          <w:rFonts w:ascii="Arial" w:hAnsi="Arial" w:cs="Arial"/>
          <w:sz w:val="22"/>
          <w:szCs w:val="22"/>
          <w:lang w:eastAsia="en-US"/>
        </w:rPr>
        <w:t xml:space="preserve">, just 27 per cent of submissions believed the data analysis produced by the OFSC was beneficial. A common suggestion was that </w:t>
      </w:r>
      <w:r w:rsidR="00E53FD3">
        <w:rPr>
          <w:rFonts w:ascii="Arial" w:hAnsi="Arial" w:cs="Arial"/>
          <w:sz w:val="22"/>
          <w:szCs w:val="22"/>
          <w:lang w:eastAsia="en-US"/>
        </w:rPr>
        <w:t xml:space="preserve">the </w:t>
      </w:r>
      <w:r w:rsidRPr="00AB0007">
        <w:rPr>
          <w:rFonts w:ascii="Arial" w:hAnsi="Arial" w:cs="Arial"/>
          <w:sz w:val="22"/>
          <w:szCs w:val="22"/>
          <w:lang w:eastAsia="en-US"/>
        </w:rPr>
        <w:t>OFSC</w:t>
      </w:r>
      <w:r w:rsidR="00E53FD3">
        <w:rPr>
          <w:rFonts w:ascii="Arial" w:hAnsi="Arial" w:cs="Arial"/>
          <w:sz w:val="22"/>
          <w:szCs w:val="22"/>
          <w:lang w:eastAsia="en-US"/>
        </w:rPr>
        <w:t>’s</w:t>
      </w:r>
      <w:r w:rsidRPr="00AB0007">
        <w:rPr>
          <w:rFonts w:ascii="Arial" w:hAnsi="Arial" w:cs="Arial"/>
          <w:sz w:val="22"/>
          <w:szCs w:val="22"/>
          <w:lang w:eastAsia="en-US"/>
        </w:rPr>
        <w:t xml:space="preserve"> data should be comparable or benchmarked against the broader building and construction industry, a suggestion supported by both MBA and ACA. </w:t>
      </w:r>
    </w:p>
    <w:p w:rsidR="00956CF6" w:rsidRDefault="00956CF6" w:rsidP="00AB0007">
      <w:pPr>
        <w:rPr>
          <w:rFonts w:ascii="Arial" w:hAnsi="Arial" w:cs="Arial"/>
          <w:sz w:val="22"/>
          <w:szCs w:val="22"/>
          <w:lang w:eastAsia="en-US"/>
        </w:rPr>
      </w:pPr>
    </w:p>
    <w:p w:rsidR="00956CF6" w:rsidRPr="00AB0007" w:rsidRDefault="00956CF6" w:rsidP="00956CF6">
      <w:pPr>
        <w:rPr>
          <w:rFonts w:ascii="Arial" w:hAnsi="Arial" w:cs="Arial"/>
          <w:sz w:val="22"/>
          <w:szCs w:val="22"/>
          <w:lang w:eastAsia="en-US"/>
        </w:rPr>
      </w:pPr>
      <w:r w:rsidRPr="00AB0007">
        <w:rPr>
          <w:rFonts w:ascii="Arial" w:hAnsi="Arial" w:cs="Arial"/>
          <w:sz w:val="22"/>
          <w:szCs w:val="22"/>
          <w:lang w:eastAsia="en-US"/>
        </w:rPr>
        <w:t xml:space="preserve">The ‘doubling up’ of reporting requirements across </w:t>
      </w:r>
      <w:r w:rsidR="00E53FD3">
        <w:rPr>
          <w:rFonts w:ascii="Arial" w:hAnsi="Arial" w:cs="Arial"/>
          <w:sz w:val="22"/>
          <w:szCs w:val="22"/>
          <w:lang w:eastAsia="en-US"/>
        </w:rPr>
        <w:t xml:space="preserve">the </w:t>
      </w:r>
      <w:r w:rsidRPr="00AB0007">
        <w:rPr>
          <w:rFonts w:ascii="Arial" w:hAnsi="Arial" w:cs="Arial"/>
          <w:sz w:val="22"/>
          <w:szCs w:val="22"/>
          <w:lang w:eastAsia="en-US"/>
        </w:rPr>
        <w:t>OFSC</w:t>
      </w:r>
      <w:r>
        <w:rPr>
          <w:rFonts w:ascii="Arial" w:hAnsi="Arial" w:cs="Arial"/>
          <w:sz w:val="22"/>
          <w:szCs w:val="22"/>
          <w:lang w:eastAsia="en-US"/>
        </w:rPr>
        <w:t xml:space="preserve"> and state and territory governments</w:t>
      </w:r>
      <w:r w:rsidRPr="00AB0007">
        <w:rPr>
          <w:rFonts w:ascii="Arial" w:hAnsi="Arial" w:cs="Arial"/>
          <w:sz w:val="22"/>
          <w:szCs w:val="22"/>
          <w:lang w:eastAsia="en-US"/>
        </w:rPr>
        <w:t xml:space="preserve">, in addition to </w:t>
      </w:r>
      <w:r w:rsidR="00E53FD3">
        <w:rPr>
          <w:rFonts w:ascii="Arial" w:hAnsi="Arial" w:cs="Arial"/>
          <w:sz w:val="22"/>
          <w:szCs w:val="22"/>
          <w:lang w:eastAsia="en-US"/>
        </w:rPr>
        <w:t>any</w:t>
      </w:r>
      <w:r w:rsidRPr="00AB0007">
        <w:rPr>
          <w:rFonts w:ascii="Arial" w:hAnsi="Arial" w:cs="Arial"/>
          <w:sz w:val="22"/>
          <w:szCs w:val="22"/>
          <w:lang w:eastAsia="en-US"/>
        </w:rPr>
        <w:t xml:space="preserve"> client and internal company reporting</w:t>
      </w:r>
      <w:r>
        <w:rPr>
          <w:rFonts w:ascii="Arial" w:hAnsi="Arial" w:cs="Arial"/>
          <w:sz w:val="22"/>
          <w:szCs w:val="22"/>
          <w:lang w:eastAsia="en-US"/>
        </w:rPr>
        <w:t>,</w:t>
      </w:r>
      <w:r w:rsidRPr="00AB0007">
        <w:rPr>
          <w:rFonts w:ascii="Arial" w:hAnsi="Arial" w:cs="Arial"/>
          <w:sz w:val="22"/>
          <w:szCs w:val="22"/>
          <w:lang w:eastAsia="en-US"/>
        </w:rPr>
        <w:t xml:space="preserve"> was also raised numerous times, with requests to bring some harmonisation </w:t>
      </w:r>
      <w:r w:rsidR="00BC574E">
        <w:rPr>
          <w:rFonts w:ascii="Arial" w:hAnsi="Arial" w:cs="Arial"/>
          <w:sz w:val="22"/>
          <w:szCs w:val="22"/>
          <w:lang w:eastAsia="en-US"/>
        </w:rPr>
        <w:t>to</w:t>
      </w:r>
      <w:r w:rsidRPr="00AB0007">
        <w:rPr>
          <w:rFonts w:ascii="Arial" w:hAnsi="Arial" w:cs="Arial"/>
          <w:sz w:val="22"/>
          <w:szCs w:val="22"/>
          <w:lang w:eastAsia="en-US"/>
        </w:rPr>
        <w:t xml:space="preserve"> the reporting requirements of the </w:t>
      </w:r>
      <w:r w:rsidR="00E53FD3">
        <w:rPr>
          <w:rFonts w:ascii="Arial" w:hAnsi="Arial" w:cs="Arial"/>
          <w:sz w:val="22"/>
          <w:szCs w:val="22"/>
          <w:lang w:eastAsia="en-US"/>
        </w:rPr>
        <w:t>Australian</w:t>
      </w:r>
      <w:r>
        <w:rPr>
          <w:rFonts w:ascii="Arial" w:hAnsi="Arial" w:cs="Arial"/>
          <w:sz w:val="22"/>
          <w:szCs w:val="22"/>
          <w:lang w:eastAsia="en-US"/>
        </w:rPr>
        <w:t xml:space="preserve">, state and territory </w:t>
      </w:r>
      <w:r w:rsidRPr="00AB0007">
        <w:rPr>
          <w:rFonts w:ascii="Arial" w:hAnsi="Arial" w:cs="Arial"/>
          <w:sz w:val="22"/>
          <w:szCs w:val="22"/>
          <w:lang w:eastAsia="en-US"/>
        </w:rPr>
        <w:t xml:space="preserve">governments. </w:t>
      </w:r>
    </w:p>
    <w:p w:rsidR="00956CF6" w:rsidRPr="00AB0007" w:rsidRDefault="00956CF6" w:rsidP="00956CF6">
      <w:pPr>
        <w:rPr>
          <w:rFonts w:ascii="Arial" w:hAnsi="Arial" w:cs="Arial"/>
          <w:sz w:val="22"/>
          <w:szCs w:val="22"/>
          <w:lang w:eastAsia="en-US"/>
        </w:rPr>
      </w:pPr>
    </w:p>
    <w:p w:rsidR="00956CF6" w:rsidRDefault="00956CF6" w:rsidP="00956CF6">
      <w:pPr>
        <w:rPr>
          <w:rFonts w:ascii="Arial" w:hAnsi="Arial" w:cs="Arial"/>
          <w:sz w:val="22"/>
          <w:szCs w:val="22"/>
          <w:lang w:eastAsia="en-US"/>
        </w:rPr>
      </w:pPr>
      <w:r w:rsidRPr="00AB0007">
        <w:rPr>
          <w:rFonts w:ascii="Arial" w:hAnsi="Arial" w:cs="Arial"/>
          <w:sz w:val="22"/>
          <w:szCs w:val="22"/>
          <w:lang w:eastAsia="en-US"/>
        </w:rPr>
        <w:t xml:space="preserve">It was </w:t>
      </w:r>
      <w:r w:rsidR="00126BBA">
        <w:rPr>
          <w:rFonts w:ascii="Arial" w:hAnsi="Arial" w:cs="Arial"/>
          <w:sz w:val="22"/>
          <w:szCs w:val="22"/>
          <w:lang w:eastAsia="en-US"/>
        </w:rPr>
        <w:t>further</w:t>
      </w:r>
      <w:r w:rsidR="00126BBA" w:rsidRPr="00AB0007">
        <w:rPr>
          <w:rFonts w:ascii="Arial" w:hAnsi="Arial" w:cs="Arial"/>
          <w:sz w:val="22"/>
          <w:szCs w:val="22"/>
          <w:lang w:eastAsia="en-US"/>
        </w:rPr>
        <w:t xml:space="preserve"> </w:t>
      </w:r>
      <w:r w:rsidRPr="00AB0007">
        <w:rPr>
          <w:rFonts w:ascii="Arial" w:hAnsi="Arial" w:cs="Arial"/>
          <w:sz w:val="22"/>
          <w:szCs w:val="22"/>
          <w:lang w:eastAsia="en-US"/>
        </w:rPr>
        <w:t>suggested by many industry associations that the OFSC move away from incident</w:t>
      </w:r>
      <w:r w:rsidR="00D15894">
        <w:rPr>
          <w:rFonts w:ascii="Arial" w:hAnsi="Arial" w:cs="Arial"/>
          <w:sz w:val="22"/>
          <w:szCs w:val="22"/>
          <w:lang w:eastAsia="en-US"/>
        </w:rPr>
        <w:t xml:space="preserve"> </w:t>
      </w:r>
      <w:r w:rsidRPr="00AB0007">
        <w:rPr>
          <w:rFonts w:ascii="Arial" w:hAnsi="Arial" w:cs="Arial"/>
          <w:sz w:val="22"/>
          <w:szCs w:val="22"/>
          <w:lang w:eastAsia="en-US"/>
        </w:rPr>
        <w:t xml:space="preserve">lag data, towards </w:t>
      </w:r>
      <w:r w:rsidR="00126BBA" w:rsidRPr="00AB0007">
        <w:rPr>
          <w:rFonts w:ascii="Arial" w:hAnsi="Arial" w:cs="Arial"/>
          <w:sz w:val="22"/>
          <w:szCs w:val="22"/>
          <w:lang w:eastAsia="en-US"/>
        </w:rPr>
        <w:t xml:space="preserve">more </w:t>
      </w:r>
      <w:r w:rsidRPr="00AB0007">
        <w:rPr>
          <w:rFonts w:ascii="Arial" w:hAnsi="Arial" w:cs="Arial"/>
          <w:sz w:val="22"/>
          <w:szCs w:val="22"/>
          <w:lang w:eastAsia="en-US"/>
        </w:rPr>
        <w:t>positive performance indicators and lead data.</w:t>
      </w:r>
    </w:p>
    <w:p w:rsidR="00E1389A" w:rsidRDefault="008933AD" w:rsidP="008933AD">
      <w:pPr>
        <w:rPr>
          <w:rFonts w:ascii="Arial" w:hAnsi="Arial" w:cs="Arial"/>
          <w:sz w:val="22"/>
          <w:szCs w:val="22"/>
        </w:rPr>
      </w:pPr>
      <w:r w:rsidRPr="008933AD">
        <w:rPr>
          <w:rFonts w:ascii="Arial" w:hAnsi="Arial" w:cs="Arial"/>
          <w:sz w:val="22"/>
          <w:szCs w:val="22"/>
        </w:rPr>
        <w:t xml:space="preserve">One of the key points to note when discussing the data collected by the OFSC is that it focuses specifically on the building industry sector, whereas data collected by other agencies </w:t>
      </w:r>
      <w:r w:rsidR="002C6935">
        <w:rPr>
          <w:rFonts w:ascii="Arial" w:hAnsi="Arial" w:cs="Arial"/>
          <w:sz w:val="22"/>
          <w:szCs w:val="22"/>
        </w:rPr>
        <w:t xml:space="preserve">is </w:t>
      </w:r>
      <w:r w:rsidR="00126BBA">
        <w:rPr>
          <w:rFonts w:ascii="Arial" w:hAnsi="Arial" w:cs="Arial"/>
          <w:sz w:val="22"/>
          <w:szCs w:val="22"/>
        </w:rPr>
        <w:t>captured as</w:t>
      </w:r>
      <w:r w:rsidRPr="008933AD">
        <w:rPr>
          <w:rFonts w:ascii="Arial" w:hAnsi="Arial" w:cs="Arial"/>
          <w:sz w:val="22"/>
          <w:szCs w:val="22"/>
        </w:rPr>
        <w:t xml:space="preserve"> applicable to </w:t>
      </w:r>
      <w:r w:rsidRPr="00E1389A">
        <w:rPr>
          <w:rFonts w:ascii="Arial" w:hAnsi="Arial" w:cs="Arial"/>
          <w:sz w:val="22"/>
          <w:szCs w:val="22"/>
        </w:rPr>
        <w:t xml:space="preserve">all </w:t>
      </w:r>
      <w:r w:rsidRPr="008933AD">
        <w:rPr>
          <w:rFonts w:ascii="Arial" w:hAnsi="Arial" w:cs="Arial"/>
          <w:sz w:val="22"/>
          <w:szCs w:val="22"/>
        </w:rPr>
        <w:t xml:space="preserve">industries. </w:t>
      </w:r>
      <w:r w:rsidR="00E1389A">
        <w:rPr>
          <w:rFonts w:ascii="Arial" w:hAnsi="Arial" w:cs="Arial"/>
          <w:sz w:val="22"/>
          <w:szCs w:val="22"/>
        </w:rPr>
        <w:t xml:space="preserve">Other agencies’ data is therefore more general, whereas </w:t>
      </w:r>
      <w:r w:rsidRPr="008933AD">
        <w:rPr>
          <w:rFonts w:ascii="Arial" w:hAnsi="Arial" w:cs="Arial"/>
          <w:sz w:val="22"/>
          <w:szCs w:val="22"/>
        </w:rPr>
        <w:t xml:space="preserve">OFSC data is </w:t>
      </w:r>
      <w:r w:rsidR="00E1389A">
        <w:rPr>
          <w:rFonts w:ascii="Arial" w:hAnsi="Arial" w:cs="Arial"/>
          <w:sz w:val="22"/>
          <w:szCs w:val="22"/>
        </w:rPr>
        <w:t xml:space="preserve">more specific to its functions. For example, OFSC collects data </w:t>
      </w:r>
      <w:r w:rsidRPr="008933AD">
        <w:rPr>
          <w:rFonts w:ascii="Arial" w:hAnsi="Arial" w:cs="Arial"/>
          <w:sz w:val="22"/>
          <w:szCs w:val="22"/>
        </w:rPr>
        <w:t xml:space="preserve">in respect of lost time </w:t>
      </w:r>
      <w:r w:rsidR="002C6935">
        <w:rPr>
          <w:rFonts w:ascii="Arial" w:hAnsi="Arial" w:cs="Arial"/>
          <w:sz w:val="22"/>
          <w:szCs w:val="22"/>
        </w:rPr>
        <w:t xml:space="preserve">due to </w:t>
      </w:r>
      <w:r w:rsidRPr="008933AD">
        <w:rPr>
          <w:rFonts w:ascii="Arial" w:hAnsi="Arial" w:cs="Arial"/>
          <w:sz w:val="22"/>
          <w:szCs w:val="22"/>
        </w:rPr>
        <w:t>injury regardless of whether a compensation claim is made</w:t>
      </w:r>
      <w:r w:rsidR="002C6935">
        <w:rPr>
          <w:rFonts w:ascii="Arial" w:hAnsi="Arial" w:cs="Arial"/>
          <w:sz w:val="22"/>
          <w:szCs w:val="22"/>
        </w:rPr>
        <w:t>,</w:t>
      </w:r>
      <w:r w:rsidRPr="008933AD">
        <w:rPr>
          <w:rFonts w:ascii="Arial" w:hAnsi="Arial" w:cs="Arial"/>
          <w:sz w:val="22"/>
          <w:szCs w:val="22"/>
        </w:rPr>
        <w:t xml:space="preserve"> and </w:t>
      </w:r>
      <w:r w:rsidR="002C6935">
        <w:rPr>
          <w:rFonts w:ascii="Arial" w:hAnsi="Arial" w:cs="Arial"/>
          <w:sz w:val="22"/>
          <w:szCs w:val="22"/>
        </w:rPr>
        <w:t>p</w:t>
      </w:r>
      <w:r w:rsidRPr="008933AD">
        <w:rPr>
          <w:rFonts w:ascii="Arial" w:hAnsi="Arial" w:cs="Arial"/>
          <w:sz w:val="22"/>
          <w:szCs w:val="22"/>
        </w:rPr>
        <w:t xml:space="preserve">rincipal </w:t>
      </w:r>
      <w:r w:rsidR="002C6935">
        <w:rPr>
          <w:rFonts w:ascii="Arial" w:hAnsi="Arial" w:cs="Arial"/>
          <w:sz w:val="22"/>
          <w:szCs w:val="22"/>
        </w:rPr>
        <w:t>c</w:t>
      </w:r>
      <w:r w:rsidRPr="008933AD">
        <w:rPr>
          <w:rFonts w:ascii="Arial" w:hAnsi="Arial" w:cs="Arial"/>
          <w:sz w:val="22"/>
          <w:szCs w:val="22"/>
        </w:rPr>
        <w:t>ontractors provide information for all workers on a project site, not just their own employees</w:t>
      </w:r>
      <w:r w:rsidR="006C3D19">
        <w:rPr>
          <w:rFonts w:ascii="Arial" w:hAnsi="Arial" w:cs="Arial"/>
          <w:sz w:val="22"/>
          <w:szCs w:val="22"/>
        </w:rPr>
        <w:t>, neither of which is collected by other agencies.</w:t>
      </w:r>
      <w:r w:rsidRPr="008933AD">
        <w:rPr>
          <w:rFonts w:ascii="Arial" w:hAnsi="Arial" w:cs="Arial"/>
          <w:sz w:val="22"/>
          <w:szCs w:val="22"/>
        </w:rPr>
        <w:t xml:space="preserve"> </w:t>
      </w:r>
    </w:p>
    <w:p w:rsidR="00A854D0" w:rsidRDefault="00A854D0" w:rsidP="008933AD">
      <w:pPr>
        <w:rPr>
          <w:rFonts w:ascii="Arial" w:hAnsi="Arial" w:cs="Arial"/>
          <w:sz w:val="22"/>
          <w:szCs w:val="22"/>
        </w:rPr>
      </w:pPr>
    </w:p>
    <w:p w:rsidR="008933AD" w:rsidRPr="008933AD" w:rsidRDefault="008933AD" w:rsidP="008933AD">
      <w:pPr>
        <w:rPr>
          <w:rFonts w:ascii="Arial" w:hAnsi="Arial" w:cs="Arial"/>
          <w:sz w:val="22"/>
          <w:szCs w:val="22"/>
        </w:rPr>
      </w:pPr>
      <w:r w:rsidRPr="008933AD">
        <w:rPr>
          <w:rFonts w:ascii="Arial" w:hAnsi="Arial" w:cs="Arial"/>
          <w:sz w:val="22"/>
          <w:szCs w:val="22"/>
        </w:rPr>
        <w:t xml:space="preserve">The data collected by the OFSC is </w:t>
      </w:r>
      <w:r w:rsidR="006C3D19">
        <w:rPr>
          <w:rFonts w:ascii="Arial" w:hAnsi="Arial" w:cs="Arial"/>
          <w:sz w:val="22"/>
          <w:szCs w:val="22"/>
        </w:rPr>
        <w:t xml:space="preserve">also </w:t>
      </w:r>
      <w:r w:rsidRPr="008933AD">
        <w:rPr>
          <w:rFonts w:ascii="Arial" w:hAnsi="Arial" w:cs="Arial"/>
          <w:sz w:val="22"/>
          <w:szCs w:val="22"/>
        </w:rPr>
        <w:t>more current</w:t>
      </w:r>
      <w:r w:rsidR="002C6935">
        <w:rPr>
          <w:rFonts w:ascii="Arial" w:hAnsi="Arial" w:cs="Arial"/>
          <w:sz w:val="22"/>
          <w:szCs w:val="22"/>
        </w:rPr>
        <w:t>,</w:t>
      </w:r>
      <w:r w:rsidRPr="008933AD">
        <w:rPr>
          <w:rFonts w:ascii="Arial" w:hAnsi="Arial" w:cs="Arial"/>
          <w:sz w:val="22"/>
          <w:szCs w:val="22"/>
        </w:rPr>
        <w:t xml:space="preserve"> in that in most instances</w:t>
      </w:r>
      <w:r w:rsidR="002C6935">
        <w:rPr>
          <w:rFonts w:ascii="Arial" w:hAnsi="Arial" w:cs="Arial"/>
          <w:sz w:val="22"/>
          <w:szCs w:val="22"/>
        </w:rPr>
        <w:t>,</w:t>
      </w:r>
      <w:r w:rsidRPr="008933AD">
        <w:rPr>
          <w:rFonts w:ascii="Arial" w:hAnsi="Arial" w:cs="Arial"/>
          <w:sz w:val="22"/>
          <w:szCs w:val="22"/>
        </w:rPr>
        <w:t xml:space="preserve"> it is less than 12</w:t>
      </w:r>
      <w:r>
        <w:rPr>
          <w:rFonts w:ascii="Arial" w:hAnsi="Arial" w:cs="Arial"/>
          <w:sz w:val="22"/>
          <w:szCs w:val="22"/>
        </w:rPr>
        <w:t> </w:t>
      </w:r>
      <w:r w:rsidRPr="008933AD">
        <w:rPr>
          <w:rFonts w:ascii="Arial" w:hAnsi="Arial" w:cs="Arial"/>
          <w:sz w:val="22"/>
          <w:szCs w:val="22"/>
        </w:rPr>
        <w:t>months old</w:t>
      </w:r>
      <w:r w:rsidR="002C6935">
        <w:rPr>
          <w:rFonts w:ascii="Arial" w:hAnsi="Arial" w:cs="Arial"/>
          <w:sz w:val="22"/>
          <w:szCs w:val="22"/>
        </w:rPr>
        <w:t>,</w:t>
      </w:r>
      <w:r w:rsidRPr="008933AD">
        <w:rPr>
          <w:rFonts w:ascii="Arial" w:hAnsi="Arial" w:cs="Arial"/>
          <w:sz w:val="22"/>
          <w:szCs w:val="22"/>
        </w:rPr>
        <w:t xml:space="preserve"> as compared to data from other sources that can be up to two years old. The challenge is how to find ways to compare the performance of accredited companies with the industry more broadly without reducing </w:t>
      </w:r>
      <w:r w:rsidR="00E1389A">
        <w:rPr>
          <w:rFonts w:ascii="Arial" w:hAnsi="Arial" w:cs="Arial"/>
          <w:sz w:val="22"/>
          <w:szCs w:val="22"/>
        </w:rPr>
        <w:t xml:space="preserve">reporting </w:t>
      </w:r>
      <w:r w:rsidRPr="008933AD">
        <w:rPr>
          <w:rFonts w:ascii="Arial" w:hAnsi="Arial" w:cs="Arial"/>
          <w:sz w:val="22"/>
          <w:szCs w:val="22"/>
        </w:rPr>
        <w:t xml:space="preserve">requirements and thereby losing the opportunity to highlight a wider range of injury trends through a more focused data set. </w:t>
      </w:r>
    </w:p>
    <w:p w:rsidR="00956CF6" w:rsidRDefault="00956CF6" w:rsidP="00AB0007">
      <w:pPr>
        <w:rPr>
          <w:rFonts w:ascii="Arial" w:hAnsi="Arial" w:cs="Arial"/>
          <w:sz w:val="22"/>
          <w:szCs w:val="22"/>
          <w:lang w:eastAsia="en-US"/>
        </w:rPr>
      </w:pPr>
    </w:p>
    <w:p w:rsidR="000A6808" w:rsidRDefault="00E646BC" w:rsidP="00AB0007">
      <w:pPr>
        <w:rPr>
          <w:rFonts w:ascii="Arial" w:hAnsi="Arial" w:cs="Arial"/>
          <w:sz w:val="22"/>
          <w:szCs w:val="22"/>
          <w:lang w:eastAsia="en-US"/>
        </w:rPr>
      </w:pPr>
      <w:r>
        <w:rPr>
          <w:rFonts w:ascii="Arial" w:hAnsi="Arial" w:cs="Arial"/>
          <w:sz w:val="22"/>
          <w:szCs w:val="22"/>
          <w:lang w:eastAsia="en-US"/>
        </w:rPr>
        <w:t>C</w:t>
      </w:r>
      <w:r w:rsidR="006C3D19">
        <w:rPr>
          <w:rFonts w:ascii="Arial" w:hAnsi="Arial" w:cs="Arial"/>
          <w:sz w:val="22"/>
          <w:szCs w:val="22"/>
          <w:lang w:eastAsia="en-US"/>
        </w:rPr>
        <w:t xml:space="preserve">urrently </w:t>
      </w:r>
      <w:r>
        <w:rPr>
          <w:rFonts w:ascii="Arial" w:hAnsi="Arial" w:cs="Arial"/>
          <w:sz w:val="22"/>
          <w:szCs w:val="22"/>
          <w:lang w:eastAsia="en-US"/>
        </w:rPr>
        <w:t xml:space="preserve">industry associations </w:t>
      </w:r>
      <w:r w:rsidR="00956CF6">
        <w:rPr>
          <w:rFonts w:ascii="Arial" w:hAnsi="Arial" w:cs="Arial"/>
          <w:sz w:val="22"/>
          <w:szCs w:val="22"/>
          <w:lang w:eastAsia="en-US"/>
        </w:rPr>
        <w:t>a</w:t>
      </w:r>
      <w:r>
        <w:rPr>
          <w:rFonts w:ascii="Arial" w:hAnsi="Arial" w:cs="Arial"/>
          <w:sz w:val="22"/>
          <w:szCs w:val="22"/>
          <w:lang w:eastAsia="en-US"/>
        </w:rPr>
        <w:t>re taking the lead in</w:t>
      </w:r>
      <w:r w:rsidR="00956CF6">
        <w:rPr>
          <w:rFonts w:ascii="Arial" w:hAnsi="Arial" w:cs="Arial"/>
          <w:sz w:val="22"/>
          <w:szCs w:val="22"/>
          <w:lang w:eastAsia="en-US"/>
        </w:rPr>
        <w:t xml:space="preserve"> </w:t>
      </w:r>
      <w:r w:rsidR="007A3885">
        <w:rPr>
          <w:rFonts w:ascii="Arial" w:hAnsi="Arial" w:cs="Arial"/>
          <w:sz w:val="22"/>
          <w:szCs w:val="22"/>
          <w:lang w:eastAsia="en-US"/>
        </w:rPr>
        <w:t xml:space="preserve">a </w:t>
      </w:r>
      <w:r w:rsidR="00956CF6">
        <w:rPr>
          <w:rFonts w:ascii="Arial" w:hAnsi="Arial" w:cs="Arial"/>
          <w:sz w:val="22"/>
          <w:szCs w:val="22"/>
          <w:lang w:eastAsia="en-US"/>
        </w:rPr>
        <w:t>considerable body of work</w:t>
      </w:r>
      <w:r w:rsidR="00E1389A">
        <w:rPr>
          <w:rFonts w:ascii="Arial" w:hAnsi="Arial" w:cs="Arial"/>
          <w:sz w:val="22"/>
          <w:szCs w:val="22"/>
          <w:lang w:eastAsia="en-US"/>
        </w:rPr>
        <w:t xml:space="preserve"> </w:t>
      </w:r>
      <w:r>
        <w:rPr>
          <w:rFonts w:ascii="Arial" w:hAnsi="Arial" w:cs="Arial"/>
          <w:sz w:val="22"/>
          <w:szCs w:val="22"/>
          <w:lang w:eastAsia="en-US"/>
        </w:rPr>
        <w:t>that is</w:t>
      </w:r>
      <w:r w:rsidR="00956CF6">
        <w:rPr>
          <w:rFonts w:ascii="Arial" w:hAnsi="Arial" w:cs="Arial"/>
          <w:sz w:val="22"/>
          <w:szCs w:val="22"/>
          <w:lang w:eastAsia="en-US"/>
        </w:rPr>
        <w:t xml:space="preserve"> consider</w:t>
      </w:r>
      <w:r w:rsidR="00E1389A">
        <w:rPr>
          <w:rFonts w:ascii="Arial" w:hAnsi="Arial" w:cs="Arial"/>
          <w:sz w:val="22"/>
          <w:szCs w:val="22"/>
          <w:lang w:eastAsia="en-US"/>
        </w:rPr>
        <w:t>ing</w:t>
      </w:r>
      <w:r w:rsidR="00956CF6">
        <w:rPr>
          <w:rFonts w:ascii="Arial" w:hAnsi="Arial" w:cs="Arial"/>
          <w:sz w:val="22"/>
          <w:szCs w:val="22"/>
          <w:lang w:eastAsia="en-US"/>
        </w:rPr>
        <w:t xml:space="preserve"> </w:t>
      </w:r>
      <w:r w:rsidR="006C3D19">
        <w:rPr>
          <w:rFonts w:ascii="Arial" w:hAnsi="Arial" w:cs="Arial"/>
          <w:sz w:val="22"/>
          <w:szCs w:val="22"/>
          <w:lang w:eastAsia="en-US"/>
        </w:rPr>
        <w:t xml:space="preserve">indicators </w:t>
      </w:r>
      <w:r w:rsidR="00956CF6">
        <w:rPr>
          <w:rFonts w:ascii="Arial" w:hAnsi="Arial" w:cs="Arial"/>
          <w:sz w:val="22"/>
          <w:szCs w:val="22"/>
          <w:lang w:eastAsia="en-US"/>
        </w:rPr>
        <w:t xml:space="preserve">other than lag indicators. The OFSC has been involved in initial discussions with stakeholders on the role it can play in </w:t>
      </w:r>
      <w:r w:rsidR="006C3D19">
        <w:rPr>
          <w:rFonts w:ascii="Arial" w:hAnsi="Arial" w:cs="Arial"/>
          <w:sz w:val="22"/>
          <w:szCs w:val="22"/>
          <w:lang w:eastAsia="en-US"/>
        </w:rPr>
        <w:t xml:space="preserve">developing, </w:t>
      </w:r>
      <w:r w:rsidR="00956CF6">
        <w:rPr>
          <w:rFonts w:ascii="Arial" w:hAnsi="Arial" w:cs="Arial"/>
          <w:sz w:val="22"/>
          <w:szCs w:val="22"/>
          <w:lang w:eastAsia="en-US"/>
        </w:rPr>
        <w:t xml:space="preserve">disseminating and encouraging the use of lead indicators. This </w:t>
      </w:r>
      <w:r>
        <w:rPr>
          <w:rFonts w:ascii="Arial" w:hAnsi="Arial" w:cs="Arial"/>
          <w:sz w:val="22"/>
          <w:szCs w:val="22"/>
          <w:lang w:eastAsia="en-US"/>
        </w:rPr>
        <w:t xml:space="preserve">work </w:t>
      </w:r>
      <w:r w:rsidR="00956CF6">
        <w:rPr>
          <w:rFonts w:ascii="Arial" w:hAnsi="Arial" w:cs="Arial"/>
          <w:sz w:val="22"/>
          <w:szCs w:val="22"/>
          <w:lang w:eastAsia="en-US"/>
        </w:rPr>
        <w:t>will continue to progress</w:t>
      </w:r>
      <w:r w:rsidR="006C3D19">
        <w:rPr>
          <w:rFonts w:ascii="Arial" w:hAnsi="Arial" w:cs="Arial"/>
          <w:sz w:val="22"/>
          <w:szCs w:val="22"/>
          <w:lang w:eastAsia="en-US"/>
        </w:rPr>
        <w:t xml:space="preserve"> beyond the Review</w:t>
      </w:r>
      <w:r w:rsidR="00956CF6">
        <w:rPr>
          <w:rFonts w:ascii="Arial" w:hAnsi="Arial" w:cs="Arial"/>
          <w:sz w:val="22"/>
          <w:szCs w:val="22"/>
          <w:lang w:eastAsia="en-US"/>
        </w:rPr>
        <w:t xml:space="preserve">. </w:t>
      </w:r>
    </w:p>
    <w:p w:rsidR="00956CF6" w:rsidRDefault="00956CF6" w:rsidP="00AB0007">
      <w:pPr>
        <w:rPr>
          <w:rFonts w:ascii="Arial" w:hAnsi="Arial" w:cs="Arial"/>
          <w:sz w:val="22"/>
          <w:szCs w:val="22"/>
          <w:lang w:eastAsia="en-US"/>
        </w:rPr>
      </w:pPr>
    </w:p>
    <w:p w:rsidR="000A6808" w:rsidRDefault="00D341C7" w:rsidP="00AB0007">
      <w:pPr>
        <w:rPr>
          <w:rFonts w:ascii="Arial" w:hAnsi="Arial" w:cs="Arial"/>
          <w:sz w:val="22"/>
          <w:szCs w:val="22"/>
          <w:lang w:eastAsia="en-US"/>
        </w:rPr>
      </w:pPr>
      <w:r>
        <w:rPr>
          <w:rFonts w:ascii="Arial" w:hAnsi="Arial" w:cs="Arial"/>
          <w:sz w:val="22"/>
          <w:szCs w:val="22"/>
          <w:lang w:eastAsia="en-US"/>
        </w:rPr>
        <w:t>The current reporting require</w:t>
      </w:r>
      <w:r w:rsidR="00E646BC">
        <w:rPr>
          <w:rFonts w:ascii="Arial" w:hAnsi="Arial" w:cs="Arial"/>
          <w:sz w:val="22"/>
          <w:szCs w:val="22"/>
          <w:lang w:eastAsia="en-US"/>
        </w:rPr>
        <w:t>d by</w:t>
      </w:r>
      <w:r w:rsidR="00B87E8E">
        <w:rPr>
          <w:rFonts w:ascii="Arial" w:hAnsi="Arial" w:cs="Arial"/>
          <w:sz w:val="22"/>
          <w:szCs w:val="22"/>
          <w:lang w:eastAsia="en-US"/>
        </w:rPr>
        <w:t xml:space="preserve"> the OFSC </w:t>
      </w:r>
      <w:r>
        <w:rPr>
          <w:rFonts w:ascii="Arial" w:hAnsi="Arial" w:cs="Arial"/>
          <w:sz w:val="22"/>
          <w:szCs w:val="22"/>
          <w:lang w:eastAsia="en-US"/>
        </w:rPr>
        <w:t>ha</w:t>
      </w:r>
      <w:r w:rsidR="00E646BC">
        <w:rPr>
          <w:rFonts w:ascii="Arial" w:hAnsi="Arial" w:cs="Arial"/>
          <w:sz w:val="22"/>
          <w:szCs w:val="22"/>
          <w:lang w:eastAsia="en-US"/>
        </w:rPr>
        <w:t>s</w:t>
      </w:r>
      <w:r>
        <w:rPr>
          <w:rFonts w:ascii="Arial" w:hAnsi="Arial" w:cs="Arial"/>
          <w:sz w:val="22"/>
          <w:szCs w:val="22"/>
          <w:lang w:eastAsia="en-US"/>
        </w:rPr>
        <w:t xml:space="preserve"> been established in consultation with industry associations </w:t>
      </w:r>
      <w:r w:rsidR="00B87E8E">
        <w:rPr>
          <w:rFonts w:ascii="Arial" w:hAnsi="Arial" w:cs="Arial"/>
          <w:sz w:val="22"/>
          <w:szCs w:val="22"/>
          <w:lang w:eastAsia="en-US"/>
        </w:rPr>
        <w:t xml:space="preserve">and accredited companies </w:t>
      </w:r>
      <w:r>
        <w:rPr>
          <w:rFonts w:ascii="Arial" w:hAnsi="Arial" w:cs="Arial"/>
          <w:sz w:val="22"/>
          <w:szCs w:val="22"/>
          <w:lang w:eastAsia="en-US"/>
        </w:rPr>
        <w:t xml:space="preserve">through the OFSC’s Industry Reference Group (IRG). </w:t>
      </w:r>
      <w:r w:rsidR="006C3D19">
        <w:rPr>
          <w:rFonts w:ascii="Arial" w:hAnsi="Arial" w:cs="Arial"/>
          <w:sz w:val="22"/>
          <w:szCs w:val="22"/>
          <w:lang w:eastAsia="en-US"/>
        </w:rPr>
        <w:t>Noting the above suggestions, t</w:t>
      </w:r>
      <w:r w:rsidR="00B87E8E">
        <w:rPr>
          <w:rFonts w:ascii="Arial" w:hAnsi="Arial" w:cs="Arial"/>
          <w:sz w:val="22"/>
          <w:szCs w:val="22"/>
          <w:lang w:eastAsia="en-US"/>
        </w:rPr>
        <w:t>he post review period will provi</w:t>
      </w:r>
      <w:r w:rsidR="000D2A1A">
        <w:rPr>
          <w:rFonts w:ascii="Arial" w:hAnsi="Arial" w:cs="Arial"/>
          <w:sz w:val="22"/>
          <w:szCs w:val="22"/>
          <w:lang w:eastAsia="en-US"/>
        </w:rPr>
        <w:t>de an opportunity for the OFSC</w:t>
      </w:r>
      <w:r w:rsidR="00B87E8E">
        <w:rPr>
          <w:rFonts w:ascii="Arial" w:hAnsi="Arial" w:cs="Arial"/>
          <w:sz w:val="22"/>
          <w:szCs w:val="22"/>
          <w:lang w:eastAsia="en-US"/>
        </w:rPr>
        <w:t xml:space="preserve"> to further consider its reporting requirements. </w:t>
      </w:r>
    </w:p>
    <w:p w:rsidR="007A3885" w:rsidRPr="00AB0007" w:rsidRDefault="007A3885" w:rsidP="00AB0007">
      <w:pPr>
        <w:rPr>
          <w:rFonts w:ascii="Arial" w:hAnsi="Arial" w:cs="Arial"/>
          <w:sz w:val="22"/>
          <w:szCs w:val="22"/>
          <w:lang w:eastAsia="en-US"/>
        </w:rPr>
      </w:pPr>
    </w:p>
    <w:p w:rsidR="009D34E3" w:rsidRDefault="006C3D19">
      <w:pPr>
        <w:rPr>
          <w:rFonts w:ascii="Arial" w:hAnsi="Arial" w:cs="Arial"/>
          <w:b/>
        </w:rPr>
      </w:pPr>
      <w:r w:rsidRPr="004F5B4E">
        <w:rPr>
          <w:noProof/>
        </w:rPr>
        <mc:AlternateContent>
          <mc:Choice Requires="wps">
            <w:drawing>
              <wp:inline distT="0" distB="0" distL="0" distR="0" wp14:anchorId="53DE7CF3" wp14:editId="196C5B95">
                <wp:extent cx="5743575" cy="1010992"/>
                <wp:effectExtent l="0" t="0" r="28575" b="17780"/>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010992"/>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7A3885">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14</w:t>
                            </w:r>
                            <w:r w:rsidRPr="005E46C2">
                              <w:rPr>
                                <w:rFonts w:ascii="Arial" w:hAnsi="Arial" w:cs="Arial"/>
                                <w:sz w:val="22"/>
                                <w:szCs w:val="22"/>
                                <w:highlight w:val="lightGray"/>
                              </w:rPr>
                              <w:t>:</w:t>
                            </w:r>
                            <w:r>
                              <w:rPr>
                                <w:rFonts w:ascii="Arial" w:hAnsi="Arial" w:cs="Arial"/>
                                <w:sz w:val="22"/>
                                <w:szCs w:val="22"/>
                              </w:rPr>
                              <w:t xml:space="preserve"> </w:t>
                            </w:r>
                            <w:r w:rsidRPr="002611FD">
                              <w:rPr>
                                <w:rFonts w:ascii="Arial" w:hAnsi="Arial" w:cs="Arial"/>
                                <w:sz w:val="22"/>
                                <w:szCs w:val="22"/>
                              </w:rPr>
                              <w:t xml:space="preserve">The OFSC </w:t>
                            </w:r>
                            <w:r>
                              <w:rPr>
                                <w:rFonts w:ascii="Arial" w:hAnsi="Arial" w:cs="Arial"/>
                                <w:sz w:val="22"/>
                                <w:szCs w:val="22"/>
                              </w:rPr>
                              <w:t xml:space="preserve">review its reporting requirements to </w:t>
                            </w:r>
                            <w:r w:rsidRPr="002611FD">
                              <w:rPr>
                                <w:rFonts w:ascii="Arial" w:hAnsi="Arial" w:cs="Arial"/>
                                <w:sz w:val="22"/>
                                <w:szCs w:val="22"/>
                              </w:rPr>
                              <w:t>identif</w:t>
                            </w:r>
                            <w:r>
                              <w:rPr>
                                <w:rFonts w:ascii="Arial" w:hAnsi="Arial" w:cs="Arial"/>
                                <w:sz w:val="22"/>
                                <w:szCs w:val="22"/>
                              </w:rPr>
                              <w:t xml:space="preserve">y </w:t>
                            </w:r>
                            <w:r w:rsidRPr="002611FD">
                              <w:rPr>
                                <w:rFonts w:ascii="Arial" w:hAnsi="Arial" w:cs="Arial"/>
                                <w:sz w:val="22"/>
                                <w:szCs w:val="22"/>
                              </w:rPr>
                              <w:t>ways in which data c</w:t>
                            </w:r>
                            <w:r>
                              <w:rPr>
                                <w:rFonts w:ascii="Arial" w:hAnsi="Arial" w:cs="Arial"/>
                                <w:sz w:val="22"/>
                                <w:szCs w:val="22"/>
                              </w:rPr>
                              <w:t>ollected</w:t>
                            </w:r>
                            <w:r w:rsidRPr="002611FD">
                              <w:rPr>
                                <w:rFonts w:ascii="Arial" w:hAnsi="Arial" w:cs="Arial"/>
                                <w:sz w:val="22"/>
                                <w:szCs w:val="22"/>
                              </w:rPr>
                              <w:t xml:space="preserve"> can be compared with wider industry data. That the data collected be published in a way that assists companies to benchmark their own performance with other accredited companies and the industry more broadly. The OFSC supplies data analysis directly to accredited companies.</w:t>
                            </w:r>
                          </w:p>
                        </w:txbxContent>
                      </wps:txbx>
                      <wps:bodyPr rot="0" vert="horz" wrap="square" lIns="91440" tIns="45720" rIns="91440" bIns="45720" anchor="ctr" anchorCtr="0">
                        <a:noAutofit/>
                      </wps:bodyPr>
                    </wps:wsp>
                  </a:graphicData>
                </a:graphic>
              </wp:inline>
            </w:drawing>
          </mc:Choice>
          <mc:Fallback>
            <w:pict>
              <v:shape w14:anchorId="53DE7CF3" id="_x0000_s1039" type="#_x0000_t202" style="width:452.25pt;height:79.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" fillcolor="#d8d8d8 [2732]">
                <v:textbox>
                  <w:txbxContent>
                    <w:p w:rsidR="00226B47" w:rsidRPr="00E55511" w:rsidRDefault="00226B47" w:rsidP="007A3885">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14</w:t>
                      </w:r>
                      <w:r w:rsidRPr="005E46C2">
                        <w:rPr>
                          <w:rFonts w:ascii="Arial" w:hAnsi="Arial" w:cs="Arial"/>
                          <w:sz w:val="22"/>
                          <w:szCs w:val="22"/>
                          <w:highlight w:val="lightGray"/>
                        </w:rPr>
                        <w:t>:</w:t>
                      </w:r>
                      <w:r>
                        <w:rPr>
                          <w:rFonts w:ascii="Arial" w:hAnsi="Arial" w:cs="Arial"/>
                          <w:sz w:val="22"/>
                          <w:szCs w:val="22"/>
                        </w:rPr>
                        <w:t xml:space="preserve"> </w:t>
                      </w:r>
                      <w:r w:rsidRPr="002611FD">
                        <w:rPr>
                          <w:rFonts w:ascii="Arial" w:hAnsi="Arial" w:cs="Arial"/>
                          <w:sz w:val="22"/>
                          <w:szCs w:val="22"/>
                        </w:rPr>
                        <w:t xml:space="preserve">The OFSC </w:t>
                      </w:r>
                      <w:r>
                        <w:rPr>
                          <w:rFonts w:ascii="Arial" w:hAnsi="Arial" w:cs="Arial"/>
                          <w:sz w:val="22"/>
                          <w:szCs w:val="22"/>
                        </w:rPr>
                        <w:t xml:space="preserve">review its reporting requirements to </w:t>
                      </w:r>
                      <w:r w:rsidRPr="002611FD">
                        <w:rPr>
                          <w:rFonts w:ascii="Arial" w:hAnsi="Arial" w:cs="Arial"/>
                          <w:sz w:val="22"/>
                          <w:szCs w:val="22"/>
                        </w:rPr>
                        <w:t>identif</w:t>
                      </w:r>
                      <w:r>
                        <w:rPr>
                          <w:rFonts w:ascii="Arial" w:hAnsi="Arial" w:cs="Arial"/>
                          <w:sz w:val="22"/>
                          <w:szCs w:val="22"/>
                        </w:rPr>
                        <w:t xml:space="preserve">y </w:t>
                      </w:r>
                      <w:r w:rsidRPr="002611FD">
                        <w:rPr>
                          <w:rFonts w:ascii="Arial" w:hAnsi="Arial" w:cs="Arial"/>
                          <w:sz w:val="22"/>
                          <w:szCs w:val="22"/>
                        </w:rPr>
                        <w:t>ways in which data c</w:t>
                      </w:r>
                      <w:r>
                        <w:rPr>
                          <w:rFonts w:ascii="Arial" w:hAnsi="Arial" w:cs="Arial"/>
                          <w:sz w:val="22"/>
                          <w:szCs w:val="22"/>
                        </w:rPr>
                        <w:t>ollected</w:t>
                      </w:r>
                      <w:r w:rsidRPr="002611FD">
                        <w:rPr>
                          <w:rFonts w:ascii="Arial" w:hAnsi="Arial" w:cs="Arial"/>
                          <w:sz w:val="22"/>
                          <w:szCs w:val="22"/>
                        </w:rPr>
                        <w:t xml:space="preserve"> can be compared with wider industry data. That the data collected be published in a way that assists companies to benchmark their own performance with other accredited companies and the industry more broadly. The OFSC supplies data analysis directly to accredited companies.</w:t>
                      </w:r>
                    </w:p>
                  </w:txbxContent>
                </v:textbox>
                <w10:anchorlock/>
              </v:shape>
            </w:pict>
          </mc:Fallback>
        </mc:AlternateContent>
      </w:r>
    </w:p>
    <w:p w:rsidR="00B07B41" w:rsidRDefault="00B07B41">
      <w:pPr>
        <w:rPr>
          <w:rFonts w:ascii="Arial" w:hAnsi="Arial" w:cs="Arial"/>
          <w:b/>
        </w:rPr>
      </w:pPr>
    </w:p>
    <w:p w:rsidR="00B07B41" w:rsidRDefault="00B07B41">
      <w:pPr>
        <w:rPr>
          <w:rFonts w:ascii="Arial" w:hAnsi="Arial" w:cs="Arial"/>
          <w:b/>
        </w:rPr>
      </w:pPr>
    </w:p>
    <w:p w:rsidR="007B5A3A" w:rsidRDefault="00356AA4" w:rsidP="00B01E1D">
      <w:pPr>
        <w:pStyle w:val="Heading1"/>
      </w:pPr>
      <w:bookmarkStart w:id="45" w:name="_Toc390429527"/>
      <w:r>
        <w:t xml:space="preserve">OFSC </w:t>
      </w:r>
      <w:r w:rsidR="00EC7EF2">
        <w:t>P</w:t>
      </w:r>
      <w:r>
        <w:t>erformance</w:t>
      </w:r>
      <w:bookmarkEnd w:id="43"/>
      <w:bookmarkEnd w:id="45"/>
    </w:p>
    <w:p w:rsidR="00F37B17" w:rsidRDefault="00F37B17" w:rsidP="001A1425"/>
    <w:p w:rsidR="00FB1C4F" w:rsidRDefault="00A854D0" w:rsidP="00F32CB5">
      <w:pPr>
        <w:pStyle w:val="Heading2"/>
      </w:pPr>
      <w:bookmarkStart w:id="46" w:name="_Toc390429528"/>
      <w:r>
        <w:t xml:space="preserve">OFSC </w:t>
      </w:r>
      <w:r w:rsidR="002B5AED">
        <w:t>C</w:t>
      </w:r>
      <w:r w:rsidR="00FB1C4F" w:rsidRPr="00FB1C4F">
        <w:t>ommunicat</w:t>
      </w:r>
      <w:r>
        <w:t>ion</w:t>
      </w:r>
      <w:r w:rsidR="007A3885">
        <w:t xml:space="preserve"> </w:t>
      </w:r>
      <w:r>
        <w:t>of</w:t>
      </w:r>
      <w:r w:rsidR="00FB1C4F" w:rsidRPr="00FB1C4F">
        <w:t xml:space="preserve"> </w:t>
      </w:r>
      <w:r>
        <w:t>best practice</w:t>
      </w:r>
      <w:bookmarkEnd w:id="46"/>
      <w:r w:rsidR="00FB1C4F" w:rsidRPr="00FB1C4F">
        <w:t xml:space="preserve"> </w:t>
      </w:r>
    </w:p>
    <w:p w:rsidR="007A3885" w:rsidRPr="004F5B4E" w:rsidRDefault="007A3885" w:rsidP="00FB1C4F">
      <w:pPr>
        <w:rPr>
          <w:rFonts w:ascii="Arial" w:hAnsi="Arial" w:cs="Arial"/>
          <w:sz w:val="22"/>
          <w:szCs w:val="22"/>
        </w:rPr>
      </w:pPr>
    </w:p>
    <w:p w:rsidR="00FB1C4F" w:rsidRPr="002B5AED" w:rsidRDefault="00FB1C4F" w:rsidP="00FB1C4F">
      <w:pPr>
        <w:rPr>
          <w:rFonts w:ascii="Arial" w:hAnsi="Arial" w:cs="Arial"/>
          <w:sz w:val="22"/>
          <w:szCs w:val="22"/>
        </w:rPr>
      </w:pPr>
      <w:r w:rsidRPr="004F5B4E">
        <w:rPr>
          <w:rFonts w:ascii="Arial" w:hAnsi="Arial" w:cs="Arial"/>
          <w:sz w:val="22"/>
          <w:szCs w:val="22"/>
        </w:rPr>
        <w:t xml:space="preserve">The functions of the OFSC include promoting WHS in relation to </w:t>
      </w:r>
      <w:r w:rsidRPr="002B5AED">
        <w:rPr>
          <w:rFonts w:ascii="Arial" w:hAnsi="Arial" w:cs="Arial"/>
          <w:sz w:val="22"/>
          <w:szCs w:val="22"/>
        </w:rPr>
        <w:t xml:space="preserve">building work, accrediting companies to the Scheme and promoting the benefits of the Scheme. </w:t>
      </w:r>
    </w:p>
    <w:p w:rsidR="00FB1C4F" w:rsidRPr="002B5AED" w:rsidRDefault="00FB1C4F" w:rsidP="00FB1C4F">
      <w:pPr>
        <w:rPr>
          <w:rFonts w:ascii="Arial" w:hAnsi="Arial" w:cs="Arial"/>
          <w:sz w:val="22"/>
          <w:szCs w:val="22"/>
        </w:rPr>
      </w:pPr>
    </w:p>
    <w:p w:rsidR="00FB1C4F" w:rsidRPr="002B5AED" w:rsidRDefault="00FB1C4F" w:rsidP="00FB1C4F">
      <w:pPr>
        <w:rPr>
          <w:rFonts w:ascii="Arial" w:hAnsi="Arial" w:cs="Arial"/>
          <w:sz w:val="22"/>
          <w:szCs w:val="22"/>
        </w:rPr>
      </w:pPr>
      <w:r w:rsidRPr="002B5AED">
        <w:rPr>
          <w:rFonts w:ascii="Arial" w:hAnsi="Arial" w:cs="Arial"/>
          <w:sz w:val="22"/>
          <w:szCs w:val="22"/>
        </w:rPr>
        <w:t xml:space="preserve">As part of its commitment to promote sustainable WHS cultural change in the building and construction industry, the OFSC </w:t>
      </w:r>
      <w:r w:rsidR="000D2A1A">
        <w:rPr>
          <w:rFonts w:ascii="Arial" w:hAnsi="Arial" w:cs="Arial"/>
          <w:sz w:val="22"/>
          <w:szCs w:val="22"/>
        </w:rPr>
        <w:t xml:space="preserve">has attempted to </w:t>
      </w:r>
      <w:r w:rsidRPr="002B5AED">
        <w:rPr>
          <w:rFonts w:ascii="Arial" w:hAnsi="Arial" w:cs="Arial"/>
          <w:sz w:val="22"/>
          <w:szCs w:val="22"/>
        </w:rPr>
        <w:t xml:space="preserve">regularly undertake education activities as well as formal and informal stakeholder consultation. For example, the FSC </w:t>
      </w:r>
      <w:r w:rsidR="000D2A1A">
        <w:rPr>
          <w:rFonts w:ascii="Arial" w:hAnsi="Arial" w:cs="Arial"/>
          <w:sz w:val="22"/>
          <w:szCs w:val="22"/>
        </w:rPr>
        <w:t>has attended</w:t>
      </w:r>
      <w:r w:rsidRPr="002B5AED">
        <w:rPr>
          <w:rFonts w:ascii="Arial" w:hAnsi="Arial" w:cs="Arial"/>
          <w:sz w:val="22"/>
          <w:szCs w:val="22"/>
        </w:rPr>
        <w:t xml:space="preserve"> safety-related conferences, forums and meetings of safety managers, industry representatives and undertakes site visits. </w:t>
      </w:r>
    </w:p>
    <w:p w:rsidR="00FB1C4F" w:rsidRPr="002B5AED" w:rsidRDefault="00FB1C4F" w:rsidP="00FB1C4F">
      <w:pPr>
        <w:rPr>
          <w:rFonts w:ascii="Arial" w:hAnsi="Arial" w:cs="Arial"/>
          <w:sz w:val="22"/>
          <w:szCs w:val="22"/>
        </w:rPr>
      </w:pPr>
    </w:p>
    <w:p w:rsidR="00FB1C4F" w:rsidRDefault="00FB1C4F" w:rsidP="00FB1C4F">
      <w:pPr>
        <w:rPr>
          <w:rFonts w:ascii="Arial" w:hAnsi="Arial" w:cs="Arial"/>
          <w:sz w:val="22"/>
          <w:szCs w:val="22"/>
        </w:rPr>
      </w:pPr>
      <w:r w:rsidRPr="002B5AED">
        <w:rPr>
          <w:rFonts w:ascii="Arial" w:hAnsi="Arial" w:cs="Arial"/>
          <w:sz w:val="22"/>
          <w:szCs w:val="22"/>
        </w:rPr>
        <w:t xml:space="preserve">The FSC </w:t>
      </w:r>
      <w:r w:rsidR="000D2A1A">
        <w:rPr>
          <w:rFonts w:ascii="Arial" w:hAnsi="Arial" w:cs="Arial"/>
          <w:sz w:val="22"/>
          <w:szCs w:val="22"/>
        </w:rPr>
        <w:t xml:space="preserve">also </w:t>
      </w:r>
      <w:r w:rsidRPr="002B5AED">
        <w:rPr>
          <w:rFonts w:ascii="Arial" w:hAnsi="Arial" w:cs="Arial"/>
          <w:sz w:val="22"/>
          <w:szCs w:val="22"/>
        </w:rPr>
        <w:t xml:space="preserve">chairs two consultative reference groups, the </w:t>
      </w:r>
      <w:r w:rsidR="002B5AED">
        <w:rPr>
          <w:rFonts w:ascii="Arial" w:hAnsi="Arial" w:cs="Arial"/>
          <w:sz w:val="22"/>
          <w:szCs w:val="22"/>
        </w:rPr>
        <w:t xml:space="preserve">IRG </w:t>
      </w:r>
      <w:r w:rsidRPr="002B5AED">
        <w:rPr>
          <w:rFonts w:ascii="Arial" w:hAnsi="Arial" w:cs="Arial"/>
          <w:sz w:val="22"/>
          <w:szCs w:val="22"/>
        </w:rPr>
        <w:t xml:space="preserve">and the </w:t>
      </w:r>
      <w:r w:rsidR="00BC574E">
        <w:rPr>
          <w:rFonts w:ascii="Arial" w:hAnsi="Arial" w:cs="Arial"/>
          <w:sz w:val="22"/>
          <w:szCs w:val="22"/>
        </w:rPr>
        <w:t>AGARG</w:t>
      </w:r>
      <w:r w:rsidRPr="002B5AED">
        <w:rPr>
          <w:rFonts w:ascii="Arial" w:hAnsi="Arial" w:cs="Arial"/>
          <w:sz w:val="22"/>
          <w:szCs w:val="22"/>
        </w:rPr>
        <w:t>. Generally these groups meet two to three times a year.</w:t>
      </w:r>
    </w:p>
    <w:p w:rsidR="006C3D19" w:rsidRDefault="006C3D19" w:rsidP="00FB1C4F">
      <w:pPr>
        <w:rPr>
          <w:rFonts w:ascii="Arial" w:hAnsi="Arial" w:cs="Arial"/>
          <w:sz w:val="22"/>
          <w:szCs w:val="22"/>
        </w:rPr>
      </w:pPr>
    </w:p>
    <w:p w:rsidR="00E51997" w:rsidRDefault="00E51997">
      <w:pPr>
        <w:rPr>
          <w:rFonts w:ascii="Arial" w:hAnsi="Arial" w:cs="Arial"/>
          <w:sz w:val="22"/>
          <w:szCs w:val="22"/>
        </w:rPr>
      </w:pPr>
      <w:r>
        <w:rPr>
          <w:rFonts w:ascii="Arial" w:hAnsi="Arial" w:cs="Arial"/>
          <w:sz w:val="22"/>
          <w:szCs w:val="22"/>
        </w:rPr>
        <w:br w:type="page"/>
      </w:r>
    </w:p>
    <w:p w:rsidR="006C3D19" w:rsidRDefault="006C3D19" w:rsidP="006C3D19">
      <w:pPr>
        <w:rPr>
          <w:rFonts w:ascii="Arial" w:hAnsi="Arial" w:cs="Arial"/>
          <w:sz w:val="22"/>
          <w:szCs w:val="22"/>
        </w:rPr>
      </w:pPr>
      <w:r>
        <w:rPr>
          <w:rFonts w:ascii="Arial" w:hAnsi="Arial" w:cs="Arial"/>
          <w:sz w:val="22"/>
          <w:szCs w:val="22"/>
        </w:rPr>
        <w:t>In recent times</w:t>
      </w:r>
      <w:r w:rsidR="000D2A1A">
        <w:rPr>
          <w:rFonts w:ascii="Arial" w:hAnsi="Arial" w:cs="Arial"/>
          <w:sz w:val="22"/>
          <w:szCs w:val="22"/>
        </w:rPr>
        <w:t xml:space="preserve"> however</w:t>
      </w:r>
      <w:r>
        <w:rPr>
          <w:rFonts w:ascii="Arial" w:hAnsi="Arial" w:cs="Arial"/>
          <w:sz w:val="22"/>
          <w:szCs w:val="22"/>
        </w:rPr>
        <w:t xml:space="preserve">, such educational and support activities have reduced as </w:t>
      </w:r>
      <w:r w:rsidR="002B5AED">
        <w:rPr>
          <w:rFonts w:ascii="Arial" w:hAnsi="Arial" w:cs="Arial"/>
          <w:sz w:val="22"/>
          <w:szCs w:val="22"/>
        </w:rPr>
        <w:t>more resources</w:t>
      </w:r>
      <w:r>
        <w:rPr>
          <w:rFonts w:ascii="Arial" w:hAnsi="Arial" w:cs="Arial"/>
          <w:sz w:val="22"/>
          <w:szCs w:val="22"/>
        </w:rPr>
        <w:t xml:space="preserve"> ha</w:t>
      </w:r>
      <w:r w:rsidR="002B5AED">
        <w:rPr>
          <w:rFonts w:ascii="Arial" w:hAnsi="Arial" w:cs="Arial"/>
          <w:sz w:val="22"/>
          <w:szCs w:val="22"/>
        </w:rPr>
        <w:t>ve</w:t>
      </w:r>
      <w:r>
        <w:rPr>
          <w:rFonts w:ascii="Arial" w:hAnsi="Arial" w:cs="Arial"/>
          <w:sz w:val="22"/>
          <w:szCs w:val="22"/>
        </w:rPr>
        <w:t xml:space="preserve"> been </w:t>
      </w:r>
      <w:r w:rsidR="002B5AED">
        <w:rPr>
          <w:rFonts w:ascii="Arial" w:hAnsi="Arial" w:cs="Arial"/>
          <w:sz w:val="22"/>
          <w:szCs w:val="22"/>
        </w:rPr>
        <w:t>applied by the OFSC to</w:t>
      </w:r>
      <w:r>
        <w:rPr>
          <w:rFonts w:ascii="Arial" w:hAnsi="Arial" w:cs="Arial"/>
          <w:sz w:val="22"/>
          <w:szCs w:val="22"/>
        </w:rPr>
        <w:t xml:space="preserve"> the core accreditation program</w:t>
      </w:r>
      <w:r w:rsidR="00BC574E">
        <w:rPr>
          <w:rFonts w:ascii="Arial" w:hAnsi="Arial" w:cs="Arial"/>
          <w:sz w:val="22"/>
          <w:szCs w:val="22"/>
        </w:rPr>
        <w:t>me</w:t>
      </w:r>
      <w:r>
        <w:rPr>
          <w:rFonts w:ascii="Arial" w:hAnsi="Arial" w:cs="Arial"/>
          <w:sz w:val="22"/>
          <w:szCs w:val="22"/>
        </w:rPr>
        <w:t xml:space="preserve"> requirements.</w:t>
      </w:r>
      <w:r w:rsidR="002B5AED">
        <w:rPr>
          <w:rFonts w:ascii="Arial" w:hAnsi="Arial" w:cs="Arial"/>
          <w:sz w:val="22"/>
          <w:szCs w:val="22"/>
        </w:rPr>
        <w:t xml:space="preserve"> </w:t>
      </w:r>
      <w:r>
        <w:rPr>
          <w:rFonts w:ascii="Arial" w:hAnsi="Arial" w:cs="Arial"/>
          <w:sz w:val="22"/>
          <w:szCs w:val="22"/>
        </w:rPr>
        <w:t xml:space="preserve">This was highlighted by all respondents to the </w:t>
      </w:r>
      <w:r w:rsidR="002B5AED">
        <w:rPr>
          <w:rFonts w:ascii="Arial" w:hAnsi="Arial" w:cs="Arial"/>
          <w:sz w:val="22"/>
          <w:szCs w:val="22"/>
        </w:rPr>
        <w:t>D</w:t>
      </w:r>
      <w:r>
        <w:rPr>
          <w:rFonts w:ascii="Arial" w:hAnsi="Arial" w:cs="Arial"/>
          <w:sz w:val="22"/>
          <w:szCs w:val="22"/>
        </w:rPr>
        <w:t xml:space="preserve">iscussion </w:t>
      </w:r>
      <w:r w:rsidR="002B5AED">
        <w:rPr>
          <w:rFonts w:ascii="Arial" w:hAnsi="Arial" w:cs="Arial"/>
          <w:sz w:val="22"/>
          <w:szCs w:val="22"/>
        </w:rPr>
        <w:t>P</w:t>
      </w:r>
      <w:r>
        <w:rPr>
          <w:rFonts w:ascii="Arial" w:hAnsi="Arial" w:cs="Arial"/>
          <w:sz w:val="22"/>
          <w:szCs w:val="22"/>
        </w:rPr>
        <w:t>aper, with</w:t>
      </w:r>
      <w:r w:rsidRPr="0049188B">
        <w:rPr>
          <w:rFonts w:ascii="Arial" w:hAnsi="Arial" w:cs="Arial"/>
          <w:sz w:val="22"/>
          <w:szCs w:val="22"/>
        </w:rPr>
        <w:t xml:space="preserve"> stakeholders agree</w:t>
      </w:r>
      <w:r>
        <w:rPr>
          <w:rFonts w:ascii="Arial" w:hAnsi="Arial" w:cs="Arial"/>
          <w:sz w:val="22"/>
          <w:szCs w:val="22"/>
        </w:rPr>
        <w:t>ing</w:t>
      </w:r>
      <w:r w:rsidRPr="0049188B">
        <w:rPr>
          <w:rFonts w:ascii="Arial" w:hAnsi="Arial" w:cs="Arial"/>
          <w:sz w:val="22"/>
          <w:szCs w:val="22"/>
        </w:rPr>
        <w:t xml:space="preserve"> that the OFSC need</w:t>
      </w:r>
      <w:r w:rsidR="00A854D0">
        <w:rPr>
          <w:rFonts w:ascii="Arial" w:hAnsi="Arial" w:cs="Arial"/>
          <w:sz w:val="22"/>
          <w:szCs w:val="22"/>
        </w:rPr>
        <w:t>s</w:t>
      </w:r>
      <w:r w:rsidRPr="0049188B">
        <w:rPr>
          <w:rFonts w:ascii="Arial" w:hAnsi="Arial" w:cs="Arial"/>
          <w:sz w:val="22"/>
          <w:szCs w:val="22"/>
        </w:rPr>
        <w:t xml:space="preserve"> to be more engaged with industry, regularly travelling and being “visible”, and meeting with key association and building industry participants as it used to in the early days of the Scheme. Other suggestions included communicating best practice, an increased educational function, industry forums, annual conferences, and better interaction with Safe Work Australia and </w:t>
      </w:r>
      <w:r w:rsidR="00FA60D9">
        <w:rPr>
          <w:rFonts w:ascii="Arial" w:hAnsi="Arial" w:cs="Arial"/>
          <w:sz w:val="22"/>
          <w:szCs w:val="22"/>
        </w:rPr>
        <w:t>WHS regulators</w:t>
      </w:r>
      <w:r w:rsidRPr="0049188B">
        <w:rPr>
          <w:rFonts w:ascii="Arial" w:hAnsi="Arial" w:cs="Arial"/>
          <w:sz w:val="22"/>
          <w:szCs w:val="22"/>
        </w:rPr>
        <w:t xml:space="preserve">. </w:t>
      </w:r>
    </w:p>
    <w:p w:rsidR="002B5AED" w:rsidRPr="0049188B" w:rsidRDefault="002B5AED" w:rsidP="006C3D19">
      <w:pPr>
        <w:rPr>
          <w:rFonts w:ascii="Arial" w:hAnsi="Arial" w:cs="Arial"/>
          <w:sz w:val="22"/>
          <w:szCs w:val="22"/>
        </w:rPr>
      </w:pPr>
    </w:p>
    <w:p w:rsidR="00FB1C4F" w:rsidRPr="006C3D19" w:rsidRDefault="00CE55DF" w:rsidP="00FB1C4F">
      <w:pPr>
        <w:rPr>
          <w:rFonts w:ascii="Arial" w:hAnsi="Arial" w:cs="Arial"/>
          <w:sz w:val="22"/>
          <w:szCs w:val="22"/>
        </w:rPr>
      </w:pPr>
      <w:r>
        <w:rPr>
          <w:rFonts w:ascii="Arial" w:hAnsi="Arial" w:cs="Arial"/>
          <w:sz w:val="22"/>
          <w:szCs w:val="22"/>
        </w:rPr>
        <w:t>In line with the above suggestions, t</w:t>
      </w:r>
      <w:r w:rsidR="00FB1C4F" w:rsidRPr="002B5AED">
        <w:rPr>
          <w:rFonts w:ascii="Arial" w:hAnsi="Arial" w:cs="Arial"/>
          <w:sz w:val="22"/>
          <w:szCs w:val="22"/>
        </w:rPr>
        <w:t>he OFSC</w:t>
      </w:r>
      <w:r w:rsidR="0078389F">
        <w:rPr>
          <w:rFonts w:ascii="Arial" w:hAnsi="Arial" w:cs="Arial"/>
          <w:sz w:val="22"/>
          <w:szCs w:val="22"/>
        </w:rPr>
        <w:t>’s</w:t>
      </w:r>
      <w:r w:rsidR="00FB1C4F" w:rsidRPr="002B5AED">
        <w:rPr>
          <w:rFonts w:ascii="Arial" w:hAnsi="Arial" w:cs="Arial"/>
          <w:sz w:val="22"/>
          <w:szCs w:val="22"/>
        </w:rPr>
        <w:t xml:space="preserve"> </w:t>
      </w:r>
      <w:r w:rsidR="00FB1C4F" w:rsidRPr="006C3D19">
        <w:rPr>
          <w:rFonts w:ascii="Arial" w:hAnsi="Arial" w:cs="Arial"/>
          <w:sz w:val="22"/>
          <w:szCs w:val="22"/>
        </w:rPr>
        <w:t>website (</w:t>
      </w:r>
      <w:r w:rsidR="00674522" w:rsidRPr="00674522">
        <w:rPr>
          <w:rFonts w:ascii="Arial" w:hAnsi="Arial" w:cs="Arial"/>
          <w:sz w:val="22"/>
          <w:szCs w:val="22"/>
        </w:rPr>
        <w:t>www.fsc.gov.au</w:t>
      </w:r>
      <w:r w:rsidR="00E23F52">
        <w:rPr>
          <w:rFonts w:ascii="Arial" w:hAnsi="Arial" w:cs="Arial"/>
          <w:sz w:val="22"/>
          <w:szCs w:val="22"/>
        </w:rPr>
        <w:t>)</w:t>
      </w:r>
      <w:r w:rsidR="00FB1C4F" w:rsidRPr="006C3D19">
        <w:rPr>
          <w:rFonts w:ascii="Arial" w:hAnsi="Arial" w:cs="Arial"/>
          <w:sz w:val="22"/>
          <w:szCs w:val="22"/>
        </w:rPr>
        <w:t xml:space="preserve"> </w:t>
      </w:r>
      <w:r>
        <w:rPr>
          <w:rFonts w:ascii="Arial" w:hAnsi="Arial" w:cs="Arial"/>
          <w:sz w:val="22"/>
          <w:szCs w:val="22"/>
        </w:rPr>
        <w:t xml:space="preserve">currently </w:t>
      </w:r>
      <w:r w:rsidR="00FB1C4F" w:rsidRPr="006C3D19">
        <w:rPr>
          <w:rFonts w:ascii="Arial" w:hAnsi="Arial" w:cs="Arial"/>
          <w:sz w:val="22"/>
          <w:szCs w:val="22"/>
        </w:rPr>
        <w:t xml:space="preserve">provides a communication vehicle to highlight examples of best practice from companies. </w:t>
      </w:r>
      <w:r>
        <w:rPr>
          <w:rFonts w:ascii="Arial" w:hAnsi="Arial" w:cs="Arial"/>
          <w:sz w:val="22"/>
          <w:szCs w:val="22"/>
        </w:rPr>
        <w:t>It is recognised that m</w:t>
      </w:r>
      <w:r w:rsidR="00FB1C4F" w:rsidRPr="006C3D19">
        <w:rPr>
          <w:rFonts w:ascii="Arial" w:hAnsi="Arial" w:cs="Arial"/>
          <w:sz w:val="22"/>
          <w:szCs w:val="22"/>
        </w:rPr>
        <w:t xml:space="preserve">ore can be done in this area </w:t>
      </w:r>
      <w:r>
        <w:rPr>
          <w:rFonts w:ascii="Arial" w:hAnsi="Arial" w:cs="Arial"/>
          <w:sz w:val="22"/>
          <w:szCs w:val="22"/>
        </w:rPr>
        <w:t>to better target</w:t>
      </w:r>
      <w:r w:rsidR="00FB1C4F" w:rsidRPr="006C3D19">
        <w:rPr>
          <w:rFonts w:ascii="Arial" w:hAnsi="Arial" w:cs="Arial"/>
          <w:sz w:val="22"/>
          <w:szCs w:val="22"/>
        </w:rPr>
        <w:t xml:space="preserve"> communicati</w:t>
      </w:r>
      <w:r>
        <w:rPr>
          <w:rFonts w:ascii="Arial" w:hAnsi="Arial" w:cs="Arial"/>
          <w:sz w:val="22"/>
          <w:szCs w:val="22"/>
        </w:rPr>
        <w:t>on</w:t>
      </w:r>
      <w:r w:rsidR="00FB1C4F" w:rsidRPr="006C3D19">
        <w:rPr>
          <w:rFonts w:ascii="Arial" w:hAnsi="Arial" w:cs="Arial"/>
          <w:sz w:val="22"/>
          <w:szCs w:val="22"/>
        </w:rPr>
        <w:t xml:space="preserve"> between the OFSC and the industry</w:t>
      </w:r>
      <w:r w:rsidR="006C3D19">
        <w:rPr>
          <w:rFonts w:ascii="Arial" w:hAnsi="Arial" w:cs="Arial"/>
          <w:sz w:val="22"/>
          <w:szCs w:val="22"/>
        </w:rPr>
        <w:t xml:space="preserve"> as noted</w:t>
      </w:r>
      <w:r>
        <w:rPr>
          <w:rFonts w:ascii="Arial" w:hAnsi="Arial" w:cs="Arial"/>
          <w:sz w:val="22"/>
          <w:szCs w:val="22"/>
        </w:rPr>
        <w:t xml:space="preserve"> </w:t>
      </w:r>
      <w:r w:rsidR="002B5AED">
        <w:rPr>
          <w:rFonts w:ascii="Arial" w:hAnsi="Arial" w:cs="Arial"/>
          <w:sz w:val="22"/>
          <w:szCs w:val="22"/>
        </w:rPr>
        <w:t xml:space="preserve">previously </w:t>
      </w:r>
      <w:r>
        <w:rPr>
          <w:rFonts w:ascii="Arial" w:hAnsi="Arial" w:cs="Arial"/>
          <w:sz w:val="22"/>
          <w:szCs w:val="22"/>
        </w:rPr>
        <w:t>and discussed below</w:t>
      </w:r>
      <w:r w:rsidR="00FB1C4F" w:rsidRPr="006C3D19">
        <w:rPr>
          <w:rFonts w:ascii="Arial" w:hAnsi="Arial" w:cs="Arial"/>
          <w:sz w:val="22"/>
          <w:szCs w:val="22"/>
        </w:rPr>
        <w:t>.</w:t>
      </w:r>
    </w:p>
    <w:p w:rsidR="00FA60D9" w:rsidRDefault="00FA60D9" w:rsidP="00FB1C4F">
      <w:pPr>
        <w:rPr>
          <w:rFonts w:ascii="Arial" w:hAnsi="Arial" w:cs="Arial"/>
          <w:sz w:val="22"/>
          <w:szCs w:val="22"/>
        </w:rPr>
      </w:pPr>
    </w:p>
    <w:p w:rsidR="00FB1C4F" w:rsidRPr="002B5AED" w:rsidRDefault="00FB1C4F" w:rsidP="00FB1C4F">
      <w:pPr>
        <w:rPr>
          <w:rFonts w:ascii="Arial" w:hAnsi="Arial" w:cs="Arial"/>
          <w:sz w:val="22"/>
          <w:szCs w:val="22"/>
        </w:rPr>
      </w:pPr>
      <w:r w:rsidRPr="002B5AED">
        <w:rPr>
          <w:rFonts w:ascii="Arial" w:hAnsi="Arial" w:cs="Arial"/>
          <w:sz w:val="22"/>
          <w:szCs w:val="22"/>
        </w:rPr>
        <w:t xml:space="preserve">In relation to sharing </w:t>
      </w:r>
      <w:r w:rsidR="000D2A1A">
        <w:rPr>
          <w:rFonts w:ascii="Arial" w:hAnsi="Arial" w:cs="Arial"/>
          <w:sz w:val="22"/>
          <w:szCs w:val="22"/>
        </w:rPr>
        <w:t xml:space="preserve">best practice </w:t>
      </w:r>
      <w:r w:rsidRPr="002B5AED">
        <w:rPr>
          <w:rFonts w:ascii="Arial" w:hAnsi="Arial" w:cs="Arial"/>
          <w:sz w:val="22"/>
          <w:szCs w:val="22"/>
        </w:rPr>
        <w:t xml:space="preserve">information with industry, the general consensus was that the OFSC should </w:t>
      </w:r>
      <w:r w:rsidR="000D2A1A">
        <w:rPr>
          <w:rFonts w:ascii="Arial" w:hAnsi="Arial" w:cs="Arial"/>
          <w:sz w:val="22"/>
          <w:szCs w:val="22"/>
        </w:rPr>
        <w:t>source and disseminate b</w:t>
      </w:r>
      <w:r w:rsidRPr="002B5AED">
        <w:rPr>
          <w:rFonts w:ascii="Arial" w:hAnsi="Arial" w:cs="Arial"/>
          <w:sz w:val="22"/>
          <w:szCs w:val="22"/>
        </w:rPr>
        <w:t>est practice initiatives</w:t>
      </w:r>
      <w:r w:rsidR="000D2A1A">
        <w:rPr>
          <w:rFonts w:ascii="Arial" w:hAnsi="Arial" w:cs="Arial"/>
          <w:sz w:val="22"/>
          <w:szCs w:val="22"/>
        </w:rPr>
        <w:t xml:space="preserve"> and case studies</w:t>
      </w:r>
      <w:r w:rsidRPr="002B5AED">
        <w:rPr>
          <w:rFonts w:ascii="Arial" w:hAnsi="Arial" w:cs="Arial"/>
          <w:sz w:val="22"/>
          <w:szCs w:val="22"/>
        </w:rPr>
        <w:t>. This was a general theme across responses to</w:t>
      </w:r>
      <w:r w:rsidR="004D2E88">
        <w:rPr>
          <w:rFonts w:ascii="Arial" w:hAnsi="Arial" w:cs="Arial"/>
          <w:sz w:val="22"/>
          <w:szCs w:val="22"/>
        </w:rPr>
        <w:t xml:space="preserve"> </w:t>
      </w:r>
      <w:r w:rsidRPr="002B5AED">
        <w:rPr>
          <w:rFonts w:ascii="Arial" w:hAnsi="Arial" w:cs="Arial"/>
          <w:sz w:val="22"/>
          <w:szCs w:val="22"/>
        </w:rPr>
        <w:t>the Discussion Paper with strong comments around improved communicat</w:t>
      </w:r>
      <w:r w:rsidR="0078389F">
        <w:rPr>
          <w:rFonts w:ascii="Arial" w:hAnsi="Arial" w:cs="Arial"/>
          <w:sz w:val="22"/>
          <w:szCs w:val="22"/>
        </w:rPr>
        <w:t>ion, clearer criteria and plain-</w:t>
      </w:r>
      <w:r w:rsidRPr="002B5AED">
        <w:rPr>
          <w:rFonts w:ascii="Arial" w:hAnsi="Arial" w:cs="Arial"/>
          <w:sz w:val="22"/>
          <w:szCs w:val="22"/>
        </w:rPr>
        <w:t>English guidance material, online information including webinars, “how to” information session and expanded mentoring arrangements.</w:t>
      </w:r>
    </w:p>
    <w:p w:rsidR="00FB1C4F" w:rsidRPr="002B5AED" w:rsidRDefault="00FB1C4F" w:rsidP="00FB1C4F">
      <w:pPr>
        <w:rPr>
          <w:rFonts w:ascii="Arial" w:hAnsi="Arial" w:cs="Arial"/>
          <w:sz w:val="22"/>
          <w:szCs w:val="22"/>
        </w:rPr>
      </w:pPr>
    </w:p>
    <w:p w:rsidR="00FB1C4F" w:rsidRDefault="00FB1C4F" w:rsidP="00FB1C4F">
      <w:pPr>
        <w:rPr>
          <w:rFonts w:ascii="Arial" w:hAnsi="Arial" w:cs="Arial"/>
          <w:sz w:val="22"/>
          <w:szCs w:val="22"/>
        </w:rPr>
      </w:pPr>
      <w:r w:rsidRPr="002B5AED">
        <w:rPr>
          <w:rFonts w:ascii="Arial" w:hAnsi="Arial" w:cs="Arial"/>
          <w:sz w:val="22"/>
          <w:szCs w:val="22"/>
        </w:rPr>
        <w:t>Ninety-three per</w:t>
      </w:r>
      <w:r w:rsidR="00314754">
        <w:rPr>
          <w:rFonts w:ascii="Arial" w:hAnsi="Arial" w:cs="Arial"/>
          <w:sz w:val="22"/>
          <w:szCs w:val="22"/>
        </w:rPr>
        <w:t xml:space="preserve"> </w:t>
      </w:r>
      <w:r w:rsidRPr="002B5AED">
        <w:rPr>
          <w:rFonts w:ascii="Arial" w:hAnsi="Arial" w:cs="Arial"/>
          <w:sz w:val="22"/>
          <w:szCs w:val="22"/>
        </w:rPr>
        <w:t xml:space="preserve">cent </w:t>
      </w:r>
      <w:r w:rsidR="00674522">
        <w:rPr>
          <w:rFonts w:ascii="Arial" w:hAnsi="Arial" w:cs="Arial"/>
          <w:sz w:val="22"/>
          <w:szCs w:val="22"/>
        </w:rPr>
        <w:t xml:space="preserve">(93%) </w:t>
      </w:r>
      <w:r w:rsidRPr="002B5AED">
        <w:rPr>
          <w:rFonts w:ascii="Arial" w:hAnsi="Arial" w:cs="Arial"/>
          <w:sz w:val="22"/>
          <w:szCs w:val="22"/>
        </w:rPr>
        <w:t xml:space="preserve">of respondents to the Survey said they preferred to receive fact sheets, case studies and news articles by email, with 39 and 38 per cent preferring the OFSC website and newsletters, respectively. Less than three per cent of respondents selected social media as a preference. </w:t>
      </w:r>
    </w:p>
    <w:p w:rsidR="00A1060A" w:rsidRDefault="00A1060A" w:rsidP="00FB1C4F">
      <w:pPr>
        <w:rPr>
          <w:rFonts w:ascii="Arial" w:hAnsi="Arial" w:cs="Arial"/>
          <w:sz w:val="22"/>
          <w:szCs w:val="22"/>
        </w:rPr>
      </w:pPr>
    </w:p>
    <w:p w:rsidR="00CE55DF" w:rsidRDefault="00A1060A" w:rsidP="00FB1C4F">
      <w:pPr>
        <w:rPr>
          <w:rFonts w:ascii="Arial" w:hAnsi="Arial" w:cs="Arial"/>
          <w:sz w:val="22"/>
          <w:szCs w:val="22"/>
        </w:rPr>
      </w:pPr>
      <w:r w:rsidRPr="00674522">
        <w:rPr>
          <w:noProof/>
        </w:rPr>
        <mc:AlternateContent>
          <mc:Choice Requires="wps">
            <w:drawing>
              <wp:inline distT="0" distB="0" distL="0" distR="0" wp14:anchorId="6D022CC8" wp14:editId="077CE3B4">
                <wp:extent cx="5743575" cy="695460"/>
                <wp:effectExtent l="0" t="0" r="28575" b="28575"/>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95460"/>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674522">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15</w:t>
                            </w:r>
                            <w:r w:rsidRPr="005E46C2">
                              <w:rPr>
                                <w:rFonts w:ascii="Arial" w:hAnsi="Arial" w:cs="Arial"/>
                                <w:sz w:val="22"/>
                                <w:szCs w:val="22"/>
                                <w:highlight w:val="lightGray"/>
                              </w:rPr>
                              <w:t>:</w:t>
                            </w:r>
                            <w:r>
                              <w:rPr>
                                <w:rFonts w:ascii="Arial" w:hAnsi="Arial" w:cs="Arial"/>
                                <w:sz w:val="22"/>
                                <w:szCs w:val="22"/>
                              </w:rPr>
                              <w:t xml:space="preserve"> The OFSC, in consultation with stakeholders, </w:t>
                            </w:r>
                            <w:r w:rsidRPr="009406F8">
                              <w:rPr>
                                <w:rFonts w:ascii="Arial" w:hAnsi="Arial" w:cs="Arial"/>
                                <w:sz w:val="22"/>
                                <w:szCs w:val="22"/>
                              </w:rPr>
                              <w:t>develop</w:t>
                            </w:r>
                            <w:r>
                              <w:rPr>
                                <w:rFonts w:ascii="Arial" w:hAnsi="Arial" w:cs="Arial"/>
                                <w:sz w:val="22"/>
                                <w:szCs w:val="22"/>
                              </w:rPr>
                              <w:t>s</w:t>
                            </w:r>
                            <w:r w:rsidRPr="009406F8">
                              <w:rPr>
                                <w:rFonts w:ascii="Arial" w:hAnsi="Arial" w:cs="Arial"/>
                                <w:sz w:val="22"/>
                                <w:szCs w:val="22"/>
                              </w:rPr>
                              <w:t xml:space="preserve"> and publish</w:t>
                            </w:r>
                            <w:r>
                              <w:rPr>
                                <w:rFonts w:ascii="Arial" w:hAnsi="Arial" w:cs="Arial"/>
                                <w:sz w:val="22"/>
                                <w:szCs w:val="22"/>
                              </w:rPr>
                              <w:t>es</w:t>
                            </w:r>
                            <w:r w:rsidRPr="009406F8">
                              <w:rPr>
                                <w:rFonts w:ascii="Arial" w:hAnsi="Arial" w:cs="Arial"/>
                                <w:sz w:val="22"/>
                                <w:szCs w:val="22"/>
                              </w:rPr>
                              <w:t xml:space="preserve"> case studies that provide practical examples of </w:t>
                            </w:r>
                            <w:r>
                              <w:rPr>
                                <w:rFonts w:ascii="Arial" w:hAnsi="Arial" w:cs="Arial"/>
                                <w:sz w:val="22"/>
                                <w:szCs w:val="22"/>
                              </w:rPr>
                              <w:t xml:space="preserve">best practice </w:t>
                            </w:r>
                            <w:r w:rsidRPr="009406F8">
                              <w:rPr>
                                <w:rFonts w:ascii="Arial" w:hAnsi="Arial" w:cs="Arial"/>
                                <w:sz w:val="22"/>
                                <w:szCs w:val="22"/>
                              </w:rPr>
                              <w:t>initiatives to assist companies to self-educate for WHS improvements.</w:t>
                            </w:r>
                          </w:p>
                        </w:txbxContent>
                      </wps:txbx>
                      <wps:bodyPr rot="0" vert="horz" wrap="square" lIns="91440" tIns="45720" rIns="91440" bIns="45720" anchor="ctr" anchorCtr="0">
                        <a:noAutofit/>
                      </wps:bodyPr>
                    </wps:wsp>
                  </a:graphicData>
                </a:graphic>
              </wp:inline>
            </w:drawing>
          </mc:Choice>
          <mc:Fallback>
            <w:pict>
              <v:shape w14:anchorId="6D022CC8" id="_x0000_s1040" type="#_x0000_t202" style="width:452.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" fillcolor="#d8d8d8 [2732]">
                <v:textbox>
                  <w:txbxContent>
                    <w:p w:rsidR="00226B47" w:rsidRPr="00E55511" w:rsidRDefault="00226B47" w:rsidP="00674522">
                      <w:pPr>
                        <w:spacing w:before="60"/>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15</w:t>
                      </w:r>
                      <w:r w:rsidRPr="005E46C2">
                        <w:rPr>
                          <w:rFonts w:ascii="Arial" w:hAnsi="Arial" w:cs="Arial"/>
                          <w:sz w:val="22"/>
                          <w:szCs w:val="22"/>
                          <w:highlight w:val="lightGray"/>
                        </w:rPr>
                        <w:t>:</w:t>
                      </w:r>
                      <w:r>
                        <w:rPr>
                          <w:rFonts w:ascii="Arial" w:hAnsi="Arial" w:cs="Arial"/>
                          <w:sz w:val="22"/>
                          <w:szCs w:val="22"/>
                        </w:rPr>
                        <w:t xml:space="preserve"> The OFSC, in consultation with stakeholders, </w:t>
                      </w:r>
                      <w:r w:rsidRPr="009406F8">
                        <w:rPr>
                          <w:rFonts w:ascii="Arial" w:hAnsi="Arial" w:cs="Arial"/>
                          <w:sz w:val="22"/>
                          <w:szCs w:val="22"/>
                        </w:rPr>
                        <w:t>develop</w:t>
                      </w:r>
                      <w:r>
                        <w:rPr>
                          <w:rFonts w:ascii="Arial" w:hAnsi="Arial" w:cs="Arial"/>
                          <w:sz w:val="22"/>
                          <w:szCs w:val="22"/>
                        </w:rPr>
                        <w:t>s</w:t>
                      </w:r>
                      <w:r w:rsidRPr="009406F8">
                        <w:rPr>
                          <w:rFonts w:ascii="Arial" w:hAnsi="Arial" w:cs="Arial"/>
                          <w:sz w:val="22"/>
                          <w:szCs w:val="22"/>
                        </w:rPr>
                        <w:t xml:space="preserve"> and publish</w:t>
                      </w:r>
                      <w:r>
                        <w:rPr>
                          <w:rFonts w:ascii="Arial" w:hAnsi="Arial" w:cs="Arial"/>
                          <w:sz w:val="22"/>
                          <w:szCs w:val="22"/>
                        </w:rPr>
                        <w:t>es</w:t>
                      </w:r>
                      <w:r w:rsidRPr="009406F8">
                        <w:rPr>
                          <w:rFonts w:ascii="Arial" w:hAnsi="Arial" w:cs="Arial"/>
                          <w:sz w:val="22"/>
                          <w:szCs w:val="22"/>
                        </w:rPr>
                        <w:t xml:space="preserve"> case studies that provide practical examples of </w:t>
                      </w:r>
                      <w:r>
                        <w:rPr>
                          <w:rFonts w:ascii="Arial" w:hAnsi="Arial" w:cs="Arial"/>
                          <w:sz w:val="22"/>
                          <w:szCs w:val="22"/>
                        </w:rPr>
                        <w:t xml:space="preserve">best practice </w:t>
                      </w:r>
                      <w:r w:rsidRPr="009406F8">
                        <w:rPr>
                          <w:rFonts w:ascii="Arial" w:hAnsi="Arial" w:cs="Arial"/>
                          <w:sz w:val="22"/>
                          <w:szCs w:val="22"/>
                        </w:rPr>
                        <w:t>initiatives to assist companies to self-educate for WHS improvements.</w:t>
                      </w:r>
                    </w:p>
                  </w:txbxContent>
                </v:textbox>
                <w10:anchorlock/>
              </v:shape>
            </w:pict>
          </mc:Fallback>
        </mc:AlternateContent>
      </w:r>
    </w:p>
    <w:p w:rsidR="00CE55DF" w:rsidRPr="008525D8" w:rsidRDefault="00CE55DF" w:rsidP="00FB1C4F"/>
    <w:p w:rsidR="00FB1C4F" w:rsidRPr="00FB1C4F" w:rsidRDefault="00FB1C4F" w:rsidP="00FB1C4F"/>
    <w:p w:rsidR="001A1425" w:rsidRPr="001A1425" w:rsidRDefault="00CE55DF" w:rsidP="003005B9">
      <w:pPr>
        <w:pStyle w:val="Heading2"/>
      </w:pPr>
      <w:bookmarkStart w:id="47" w:name="_Toc390429529"/>
      <w:r>
        <w:t xml:space="preserve">The OFSC and </w:t>
      </w:r>
      <w:r w:rsidR="001A1425" w:rsidRPr="001A1425">
        <w:t>F</w:t>
      </w:r>
      <w:r w:rsidR="00EC7EF2">
        <w:t xml:space="preserve">ederal </w:t>
      </w:r>
      <w:r w:rsidR="001A1425" w:rsidRPr="001A1425">
        <w:t>S</w:t>
      </w:r>
      <w:r w:rsidR="00EC7EF2">
        <w:t xml:space="preserve">afety </w:t>
      </w:r>
      <w:r w:rsidR="001A1425" w:rsidRPr="001A1425">
        <w:t>O</w:t>
      </w:r>
      <w:r w:rsidR="00EC7EF2">
        <w:t>fficer</w:t>
      </w:r>
      <w:r w:rsidR="004832D8">
        <w:t>s</w:t>
      </w:r>
      <w:bookmarkEnd w:id="47"/>
      <w:r>
        <w:t xml:space="preserve"> </w:t>
      </w:r>
    </w:p>
    <w:p w:rsidR="00CE55DF" w:rsidRDefault="00CE55DF" w:rsidP="00CE55DF">
      <w:pPr>
        <w:rPr>
          <w:rFonts w:ascii="Arial" w:hAnsi="Arial" w:cs="Arial"/>
          <w:sz w:val="22"/>
          <w:szCs w:val="22"/>
        </w:rPr>
      </w:pPr>
    </w:p>
    <w:p w:rsidR="00CE55DF" w:rsidRPr="0049188B" w:rsidRDefault="00CE55DF" w:rsidP="00CE55DF">
      <w:pPr>
        <w:rPr>
          <w:rFonts w:ascii="Arial" w:hAnsi="Arial" w:cs="Arial"/>
          <w:sz w:val="22"/>
          <w:szCs w:val="22"/>
        </w:rPr>
      </w:pPr>
      <w:r>
        <w:rPr>
          <w:rFonts w:ascii="Arial" w:hAnsi="Arial" w:cs="Arial"/>
          <w:sz w:val="22"/>
          <w:szCs w:val="22"/>
        </w:rPr>
        <w:t xml:space="preserve">The </w:t>
      </w:r>
      <w:r w:rsidR="00674522">
        <w:rPr>
          <w:rFonts w:ascii="Arial" w:hAnsi="Arial" w:cs="Arial"/>
          <w:sz w:val="22"/>
          <w:szCs w:val="22"/>
        </w:rPr>
        <w:t>D</w:t>
      </w:r>
      <w:r>
        <w:rPr>
          <w:rFonts w:ascii="Arial" w:hAnsi="Arial" w:cs="Arial"/>
          <w:sz w:val="22"/>
          <w:szCs w:val="22"/>
        </w:rPr>
        <w:t xml:space="preserve">iscussion </w:t>
      </w:r>
      <w:r w:rsidR="00674522">
        <w:rPr>
          <w:rFonts w:ascii="Arial" w:hAnsi="Arial" w:cs="Arial"/>
          <w:sz w:val="22"/>
          <w:szCs w:val="22"/>
        </w:rPr>
        <w:t>P</w:t>
      </w:r>
      <w:r>
        <w:rPr>
          <w:rFonts w:ascii="Arial" w:hAnsi="Arial" w:cs="Arial"/>
          <w:sz w:val="22"/>
          <w:szCs w:val="22"/>
        </w:rPr>
        <w:t>aper invited suggestions on ways in which the current process for engagement and management of F</w:t>
      </w:r>
      <w:r w:rsidR="00A1060A">
        <w:rPr>
          <w:rFonts w:ascii="Arial" w:hAnsi="Arial" w:cs="Arial"/>
          <w:sz w:val="22"/>
          <w:szCs w:val="22"/>
        </w:rPr>
        <w:t>S</w:t>
      </w:r>
      <w:r w:rsidR="00BC574E">
        <w:rPr>
          <w:rFonts w:ascii="Arial" w:hAnsi="Arial" w:cs="Arial"/>
          <w:sz w:val="22"/>
          <w:szCs w:val="22"/>
        </w:rPr>
        <w:t>Os</w:t>
      </w:r>
      <w:r w:rsidR="00A1060A">
        <w:rPr>
          <w:rFonts w:ascii="Arial" w:hAnsi="Arial" w:cs="Arial"/>
          <w:sz w:val="22"/>
          <w:szCs w:val="22"/>
        </w:rPr>
        <w:t xml:space="preserve"> </w:t>
      </w:r>
      <w:r>
        <w:rPr>
          <w:rFonts w:ascii="Arial" w:hAnsi="Arial" w:cs="Arial"/>
          <w:sz w:val="22"/>
          <w:szCs w:val="22"/>
        </w:rPr>
        <w:t>could be improved, and how the OFSC itself could improve performance</w:t>
      </w:r>
      <w:r w:rsidR="00305FEF">
        <w:rPr>
          <w:rFonts w:ascii="Arial" w:hAnsi="Arial" w:cs="Arial"/>
          <w:sz w:val="22"/>
          <w:szCs w:val="22"/>
        </w:rPr>
        <w:t>.</w:t>
      </w:r>
    </w:p>
    <w:p w:rsidR="001A1425" w:rsidRDefault="001A1425" w:rsidP="001A1425">
      <w:pPr>
        <w:rPr>
          <w:rFonts w:ascii="Arial" w:eastAsiaTheme="minorHAnsi" w:hAnsi="Arial" w:cs="Arial"/>
          <w:sz w:val="22"/>
          <w:szCs w:val="22"/>
        </w:rPr>
      </w:pPr>
    </w:p>
    <w:p w:rsidR="00305FEF" w:rsidRDefault="00305FEF" w:rsidP="00CE55DF">
      <w:pPr>
        <w:rPr>
          <w:rFonts w:ascii="Arial" w:hAnsi="Arial" w:cs="Arial"/>
          <w:sz w:val="22"/>
          <w:szCs w:val="22"/>
        </w:rPr>
      </w:pPr>
      <w:r>
        <w:rPr>
          <w:rFonts w:ascii="Arial" w:hAnsi="Arial" w:cs="Arial"/>
          <w:sz w:val="22"/>
          <w:szCs w:val="22"/>
        </w:rPr>
        <w:t xml:space="preserve">FSOs are external consultants engaged to the </w:t>
      </w:r>
      <w:r w:rsidR="00A1060A">
        <w:rPr>
          <w:rFonts w:ascii="Arial" w:hAnsi="Arial" w:cs="Arial"/>
          <w:sz w:val="22"/>
          <w:szCs w:val="22"/>
        </w:rPr>
        <w:t>OFSC</w:t>
      </w:r>
      <w:r>
        <w:rPr>
          <w:rFonts w:ascii="Arial" w:hAnsi="Arial" w:cs="Arial"/>
          <w:sz w:val="22"/>
          <w:szCs w:val="22"/>
        </w:rPr>
        <w:t xml:space="preserve"> through periodic open tender processes. They are the auditing and WHS professionals who are tasked with conducting all OFSC on</w:t>
      </w:r>
      <w:r w:rsidR="00FD2ED6">
        <w:rPr>
          <w:rFonts w:ascii="Arial" w:hAnsi="Arial" w:cs="Arial"/>
          <w:sz w:val="22"/>
          <w:szCs w:val="22"/>
        </w:rPr>
        <w:t>-</w:t>
      </w:r>
      <w:r>
        <w:rPr>
          <w:rFonts w:ascii="Arial" w:hAnsi="Arial" w:cs="Arial"/>
          <w:sz w:val="22"/>
          <w:szCs w:val="22"/>
        </w:rPr>
        <w:t xml:space="preserve">site audits, and are subject to an extensive performance management framework during </w:t>
      </w:r>
      <w:r w:rsidR="00A1060A">
        <w:rPr>
          <w:rFonts w:ascii="Arial" w:hAnsi="Arial" w:cs="Arial"/>
          <w:sz w:val="22"/>
          <w:szCs w:val="22"/>
        </w:rPr>
        <w:t>tender evaluation, engagement</w:t>
      </w:r>
      <w:r>
        <w:rPr>
          <w:rFonts w:ascii="Arial" w:hAnsi="Arial" w:cs="Arial"/>
          <w:sz w:val="22"/>
          <w:szCs w:val="22"/>
        </w:rPr>
        <w:t xml:space="preserve"> and initial induction, through to ongoing review (refer to </w:t>
      </w:r>
      <w:r w:rsidR="00A1060A">
        <w:rPr>
          <w:rFonts w:ascii="Arial" w:hAnsi="Arial" w:cs="Arial"/>
          <w:sz w:val="22"/>
          <w:szCs w:val="22"/>
        </w:rPr>
        <w:t>A</w:t>
      </w:r>
      <w:r>
        <w:rPr>
          <w:rFonts w:ascii="Arial" w:hAnsi="Arial" w:cs="Arial"/>
          <w:sz w:val="22"/>
          <w:szCs w:val="22"/>
        </w:rPr>
        <w:t>ppendix</w:t>
      </w:r>
      <w:r w:rsidR="00A854D0">
        <w:rPr>
          <w:rFonts w:ascii="Arial" w:hAnsi="Arial" w:cs="Arial"/>
          <w:sz w:val="22"/>
          <w:szCs w:val="22"/>
        </w:rPr>
        <w:t xml:space="preserve"> C </w:t>
      </w:r>
      <w:r>
        <w:rPr>
          <w:rFonts w:ascii="Arial" w:hAnsi="Arial" w:cs="Arial"/>
          <w:sz w:val="22"/>
          <w:szCs w:val="22"/>
        </w:rPr>
        <w:t>for information on the current framework).</w:t>
      </w:r>
    </w:p>
    <w:p w:rsidR="00305FEF" w:rsidRDefault="00305FEF" w:rsidP="00CE55DF">
      <w:pPr>
        <w:rPr>
          <w:rFonts w:ascii="Arial" w:hAnsi="Arial" w:cs="Arial"/>
          <w:sz w:val="22"/>
          <w:szCs w:val="22"/>
        </w:rPr>
      </w:pPr>
    </w:p>
    <w:p w:rsidR="00CE55DF" w:rsidRPr="0049188B" w:rsidRDefault="00CE55DF" w:rsidP="00CE55DF">
      <w:pPr>
        <w:rPr>
          <w:rFonts w:ascii="Arial" w:hAnsi="Arial" w:cs="Arial"/>
          <w:sz w:val="22"/>
          <w:szCs w:val="22"/>
        </w:rPr>
      </w:pPr>
      <w:r w:rsidRPr="0049188B">
        <w:rPr>
          <w:rFonts w:ascii="Arial" w:hAnsi="Arial" w:cs="Arial"/>
          <w:sz w:val="22"/>
          <w:szCs w:val="22"/>
        </w:rPr>
        <w:t xml:space="preserve">The OFSC </w:t>
      </w:r>
      <w:r w:rsidR="00264515">
        <w:rPr>
          <w:rFonts w:ascii="Arial" w:hAnsi="Arial" w:cs="Arial"/>
          <w:sz w:val="22"/>
          <w:szCs w:val="22"/>
        </w:rPr>
        <w:t xml:space="preserve">also </w:t>
      </w:r>
      <w:r w:rsidRPr="0049188B">
        <w:rPr>
          <w:rFonts w:ascii="Arial" w:hAnsi="Arial" w:cs="Arial"/>
          <w:sz w:val="22"/>
          <w:szCs w:val="22"/>
        </w:rPr>
        <w:t xml:space="preserve">has a range of internal key performance indicators (KPIs) that focus on achieving accreditation for companies in as timely a manner as possible. For example, FSOs are required to submit their audit reports </w:t>
      </w:r>
      <w:r w:rsidR="00D15D83">
        <w:rPr>
          <w:rFonts w:ascii="Arial" w:hAnsi="Arial" w:cs="Arial"/>
          <w:sz w:val="22"/>
          <w:szCs w:val="22"/>
        </w:rPr>
        <w:t xml:space="preserve">to the OFSC </w:t>
      </w:r>
      <w:r w:rsidRPr="0049188B">
        <w:rPr>
          <w:rFonts w:ascii="Arial" w:hAnsi="Arial" w:cs="Arial"/>
          <w:sz w:val="22"/>
          <w:szCs w:val="22"/>
        </w:rPr>
        <w:t xml:space="preserve">within </w:t>
      </w:r>
      <w:r w:rsidR="00FD2ED6">
        <w:rPr>
          <w:rFonts w:ascii="Arial" w:hAnsi="Arial" w:cs="Arial"/>
          <w:sz w:val="22"/>
          <w:szCs w:val="22"/>
        </w:rPr>
        <w:t>five</w:t>
      </w:r>
      <w:r w:rsidRPr="0049188B">
        <w:rPr>
          <w:rFonts w:ascii="Arial" w:hAnsi="Arial" w:cs="Arial"/>
          <w:sz w:val="22"/>
          <w:szCs w:val="22"/>
        </w:rPr>
        <w:t xml:space="preserve"> working days and the OFSC benchmark is then to issue the report to the company within another </w:t>
      </w:r>
      <w:r w:rsidR="00FD2ED6">
        <w:rPr>
          <w:rFonts w:ascii="Arial" w:hAnsi="Arial" w:cs="Arial"/>
          <w:sz w:val="22"/>
          <w:szCs w:val="22"/>
        </w:rPr>
        <w:t>five</w:t>
      </w:r>
      <w:r w:rsidRPr="0049188B">
        <w:rPr>
          <w:rFonts w:ascii="Arial" w:hAnsi="Arial" w:cs="Arial"/>
          <w:sz w:val="22"/>
          <w:szCs w:val="22"/>
        </w:rPr>
        <w:t xml:space="preserve"> working days. </w:t>
      </w:r>
    </w:p>
    <w:p w:rsidR="00CE55DF" w:rsidRPr="001A1425" w:rsidRDefault="00CE55DF" w:rsidP="001A1425">
      <w:pPr>
        <w:rPr>
          <w:rFonts w:ascii="Arial" w:eastAsiaTheme="minorHAnsi" w:hAnsi="Arial" w:cs="Arial"/>
          <w:sz w:val="22"/>
          <w:szCs w:val="22"/>
        </w:rPr>
      </w:pPr>
    </w:p>
    <w:p w:rsidR="0034205D" w:rsidRDefault="0034205D">
      <w:pPr>
        <w:rPr>
          <w:rFonts w:ascii="Arial" w:hAnsi="Arial" w:cs="Arial"/>
          <w:sz w:val="22"/>
          <w:szCs w:val="22"/>
        </w:rPr>
      </w:pPr>
      <w:r>
        <w:rPr>
          <w:rFonts w:ascii="Arial" w:hAnsi="Arial" w:cs="Arial"/>
          <w:sz w:val="22"/>
          <w:szCs w:val="22"/>
        </w:rPr>
        <w:br w:type="page"/>
      </w:r>
    </w:p>
    <w:p w:rsidR="00DF184E" w:rsidRPr="00DF184E" w:rsidRDefault="00305FEF" w:rsidP="00DF184E">
      <w:pPr>
        <w:rPr>
          <w:rFonts w:ascii="Arial" w:hAnsi="Arial" w:cs="Arial"/>
          <w:sz w:val="22"/>
          <w:szCs w:val="22"/>
        </w:rPr>
      </w:pPr>
      <w:r w:rsidRPr="00F37B17">
        <w:rPr>
          <w:rFonts w:ascii="Arial" w:hAnsi="Arial" w:cs="Arial"/>
          <w:sz w:val="22"/>
          <w:szCs w:val="22"/>
        </w:rPr>
        <w:t xml:space="preserve">Stakeholders have </w:t>
      </w:r>
      <w:r>
        <w:rPr>
          <w:rFonts w:ascii="Arial" w:hAnsi="Arial" w:cs="Arial"/>
          <w:sz w:val="22"/>
          <w:szCs w:val="22"/>
        </w:rPr>
        <w:t xml:space="preserve">frequently </w:t>
      </w:r>
      <w:r w:rsidRPr="00F37B17">
        <w:rPr>
          <w:rFonts w:ascii="Arial" w:hAnsi="Arial" w:cs="Arial"/>
          <w:sz w:val="22"/>
          <w:szCs w:val="22"/>
        </w:rPr>
        <w:t xml:space="preserve">expressed concern about the consistency of the application of the audit criteria requirements and the approach to audits. </w:t>
      </w:r>
      <w:r>
        <w:rPr>
          <w:rFonts w:ascii="Arial" w:hAnsi="Arial" w:cs="Arial"/>
          <w:sz w:val="22"/>
          <w:szCs w:val="22"/>
        </w:rPr>
        <w:t>Through the submissions, a common suggestion was made as to how to address these issues. Th</w:t>
      </w:r>
      <w:r w:rsidR="000D5520" w:rsidRPr="00DF184E">
        <w:rPr>
          <w:rFonts w:ascii="Arial" w:hAnsi="Arial" w:cs="Arial"/>
          <w:sz w:val="22"/>
          <w:szCs w:val="22"/>
        </w:rPr>
        <w:t>ere was alm</w:t>
      </w:r>
      <w:r w:rsidR="00FE7DC1">
        <w:rPr>
          <w:rFonts w:ascii="Arial" w:hAnsi="Arial" w:cs="Arial"/>
          <w:sz w:val="22"/>
          <w:szCs w:val="22"/>
        </w:rPr>
        <w:t>ost unanimous support for some sort of independent</w:t>
      </w:r>
      <w:r w:rsidR="00EC7EF2">
        <w:rPr>
          <w:rFonts w:ascii="Arial" w:hAnsi="Arial" w:cs="Arial"/>
          <w:sz w:val="22"/>
          <w:szCs w:val="22"/>
        </w:rPr>
        <w:t xml:space="preserve"> or </w:t>
      </w:r>
      <w:r w:rsidR="00FE7DC1">
        <w:rPr>
          <w:rFonts w:ascii="Arial" w:hAnsi="Arial" w:cs="Arial"/>
          <w:sz w:val="22"/>
          <w:szCs w:val="22"/>
        </w:rPr>
        <w:t>anonymous mec</w:t>
      </w:r>
      <w:r w:rsidR="000D5520" w:rsidRPr="00DF184E">
        <w:rPr>
          <w:rFonts w:ascii="Arial" w:hAnsi="Arial" w:cs="Arial"/>
          <w:sz w:val="22"/>
          <w:szCs w:val="22"/>
        </w:rPr>
        <w:t xml:space="preserve">hanism for feedback to the OFSC </w:t>
      </w:r>
      <w:r w:rsidR="0033645B">
        <w:rPr>
          <w:rFonts w:ascii="Arial" w:hAnsi="Arial" w:cs="Arial"/>
          <w:sz w:val="22"/>
          <w:szCs w:val="22"/>
        </w:rPr>
        <w:t xml:space="preserve">on </w:t>
      </w:r>
      <w:r w:rsidR="00FE7DC1">
        <w:rPr>
          <w:rFonts w:ascii="Arial" w:hAnsi="Arial" w:cs="Arial"/>
          <w:sz w:val="22"/>
          <w:szCs w:val="22"/>
        </w:rPr>
        <w:t xml:space="preserve">inconsistent </w:t>
      </w:r>
      <w:r w:rsidR="000D5520" w:rsidRPr="00DF184E">
        <w:rPr>
          <w:rFonts w:ascii="Arial" w:hAnsi="Arial" w:cs="Arial"/>
          <w:sz w:val="22"/>
          <w:szCs w:val="22"/>
        </w:rPr>
        <w:t>interpretation of criteria</w:t>
      </w:r>
      <w:r w:rsidR="0033645B">
        <w:rPr>
          <w:rFonts w:ascii="Arial" w:hAnsi="Arial" w:cs="Arial"/>
          <w:sz w:val="22"/>
          <w:szCs w:val="22"/>
        </w:rPr>
        <w:t xml:space="preserve"> by FSOs</w:t>
      </w:r>
      <w:r>
        <w:rPr>
          <w:rFonts w:ascii="Arial" w:hAnsi="Arial" w:cs="Arial"/>
          <w:sz w:val="22"/>
          <w:szCs w:val="22"/>
        </w:rPr>
        <w:t xml:space="preserve">, or </w:t>
      </w:r>
      <w:r w:rsidR="00876534">
        <w:rPr>
          <w:rFonts w:ascii="Arial" w:hAnsi="Arial" w:cs="Arial"/>
          <w:sz w:val="22"/>
          <w:szCs w:val="22"/>
        </w:rPr>
        <w:t>on</w:t>
      </w:r>
      <w:r>
        <w:rPr>
          <w:rFonts w:ascii="Arial" w:hAnsi="Arial" w:cs="Arial"/>
          <w:sz w:val="22"/>
          <w:szCs w:val="22"/>
        </w:rPr>
        <w:t xml:space="preserve"> FSO</w:t>
      </w:r>
      <w:r w:rsidR="00876534">
        <w:rPr>
          <w:rFonts w:ascii="Arial" w:hAnsi="Arial" w:cs="Arial"/>
          <w:sz w:val="22"/>
          <w:szCs w:val="22"/>
        </w:rPr>
        <w:t>s’</w:t>
      </w:r>
      <w:r>
        <w:rPr>
          <w:rFonts w:ascii="Arial" w:hAnsi="Arial" w:cs="Arial"/>
          <w:sz w:val="22"/>
          <w:szCs w:val="22"/>
        </w:rPr>
        <w:t xml:space="preserve"> behaviour</w:t>
      </w:r>
      <w:r w:rsidR="000D5520" w:rsidRPr="00DF184E">
        <w:rPr>
          <w:rFonts w:ascii="Arial" w:hAnsi="Arial" w:cs="Arial"/>
          <w:sz w:val="22"/>
          <w:szCs w:val="22"/>
        </w:rPr>
        <w:t xml:space="preserve">. </w:t>
      </w:r>
      <w:r w:rsidR="00DF184E" w:rsidRPr="00DF184E">
        <w:rPr>
          <w:rFonts w:ascii="Arial" w:hAnsi="Arial" w:cs="Arial"/>
          <w:sz w:val="22"/>
          <w:szCs w:val="22"/>
        </w:rPr>
        <w:t>In contrast</w:t>
      </w:r>
      <w:r w:rsidR="00FE7DC1">
        <w:rPr>
          <w:rFonts w:ascii="Arial" w:hAnsi="Arial" w:cs="Arial"/>
          <w:sz w:val="22"/>
          <w:szCs w:val="22"/>
        </w:rPr>
        <w:t xml:space="preserve"> to the submissions</w:t>
      </w:r>
      <w:r w:rsidR="00DF184E" w:rsidRPr="00DF184E">
        <w:rPr>
          <w:rFonts w:ascii="Arial" w:hAnsi="Arial" w:cs="Arial"/>
          <w:sz w:val="22"/>
          <w:szCs w:val="22"/>
        </w:rPr>
        <w:t xml:space="preserve">, less than </w:t>
      </w:r>
      <w:r w:rsidR="00FD2ED6">
        <w:rPr>
          <w:rFonts w:ascii="Arial" w:hAnsi="Arial" w:cs="Arial"/>
          <w:sz w:val="22"/>
          <w:szCs w:val="22"/>
        </w:rPr>
        <w:t>five</w:t>
      </w:r>
      <w:r w:rsidR="00DF184E" w:rsidRPr="00DF184E">
        <w:rPr>
          <w:rFonts w:ascii="Arial" w:hAnsi="Arial" w:cs="Arial"/>
          <w:sz w:val="22"/>
          <w:szCs w:val="22"/>
        </w:rPr>
        <w:t xml:space="preserve"> per cent of accredited companies </w:t>
      </w:r>
      <w:r w:rsidR="00E23F52">
        <w:rPr>
          <w:rFonts w:ascii="Arial" w:hAnsi="Arial" w:cs="Arial"/>
          <w:sz w:val="22"/>
          <w:szCs w:val="22"/>
        </w:rPr>
        <w:t>that</w:t>
      </w:r>
      <w:r w:rsidR="00DF184E" w:rsidRPr="00DF184E">
        <w:rPr>
          <w:rFonts w:ascii="Arial" w:hAnsi="Arial" w:cs="Arial"/>
          <w:sz w:val="22"/>
          <w:szCs w:val="22"/>
        </w:rPr>
        <w:t xml:space="preserve"> completed the Survey raised concerns about the conduct and professionalism of FSOs. </w:t>
      </w:r>
    </w:p>
    <w:p w:rsidR="00DF184E" w:rsidRDefault="00DF184E" w:rsidP="001A1425">
      <w:pPr>
        <w:rPr>
          <w:rFonts w:ascii="Arial" w:hAnsi="Arial" w:cs="Arial"/>
          <w:sz w:val="22"/>
          <w:szCs w:val="22"/>
        </w:rPr>
      </w:pPr>
    </w:p>
    <w:p w:rsidR="008933AD" w:rsidRDefault="008933AD" w:rsidP="008933AD">
      <w:pPr>
        <w:rPr>
          <w:rFonts w:ascii="Arial" w:hAnsi="Arial" w:cs="Arial"/>
          <w:sz w:val="22"/>
          <w:szCs w:val="22"/>
        </w:rPr>
      </w:pPr>
      <w:r>
        <w:rPr>
          <w:rFonts w:ascii="Arial" w:hAnsi="Arial" w:cs="Arial"/>
          <w:sz w:val="22"/>
          <w:szCs w:val="22"/>
        </w:rPr>
        <w:t>There were also s</w:t>
      </w:r>
      <w:r w:rsidRPr="00DF184E">
        <w:rPr>
          <w:rFonts w:ascii="Arial" w:hAnsi="Arial" w:cs="Arial"/>
          <w:sz w:val="22"/>
          <w:szCs w:val="22"/>
        </w:rPr>
        <w:t xml:space="preserve">uggestions to improve </w:t>
      </w:r>
      <w:r>
        <w:rPr>
          <w:rFonts w:ascii="Arial" w:hAnsi="Arial" w:cs="Arial"/>
          <w:sz w:val="22"/>
          <w:szCs w:val="22"/>
        </w:rPr>
        <w:t xml:space="preserve">FSO </w:t>
      </w:r>
      <w:r w:rsidRPr="00DF184E">
        <w:rPr>
          <w:rFonts w:ascii="Arial" w:hAnsi="Arial" w:cs="Arial"/>
          <w:sz w:val="22"/>
          <w:szCs w:val="22"/>
        </w:rPr>
        <w:t xml:space="preserve">consistency </w:t>
      </w:r>
      <w:r>
        <w:rPr>
          <w:rFonts w:ascii="Arial" w:hAnsi="Arial" w:cs="Arial"/>
          <w:sz w:val="22"/>
          <w:szCs w:val="22"/>
        </w:rPr>
        <w:t xml:space="preserve">which </w:t>
      </w:r>
      <w:r w:rsidRPr="00DF184E">
        <w:rPr>
          <w:rFonts w:ascii="Arial" w:hAnsi="Arial" w:cs="Arial"/>
          <w:sz w:val="22"/>
          <w:szCs w:val="22"/>
        </w:rPr>
        <w:t>included more training for FSOs, clearer and more objective criteria, forums</w:t>
      </w:r>
      <w:r w:rsidR="00314754">
        <w:rPr>
          <w:rFonts w:ascii="Arial" w:hAnsi="Arial" w:cs="Arial"/>
          <w:sz w:val="22"/>
          <w:szCs w:val="22"/>
        </w:rPr>
        <w:t>,</w:t>
      </w:r>
      <w:r w:rsidRPr="00DF184E">
        <w:rPr>
          <w:rFonts w:ascii="Arial" w:hAnsi="Arial" w:cs="Arial"/>
          <w:sz w:val="22"/>
          <w:szCs w:val="22"/>
        </w:rPr>
        <w:t xml:space="preserve"> and professional development opportunities for FSOs. MBA called for FSOs to disseminate best practice examples and ACA recommended </w:t>
      </w:r>
      <w:r w:rsidR="00FD2ED6">
        <w:rPr>
          <w:rFonts w:ascii="Arial" w:hAnsi="Arial" w:cs="Arial"/>
          <w:sz w:val="22"/>
          <w:szCs w:val="22"/>
        </w:rPr>
        <w:t xml:space="preserve">the </w:t>
      </w:r>
      <w:r w:rsidRPr="00DF184E">
        <w:rPr>
          <w:rFonts w:ascii="Arial" w:hAnsi="Arial" w:cs="Arial"/>
          <w:sz w:val="22"/>
          <w:szCs w:val="22"/>
        </w:rPr>
        <w:t>establishment of KPIs for FSOs.</w:t>
      </w:r>
    </w:p>
    <w:p w:rsidR="008933AD" w:rsidRDefault="008933AD" w:rsidP="001A1425">
      <w:pPr>
        <w:rPr>
          <w:rFonts w:ascii="Arial" w:hAnsi="Arial" w:cs="Arial"/>
          <w:sz w:val="22"/>
          <w:szCs w:val="22"/>
        </w:rPr>
      </w:pPr>
    </w:p>
    <w:p w:rsidR="00FE7DC1" w:rsidRDefault="00DF184E" w:rsidP="001A1425">
      <w:pPr>
        <w:rPr>
          <w:rFonts w:ascii="Arial" w:hAnsi="Arial" w:cs="Arial"/>
          <w:sz w:val="22"/>
          <w:szCs w:val="22"/>
        </w:rPr>
      </w:pPr>
      <w:r>
        <w:rPr>
          <w:rFonts w:ascii="Arial" w:hAnsi="Arial" w:cs="Arial"/>
          <w:sz w:val="22"/>
          <w:szCs w:val="22"/>
        </w:rPr>
        <w:t xml:space="preserve">The call for </w:t>
      </w:r>
      <w:r w:rsidR="008933AD">
        <w:rPr>
          <w:rFonts w:ascii="Arial" w:hAnsi="Arial" w:cs="Arial"/>
          <w:sz w:val="22"/>
          <w:szCs w:val="22"/>
        </w:rPr>
        <w:t>a</w:t>
      </w:r>
      <w:r w:rsidR="00314754">
        <w:rPr>
          <w:rFonts w:ascii="Arial" w:hAnsi="Arial" w:cs="Arial"/>
          <w:sz w:val="22"/>
          <w:szCs w:val="22"/>
        </w:rPr>
        <w:t>n</w:t>
      </w:r>
      <w:r w:rsidR="008933AD">
        <w:rPr>
          <w:rFonts w:ascii="Arial" w:hAnsi="Arial" w:cs="Arial"/>
          <w:sz w:val="22"/>
          <w:szCs w:val="22"/>
        </w:rPr>
        <w:t xml:space="preserve"> </w:t>
      </w:r>
      <w:r w:rsidR="00314754">
        <w:rPr>
          <w:rFonts w:ascii="Arial" w:hAnsi="Arial" w:cs="Arial"/>
          <w:sz w:val="22"/>
          <w:szCs w:val="22"/>
        </w:rPr>
        <w:t xml:space="preserve">independent </w:t>
      </w:r>
      <w:r w:rsidR="008933AD">
        <w:rPr>
          <w:rFonts w:ascii="Arial" w:hAnsi="Arial" w:cs="Arial"/>
          <w:sz w:val="22"/>
          <w:szCs w:val="22"/>
        </w:rPr>
        <w:t xml:space="preserve">mechanism </w:t>
      </w:r>
      <w:r w:rsidR="00314754">
        <w:rPr>
          <w:rFonts w:ascii="Arial" w:hAnsi="Arial" w:cs="Arial"/>
          <w:sz w:val="22"/>
          <w:szCs w:val="22"/>
        </w:rPr>
        <w:t xml:space="preserve">for </w:t>
      </w:r>
      <w:r>
        <w:rPr>
          <w:rFonts w:ascii="Arial" w:hAnsi="Arial" w:cs="Arial"/>
          <w:sz w:val="22"/>
          <w:szCs w:val="22"/>
        </w:rPr>
        <w:t>anonymous feedback support</w:t>
      </w:r>
      <w:r w:rsidR="0060316E">
        <w:rPr>
          <w:rFonts w:ascii="Arial" w:hAnsi="Arial" w:cs="Arial"/>
          <w:sz w:val="22"/>
          <w:szCs w:val="22"/>
        </w:rPr>
        <w:t>s</w:t>
      </w:r>
      <w:r>
        <w:rPr>
          <w:rFonts w:ascii="Arial" w:hAnsi="Arial" w:cs="Arial"/>
          <w:sz w:val="22"/>
          <w:szCs w:val="22"/>
        </w:rPr>
        <w:t xml:space="preserve"> the view held by many stakeholders and the OFSC that companies are reluctant to provide negative feedback </w:t>
      </w:r>
      <w:r w:rsidR="00FE7DC1">
        <w:rPr>
          <w:rFonts w:ascii="Arial" w:hAnsi="Arial" w:cs="Arial"/>
          <w:sz w:val="22"/>
          <w:szCs w:val="22"/>
        </w:rPr>
        <w:t>on their experience with the application and audit process. For example, t</w:t>
      </w:r>
      <w:r w:rsidR="00FE7DC1" w:rsidRPr="00DF184E">
        <w:rPr>
          <w:rFonts w:ascii="Arial" w:hAnsi="Arial" w:cs="Arial"/>
          <w:sz w:val="22"/>
          <w:szCs w:val="22"/>
        </w:rPr>
        <w:t>he return rate for the evaluation form sent to companies at the conclusion of each audit is low with approximately 15</w:t>
      </w:r>
      <w:r w:rsidR="00FE7DC1">
        <w:rPr>
          <w:rFonts w:ascii="Arial" w:hAnsi="Arial" w:cs="Arial"/>
          <w:sz w:val="22"/>
          <w:szCs w:val="22"/>
        </w:rPr>
        <w:t> </w:t>
      </w:r>
      <w:r w:rsidR="00FE7DC1" w:rsidRPr="00DF184E">
        <w:rPr>
          <w:rFonts w:ascii="Arial" w:hAnsi="Arial" w:cs="Arial"/>
          <w:sz w:val="22"/>
          <w:szCs w:val="22"/>
        </w:rPr>
        <w:t xml:space="preserve">per cent of forms returned. Most of the </w:t>
      </w:r>
      <w:r w:rsidR="00314754">
        <w:rPr>
          <w:rFonts w:ascii="Arial" w:hAnsi="Arial" w:cs="Arial"/>
          <w:sz w:val="22"/>
          <w:szCs w:val="22"/>
        </w:rPr>
        <w:t xml:space="preserve">feedback is </w:t>
      </w:r>
      <w:r w:rsidR="00FE7DC1" w:rsidRPr="00DF184E">
        <w:rPr>
          <w:rFonts w:ascii="Arial" w:hAnsi="Arial" w:cs="Arial"/>
          <w:sz w:val="22"/>
          <w:szCs w:val="22"/>
        </w:rPr>
        <w:t xml:space="preserve">positive. The low response rate and the </w:t>
      </w:r>
      <w:r w:rsidR="00314754">
        <w:rPr>
          <w:rFonts w:ascii="Arial" w:hAnsi="Arial" w:cs="Arial"/>
          <w:sz w:val="22"/>
          <w:szCs w:val="22"/>
        </w:rPr>
        <w:t xml:space="preserve">mostly </w:t>
      </w:r>
      <w:r w:rsidR="00FE7DC1" w:rsidRPr="00DF184E">
        <w:rPr>
          <w:rFonts w:ascii="Arial" w:hAnsi="Arial" w:cs="Arial"/>
          <w:sz w:val="22"/>
          <w:szCs w:val="22"/>
        </w:rPr>
        <w:t>positive comments are potential indicator</w:t>
      </w:r>
      <w:r w:rsidR="00264515">
        <w:rPr>
          <w:rFonts w:ascii="Arial" w:hAnsi="Arial" w:cs="Arial"/>
          <w:sz w:val="22"/>
          <w:szCs w:val="22"/>
        </w:rPr>
        <w:t>s</w:t>
      </w:r>
      <w:r w:rsidR="00FE7DC1" w:rsidRPr="00DF184E">
        <w:rPr>
          <w:rFonts w:ascii="Arial" w:hAnsi="Arial" w:cs="Arial"/>
          <w:sz w:val="22"/>
          <w:szCs w:val="22"/>
        </w:rPr>
        <w:t xml:space="preserve"> that companies </w:t>
      </w:r>
      <w:r w:rsidR="00314754">
        <w:rPr>
          <w:rFonts w:ascii="Arial" w:hAnsi="Arial" w:cs="Arial"/>
          <w:sz w:val="22"/>
          <w:szCs w:val="22"/>
        </w:rPr>
        <w:t>may</w:t>
      </w:r>
      <w:r w:rsidR="008C397E">
        <w:rPr>
          <w:rFonts w:ascii="Arial" w:hAnsi="Arial" w:cs="Arial"/>
          <w:sz w:val="22"/>
          <w:szCs w:val="22"/>
        </w:rPr>
        <w:t xml:space="preserve"> </w:t>
      </w:r>
      <w:r w:rsidR="00FE7DC1" w:rsidRPr="00DF184E">
        <w:rPr>
          <w:rFonts w:ascii="Arial" w:hAnsi="Arial" w:cs="Arial"/>
          <w:sz w:val="22"/>
          <w:szCs w:val="22"/>
        </w:rPr>
        <w:t>n</w:t>
      </w:r>
      <w:r w:rsidR="008C397E">
        <w:rPr>
          <w:rFonts w:ascii="Arial" w:hAnsi="Arial" w:cs="Arial"/>
          <w:sz w:val="22"/>
          <w:szCs w:val="22"/>
        </w:rPr>
        <w:t>o</w:t>
      </w:r>
      <w:r w:rsidR="00FE7DC1" w:rsidRPr="00DF184E">
        <w:rPr>
          <w:rFonts w:ascii="Arial" w:hAnsi="Arial" w:cs="Arial"/>
          <w:sz w:val="22"/>
          <w:szCs w:val="22"/>
        </w:rPr>
        <w:t xml:space="preserve">t feel free to provide negative comment on the audit process, including in relation to the </w:t>
      </w:r>
      <w:r w:rsidR="008C397E">
        <w:rPr>
          <w:rFonts w:ascii="Arial" w:hAnsi="Arial" w:cs="Arial"/>
          <w:sz w:val="22"/>
          <w:szCs w:val="22"/>
        </w:rPr>
        <w:t xml:space="preserve">particular </w:t>
      </w:r>
      <w:r w:rsidR="00FE7DC1" w:rsidRPr="00DF184E">
        <w:rPr>
          <w:rFonts w:ascii="Arial" w:hAnsi="Arial" w:cs="Arial"/>
          <w:sz w:val="22"/>
          <w:szCs w:val="22"/>
        </w:rPr>
        <w:t xml:space="preserve">FSO conducting the audit. </w:t>
      </w:r>
    </w:p>
    <w:p w:rsidR="00FE7DC1" w:rsidRDefault="00FE7DC1" w:rsidP="001A1425">
      <w:pPr>
        <w:rPr>
          <w:rFonts w:ascii="Arial" w:hAnsi="Arial" w:cs="Arial"/>
          <w:sz w:val="22"/>
          <w:szCs w:val="22"/>
        </w:rPr>
      </w:pPr>
    </w:p>
    <w:p w:rsidR="00B97731" w:rsidRDefault="00FE7DC1" w:rsidP="008933AD">
      <w:pPr>
        <w:rPr>
          <w:rFonts w:ascii="Arial" w:hAnsi="Arial" w:cs="Arial"/>
          <w:sz w:val="22"/>
          <w:szCs w:val="22"/>
        </w:rPr>
      </w:pPr>
      <w:r>
        <w:rPr>
          <w:rFonts w:ascii="Arial" w:hAnsi="Arial" w:cs="Arial"/>
          <w:sz w:val="22"/>
          <w:szCs w:val="22"/>
        </w:rPr>
        <w:t xml:space="preserve">An alternative mechanism for feedback to the OFSC </w:t>
      </w:r>
      <w:r w:rsidR="00291B16">
        <w:rPr>
          <w:rFonts w:ascii="Arial" w:hAnsi="Arial" w:cs="Arial"/>
          <w:sz w:val="22"/>
          <w:szCs w:val="22"/>
        </w:rPr>
        <w:t>could</w:t>
      </w:r>
      <w:r>
        <w:rPr>
          <w:rFonts w:ascii="Arial" w:hAnsi="Arial" w:cs="Arial"/>
          <w:sz w:val="22"/>
          <w:szCs w:val="22"/>
        </w:rPr>
        <w:t xml:space="preserve"> involve industry associations</w:t>
      </w:r>
      <w:r w:rsidR="00291B16">
        <w:rPr>
          <w:rFonts w:ascii="Arial" w:hAnsi="Arial" w:cs="Arial"/>
          <w:sz w:val="22"/>
          <w:szCs w:val="22"/>
        </w:rPr>
        <w:t>,</w:t>
      </w:r>
      <w:r>
        <w:rPr>
          <w:rFonts w:ascii="Arial" w:hAnsi="Arial" w:cs="Arial"/>
          <w:sz w:val="22"/>
          <w:szCs w:val="22"/>
        </w:rPr>
        <w:t xml:space="preserve"> which would be able to effectively bring specific issues of concern to the attention of the OFSC</w:t>
      </w:r>
      <w:r w:rsidR="008933AD">
        <w:rPr>
          <w:rFonts w:ascii="Arial" w:hAnsi="Arial" w:cs="Arial"/>
          <w:sz w:val="22"/>
          <w:szCs w:val="22"/>
        </w:rPr>
        <w:t xml:space="preserve"> </w:t>
      </w:r>
      <w:r>
        <w:rPr>
          <w:rFonts w:ascii="Arial" w:hAnsi="Arial" w:cs="Arial"/>
          <w:sz w:val="22"/>
          <w:szCs w:val="22"/>
        </w:rPr>
        <w:t>on behalf of a company who may not feel comfortable rai</w:t>
      </w:r>
      <w:r w:rsidR="008933AD">
        <w:rPr>
          <w:rFonts w:ascii="Arial" w:hAnsi="Arial" w:cs="Arial"/>
          <w:sz w:val="22"/>
          <w:szCs w:val="22"/>
        </w:rPr>
        <w:t>s</w:t>
      </w:r>
      <w:r>
        <w:rPr>
          <w:rFonts w:ascii="Arial" w:hAnsi="Arial" w:cs="Arial"/>
          <w:sz w:val="22"/>
          <w:szCs w:val="22"/>
        </w:rPr>
        <w:t xml:space="preserve">ing their concerns directly with the OFSC. </w:t>
      </w:r>
      <w:r w:rsidR="008933AD">
        <w:rPr>
          <w:rFonts w:ascii="Arial" w:hAnsi="Arial" w:cs="Arial"/>
          <w:sz w:val="22"/>
          <w:szCs w:val="22"/>
        </w:rPr>
        <w:t xml:space="preserve">The OFSC should also consider ways in which it can correct the perception that negative feedback will in some way impact on a company’s efforts to achieve and maintain accreditation. </w:t>
      </w:r>
    </w:p>
    <w:p w:rsidR="00305FEF" w:rsidRDefault="00305FEF" w:rsidP="008933AD">
      <w:pPr>
        <w:rPr>
          <w:rFonts w:ascii="Arial" w:hAnsi="Arial" w:cs="Arial"/>
          <w:sz w:val="22"/>
          <w:szCs w:val="22"/>
        </w:rPr>
      </w:pPr>
    </w:p>
    <w:p w:rsidR="00305FEF" w:rsidRPr="00A325B1" w:rsidRDefault="00305FEF" w:rsidP="008933AD">
      <w:pPr>
        <w:rPr>
          <w:rFonts w:ascii="Arial" w:hAnsi="Arial" w:cs="Arial"/>
          <w:sz w:val="22"/>
          <w:szCs w:val="22"/>
        </w:rPr>
      </w:pPr>
      <w:r>
        <w:rPr>
          <w:rFonts w:ascii="Arial" w:hAnsi="Arial" w:cs="Arial"/>
          <w:sz w:val="22"/>
          <w:szCs w:val="22"/>
        </w:rPr>
        <w:t>In a similar fashion, the OFSC can consider ways to make programme KPIs more transparent, including reporting against them periodically.</w:t>
      </w:r>
      <w:r w:rsidR="00D15D83">
        <w:rPr>
          <w:rFonts w:ascii="Arial" w:hAnsi="Arial" w:cs="Arial"/>
          <w:sz w:val="22"/>
          <w:szCs w:val="22"/>
        </w:rPr>
        <w:t xml:space="preserve"> This can be achieved in part by means of an annual survey of accredited companies as recommended below.</w:t>
      </w:r>
    </w:p>
    <w:p w:rsidR="0046239E" w:rsidRDefault="0046239E" w:rsidP="001A1425">
      <w:pPr>
        <w:rPr>
          <w:rFonts w:ascii="Arial" w:hAnsi="Arial" w:cs="Arial"/>
          <w:b/>
          <w:sz w:val="22"/>
          <w:szCs w:val="22"/>
        </w:rPr>
      </w:pPr>
    </w:p>
    <w:p w:rsidR="001A1425" w:rsidRPr="0033645B" w:rsidRDefault="0033645B" w:rsidP="00F32CB5">
      <w:pPr>
        <w:pStyle w:val="Heading2"/>
      </w:pPr>
      <w:bookmarkStart w:id="48" w:name="_Toc390429530"/>
      <w:r w:rsidRPr="0033645B">
        <w:t>Conflict of Interest</w:t>
      </w:r>
      <w:bookmarkEnd w:id="48"/>
    </w:p>
    <w:p w:rsidR="0033645B" w:rsidRDefault="0033645B" w:rsidP="001A1425">
      <w:pPr>
        <w:rPr>
          <w:rFonts w:ascii="Arial" w:hAnsi="Arial" w:cs="Arial"/>
          <w:sz w:val="22"/>
          <w:szCs w:val="22"/>
        </w:rPr>
      </w:pPr>
    </w:p>
    <w:p w:rsidR="00986C14" w:rsidRDefault="00A325B1" w:rsidP="00B65C0F">
      <w:pPr>
        <w:rPr>
          <w:rFonts w:ascii="Arial" w:hAnsi="Arial" w:cs="Arial"/>
          <w:sz w:val="22"/>
          <w:szCs w:val="22"/>
        </w:rPr>
      </w:pPr>
      <w:r w:rsidRPr="00A325B1">
        <w:rPr>
          <w:rFonts w:ascii="Arial" w:hAnsi="Arial" w:cs="Arial"/>
          <w:sz w:val="22"/>
          <w:szCs w:val="22"/>
        </w:rPr>
        <w:t>MBA, ACA, CCF and HIA raised concerns about potential conflict of interest for FSOs as consultants contracted to the OFSC</w:t>
      </w:r>
      <w:r w:rsidR="0046239E">
        <w:rPr>
          <w:rFonts w:ascii="Arial" w:hAnsi="Arial" w:cs="Arial"/>
          <w:sz w:val="22"/>
          <w:szCs w:val="22"/>
        </w:rPr>
        <w:t>, who may also provide WHS consulta</w:t>
      </w:r>
      <w:r w:rsidR="00FA60D9">
        <w:rPr>
          <w:rFonts w:ascii="Arial" w:hAnsi="Arial" w:cs="Arial"/>
          <w:sz w:val="22"/>
          <w:szCs w:val="22"/>
        </w:rPr>
        <w:t>ncy services</w:t>
      </w:r>
      <w:r w:rsidR="0046239E">
        <w:rPr>
          <w:rFonts w:ascii="Arial" w:hAnsi="Arial" w:cs="Arial"/>
          <w:sz w:val="22"/>
          <w:szCs w:val="22"/>
        </w:rPr>
        <w:t xml:space="preserve"> to companies. It</w:t>
      </w:r>
      <w:r w:rsidRPr="00A325B1">
        <w:rPr>
          <w:rFonts w:ascii="Arial" w:hAnsi="Arial" w:cs="Arial"/>
          <w:sz w:val="22"/>
          <w:szCs w:val="22"/>
        </w:rPr>
        <w:t xml:space="preserve"> was su</w:t>
      </w:r>
      <w:r w:rsidR="0046239E">
        <w:rPr>
          <w:rFonts w:ascii="Arial" w:hAnsi="Arial" w:cs="Arial"/>
          <w:sz w:val="22"/>
          <w:szCs w:val="22"/>
        </w:rPr>
        <w:t xml:space="preserve">ggested that </w:t>
      </w:r>
      <w:r w:rsidRPr="00A325B1">
        <w:rPr>
          <w:rFonts w:ascii="Arial" w:hAnsi="Arial" w:cs="Arial"/>
          <w:sz w:val="22"/>
          <w:szCs w:val="22"/>
        </w:rPr>
        <w:t xml:space="preserve">FSOs be employees of </w:t>
      </w:r>
      <w:r w:rsidR="00640841">
        <w:rPr>
          <w:rFonts w:ascii="Arial" w:hAnsi="Arial" w:cs="Arial"/>
          <w:sz w:val="22"/>
          <w:szCs w:val="22"/>
        </w:rPr>
        <w:t xml:space="preserve">the </w:t>
      </w:r>
      <w:r w:rsidRPr="00A325B1">
        <w:rPr>
          <w:rFonts w:ascii="Arial" w:hAnsi="Arial" w:cs="Arial"/>
          <w:sz w:val="22"/>
          <w:szCs w:val="22"/>
        </w:rPr>
        <w:t>OFSC</w:t>
      </w:r>
      <w:r w:rsidR="0046239E">
        <w:rPr>
          <w:rFonts w:ascii="Arial" w:hAnsi="Arial" w:cs="Arial"/>
          <w:sz w:val="22"/>
          <w:szCs w:val="22"/>
        </w:rPr>
        <w:t xml:space="preserve"> to remove this possibility</w:t>
      </w:r>
      <w:r w:rsidRPr="00A325B1">
        <w:rPr>
          <w:rFonts w:ascii="Arial" w:hAnsi="Arial" w:cs="Arial"/>
          <w:sz w:val="22"/>
          <w:szCs w:val="22"/>
        </w:rPr>
        <w:t>.</w:t>
      </w:r>
      <w:r w:rsidR="00B65C0F">
        <w:rPr>
          <w:rFonts w:ascii="Arial" w:hAnsi="Arial" w:cs="Arial"/>
          <w:sz w:val="22"/>
          <w:szCs w:val="22"/>
        </w:rPr>
        <w:t xml:space="preserve"> </w:t>
      </w:r>
      <w:r w:rsidR="0046239E">
        <w:rPr>
          <w:rFonts w:ascii="Arial" w:hAnsi="Arial" w:cs="Arial"/>
          <w:sz w:val="22"/>
          <w:szCs w:val="22"/>
        </w:rPr>
        <w:t>However, i</w:t>
      </w:r>
      <w:r w:rsidR="0014365B">
        <w:rPr>
          <w:rFonts w:ascii="Arial" w:hAnsi="Arial" w:cs="Arial"/>
          <w:sz w:val="22"/>
          <w:szCs w:val="22"/>
        </w:rPr>
        <w:t xml:space="preserve">mplementing this </w:t>
      </w:r>
      <w:r w:rsidR="0046239E">
        <w:rPr>
          <w:rFonts w:ascii="Arial" w:hAnsi="Arial" w:cs="Arial"/>
          <w:sz w:val="22"/>
          <w:szCs w:val="22"/>
        </w:rPr>
        <w:t>suggestion</w:t>
      </w:r>
      <w:r w:rsidR="002729A4">
        <w:rPr>
          <w:rFonts w:ascii="Arial" w:hAnsi="Arial" w:cs="Arial"/>
          <w:sz w:val="22"/>
          <w:szCs w:val="22"/>
        </w:rPr>
        <w:t xml:space="preserve"> </w:t>
      </w:r>
      <w:r w:rsidR="0014365B">
        <w:rPr>
          <w:rFonts w:ascii="Arial" w:hAnsi="Arial" w:cs="Arial"/>
          <w:sz w:val="22"/>
          <w:szCs w:val="22"/>
        </w:rPr>
        <w:t xml:space="preserve">would likely not result in value for money for the </w:t>
      </w:r>
      <w:r w:rsidR="00CC7C8F">
        <w:rPr>
          <w:rFonts w:ascii="Arial" w:hAnsi="Arial" w:cs="Arial"/>
          <w:sz w:val="22"/>
          <w:szCs w:val="22"/>
        </w:rPr>
        <w:t>Government</w:t>
      </w:r>
      <w:r w:rsidR="00986C14">
        <w:rPr>
          <w:rFonts w:ascii="Arial" w:hAnsi="Arial" w:cs="Arial"/>
          <w:sz w:val="22"/>
          <w:szCs w:val="22"/>
        </w:rPr>
        <w:t xml:space="preserve">. </w:t>
      </w:r>
      <w:r w:rsidRPr="00A325B1">
        <w:rPr>
          <w:rFonts w:ascii="Arial" w:hAnsi="Arial" w:cs="Arial"/>
          <w:sz w:val="22"/>
          <w:szCs w:val="22"/>
        </w:rPr>
        <w:t>FSOs are specialists in their fields</w:t>
      </w:r>
      <w:r w:rsidR="0014365B">
        <w:rPr>
          <w:rFonts w:ascii="Arial" w:hAnsi="Arial" w:cs="Arial"/>
          <w:sz w:val="22"/>
          <w:szCs w:val="22"/>
        </w:rPr>
        <w:t xml:space="preserve"> and</w:t>
      </w:r>
      <w:r w:rsidR="00986C14">
        <w:rPr>
          <w:rFonts w:ascii="Arial" w:hAnsi="Arial" w:cs="Arial"/>
          <w:sz w:val="22"/>
          <w:szCs w:val="22"/>
        </w:rPr>
        <w:t>,</w:t>
      </w:r>
      <w:r w:rsidR="0014365B">
        <w:rPr>
          <w:rFonts w:ascii="Arial" w:hAnsi="Arial" w:cs="Arial"/>
          <w:sz w:val="22"/>
          <w:szCs w:val="22"/>
        </w:rPr>
        <w:t xml:space="preserve"> even if </w:t>
      </w:r>
      <w:r w:rsidRPr="00A325B1">
        <w:rPr>
          <w:rFonts w:ascii="Arial" w:hAnsi="Arial" w:cs="Arial"/>
          <w:sz w:val="22"/>
          <w:szCs w:val="22"/>
        </w:rPr>
        <w:t xml:space="preserve">a smaller number of FSOs </w:t>
      </w:r>
      <w:r w:rsidR="0014365B">
        <w:rPr>
          <w:rFonts w:ascii="Arial" w:hAnsi="Arial" w:cs="Arial"/>
          <w:sz w:val="22"/>
          <w:szCs w:val="22"/>
        </w:rPr>
        <w:t xml:space="preserve">were employed, their workload is such that they </w:t>
      </w:r>
      <w:r w:rsidRPr="00A325B1">
        <w:rPr>
          <w:rFonts w:ascii="Arial" w:hAnsi="Arial" w:cs="Arial"/>
          <w:sz w:val="22"/>
          <w:szCs w:val="22"/>
        </w:rPr>
        <w:t xml:space="preserve">would not be fully utilised as full-time public servants. </w:t>
      </w:r>
    </w:p>
    <w:p w:rsidR="00B65C0F" w:rsidRDefault="00B65C0F" w:rsidP="00B65C0F">
      <w:pPr>
        <w:rPr>
          <w:rFonts w:ascii="Arial" w:hAnsi="Arial" w:cs="Arial"/>
          <w:sz w:val="22"/>
          <w:szCs w:val="22"/>
        </w:rPr>
      </w:pPr>
    </w:p>
    <w:p w:rsidR="009934EE" w:rsidRDefault="00264515" w:rsidP="00B65C0F">
      <w:pPr>
        <w:rPr>
          <w:rFonts w:ascii="Arial" w:hAnsi="Arial" w:cs="Arial"/>
          <w:sz w:val="22"/>
          <w:szCs w:val="22"/>
        </w:rPr>
      </w:pPr>
      <w:r>
        <w:rPr>
          <w:rFonts w:ascii="Arial" w:hAnsi="Arial" w:cs="Arial"/>
          <w:sz w:val="22"/>
          <w:szCs w:val="22"/>
        </w:rPr>
        <w:t xml:space="preserve">Beyond this, there is a rigorous </w:t>
      </w:r>
      <w:r w:rsidR="009C6201">
        <w:rPr>
          <w:rFonts w:ascii="Arial" w:hAnsi="Arial" w:cs="Arial"/>
          <w:sz w:val="22"/>
          <w:szCs w:val="22"/>
        </w:rPr>
        <w:t xml:space="preserve">FSO </w:t>
      </w:r>
      <w:r>
        <w:rPr>
          <w:rFonts w:ascii="Arial" w:hAnsi="Arial" w:cs="Arial"/>
          <w:sz w:val="22"/>
          <w:szCs w:val="22"/>
        </w:rPr>
        <w:t xml:space="preserve">management framework in place </w:t>
      </w:r>
      <w:r w:rsidR="00674522">
        <w:rPr>
          <w:rFonts w:ascii="Arial" w:hAnsi="Arial" w:cs="Arial"/>
          <w:sz w:val="22"/>
          <w:szCs w:val="22"/>
        </w:rPr>
        <w:t>(</w:t>
      </w:r>
      <w:r>
        <w:rPr>
          <w:rFonts w:ascii="Arial" w:hAnsi="Arial" w:cs="Arial"/>
          <w:sz w:val="22"/>
          <w:szCs w:val="22"/>
        </w:rPr>
        <w:t>as noted above</w:t>
      </w:r>
      <w:r w:rsidR="00674522">
        <w:rPr>
          <w:rFonts w:ascii="Arial" w:hAnsi="Arial" w:cs="Arial"/>
          <w:sz w:val="22"/>
          <w:szCs w:val="22"/>
        </w:rPr>
        <w:t>)</w:t>
      </w:r>
      <w:r>
        <w:rPr>
          <w:rFonts w:ascii="Arial" w:hAnsi="Arial" w:cs="Arial"/>
          <w:sz w:val="22"/>
          <w:szCs w:val="22"/>
        </w:rPr>
        <w:t xml:space="preserve"> </w:t>
      </w:r>
      <w:r w:rsidR="00D15894">
        <w:rPr>
          <w:rFonts w:ascii="Arial" w:hAnsi="Arial" w:cs="Arial"/>
          <w:sz w:val="22"/>
          <w:szCs w:val="22"/>
        </w:rPr>
        <w:t>to manage the performance and conduct of FSOs</w:t>
      </w:r>
      <w:r w:rsidR="009934EE">
        <w:rPr>
          <w:rFonts w:ascii="Arial" w:hAnsi="Arial" w:cs="Arial"/>
          <w:sz w:val="22"/>
          <w:szCs w:val="22"/>
        </w:rPr>
        <w:t>. It is</w:t>
      </w:r>
      <w:r w:rsidR="00D15894">
        <w:rPr>
          <w:rFonts w:ascii="Arial" w:hAnsi="Arial" w:cs="Arial"/>
          <w:sz w:val="22"/>
          <w:szCs w:val="22"/>
        </w:rPr>
        <w:t xml:space="preserve"> designed</w:t>
      </w:r>
      <w:r w:rsidR="00FA60D9">
        <w:rPr>
          <w:rFonts w:ascii="Arial" w:hAnsi="Arial" w:cs="Arial"/>
          <w:sz w:val="22"/>
          <w:szCs w:val="22"/>
        </w:rPr>
        <w:t>,</w:t>
      </w:r>
      <w:r w:rsidR="00D15894">
        <w:rPr>
          <w:rFonts w:ascii="Arial" w:hAnsi="Arial" w:cs="Arial"/>
          <w:sz w:val="22"/>
          <w:szCs w:val="22"/>
        </w:rPr>
        <w:t xml:space="preserve"> in part</w:t>
      </w:r>
      <w:r w:rsidR="00FA60D9">
        <w:rPr>
          <w:rFonts w:ascii="Arial" w:hAnsi="Arial" w:cs="Arial"/>
          <w:sz w:val="22"/>
          <w:szCs w:val="22"/>
        </w:rPr>
        <w:t>,</w:t>
      </w:r>
      <w:r w:rsidR="00D15894">
        <w:rPr>
          <w:rFonts w:ascii="Arial" w:hAnsi="Arial" w:cs="Arial"/>
          <w:sz w:val="22"/>
          <w:szCs w:val="22"/>
        </w:rPr>
        <w:t xml:space="preserve"> to avoid instances of perceived or actual conflicts of interest</w:t>
      </w:r>
      <w:r>
        <w:rPr>
          <w:rFonts w:ascii="Arial" w:hAnsi="Arial" w:cs="Arial"/>
          <w:sz w:val="22"/>
          <w:szCs w:val="22"/>
        </w:rPr>
        <w:t>.</w:t>
      </w:r>
      <w:r w:rsidR="00D15894">
        <w:rPr>
          <w:rFonts w:ascii="Arial" w:hAnsi="Arial" w:cs="Arial"/>
          <w:sz w:val="22"/>
          <w:szCs w:val="22"/>
        </w:rPr>
        <w:t xml:space="preserve"> As part of this framework, FSOs are bound by a Code of Conduct and are required to notify the OFSC of any potential or actual conflict of interest. </w:t>
      </w:r>
    </w:p>
    <w:p w:rsidR="00E51997" w:rsidRDefault="00E51997">
      <w:pPr>
        <w:rPr>
          <w:rFonts w:ascii="Arial" w:hAnsi="Arial" w:cs="Arial"/>
          <w:sz w:val="22"/>
          <w:szCs w:val="22"/>
        </w:rPr>
      </w:pPr>
    </w:p>
    <w:p w:rsidR="00131F34" w:rsidRDefault="00131F34">
      <w:pPr>
        <w:rPr>
          <w:rFonts w:ascii="Arial" w:hAnsi="Arial" w:cs="Arial"/>
          <w:sz w:val="22"/>
          <w:szCs w:val="22"/>
        </w:rPr>
      </w:pPr>
      <w:r>
        <w:rPr>
          <w:rFonts w:ascii="Arial" w:hAnsi="Arial" w:cs="Arial"/>
          <w:sz w:val="22"/>
          <w:szCs w:val="22"/>
        </w:rPr>
        <w:br w:type="page"/>
      </w:r>
    </w:p>
    <w:p w:rsidR="00264515" w:rsidRDefault="00D15894" w:rsidP="00B65C0F">
      <w:pPr>
        <w:rPr>
          <w:rFonts w:ascii="Arial" w:hAnsi="Arial" w:cs="Arial"/>
          <w:sz w:val="22"/>
          <w:szCs w:val="22"/>
        </w:rPr>
      </w:pPr>
      <w:r>
        <w:rPr>
          <w:rFonts w:ascii="Arial" w:hAnsi="Arial" w:cs="Arial"/>
          <w:sz w:val="22"/>
          <w:szCs w:val="22"/>
        </w:rPr>
        <w:t>The OFSC maintains a register of these conflicts of interest, which remain valid for a minimum period of two years, at which point they can be reassessed</w:t>
      </w:r>
      <w:r w:rsidR="009934EE">
        <w:rPr>
          <w:rFonts w:ascii="Arial" w:hAnsi="Arial" w:cs="Arial"/>
          <w:sz w:val="22"/>
          <w:szCs w:val="22"/>
        </w:rPr>
        <w:t xml:space="preserve">, </w:t>
      </w:r>
      <w:r>
        <w:rPr>
          <w:rFonts w:ascii="Arial" w:hAnsi="Arial" w:cs="Arial"/>
          <w:sz w:val="22"/>
          <w:szCs w:val="22"/>
        </w:rPr>
        <w:t>in line with RABQSA</w:t>
      </w:r>
      <w:r w:rsidR="00C72F82">
        <w:rPr>
          <w:rFonts w:ascii="Arial" w:hAnsi="Arial" w:cs="Arial"/>
          <w:sz w:val="22"/>
          <w:szCs w:val="22"/>
        </w:rPr>
        <w:t xml:space="preserve"> International</w:t>
      </w:r>
      <w:r w:rsidR="00C72F82">
        <w:rPr>
          <w:rStyle w:val="FootnoteReference"/>
          <w:rFonts w:ascii="Arial" w:hAnsi="Arial" w:cs="Arial"/>
          <w:sz w:val="22"/>
          <w:szCs w:val="22"/>
        </w:rPr>
        <w:footnoteReference w:id="8"/>
      </w:r>
      <w:r w:rsidR="009934EE">
        <w:rPr>
          <w:rFonts w:ascii="Arial" w:hAnsi="Arial" w:cs="Arial"/>
          <w:sz w:val="22"/>
          <w:szCs w:val="22"/>
        </w:rPr>
        <w:t xml:space="preserve"> </w:t>
      </w:r>
      <w:r>
        <w:rPr>
          <w:rFonts w:ascii="Arial" w:hAnsi="Arial" w:cs="Arial"/>
          <w:sz w:val="22"/>
          <w:szCs w:val="22"/>
        </w:rPr>
        <w:t>conflict of interest timeframes. Further to these requirements, the OFSC is selective about which FSOs are requested to do each audit, taking into account, in part, areas of expertise, previous company issues, location and style when scheduling audits.</w:t>
      </w:r>
    </w:p>
    <w:p w:rsidR="00264515" w:rsidRDefault="00264515" w:rsidP="000C5859">
      <w:pPr>
        <w:rPr>
          <w:rFonts w:ascii="Arial" w:hAnsi="Arial" w:cs="Arial"/>
          <w:sz w:val="22"/>
          <w:szCs w:val="22"/>
        </w:rPr>
      </w:pPr>
    </w:p>
    <w:p w:rsidR="001D2AD3" w:rsidRDefault="009934EE" w:rsidP="000C5859">
      <w:pPr>
        <w:rPr>
          <w:rFonts w:ascii="Arial" w:hAnsi="Arial" w:cs="Arial"/>
          <w:sz w:val="22"/>
          <w:szCs w:val="22"/>
        </w:rPr>
      </w:pPr>
      <w:r>
        <w:rPr>
          <w:rFonts w:ascii="Arial" w:hAnsi="Arial" w:cs="Arial"/>
          <w:sz w:val="22"/>
          <w:szCs w:val="22"/>
        </w:rPr>
        <w:t>A</w:t>
      </w:r>
      <w:r w:rsidR="00D15894">
        <w:rPr>
          <w:rFonts w:ascii="Arial" w:hAnsi="Arial" w:cs="Arial"/>
          <w:sz w:val="22"/>
          <w:szCs w:val="22"/>
        </w:rPr>
        <w:t xml:space="preserve">n </w:t>
      </w:r>
      <w:r w:rsidR="00B65C0F">
        <w:rPr>
          <w:rFonts w:ascii="Arial" w:hAnsi="Arial" w:cs="Arial"/>
          <w:sz w:val="22"/>
          <w:szCs w:val="22"/>
        </w:rPr>
        <w:t xml:space="preserve">option </w:t>
      </w:r>
      <w:r w:rsidR="00D15894">
        <w:rPr>
          <w:rFonts w:ascii="Arial" w:hAnsi="Arial" w:cs="Arial"/>
          <w:sz w:val="22"/>
          <w:szCs w:val="22"/>
        </w:rPr>
        <w:t xml:space="preserve">to </w:t>
      </w:r>
      <w:r>
        <w:rPr>
          <w:rFonts w:ascii="Arial" w:hAnsi="Arial" w:cs="Arial"/>
          <w:sz w:val="22"/>
          <w:szCs w:val="22"/>
        </w:rPr>
        <w:t>further address</w:t>
      </w:r>
      <w:r w:rsidR="00D15894">
        <w:rPr>
          <w:rFonts w:ascii="Arial" w:hAnsi="Arial" w:cs="Arial"/>
          <w:sz w:val="22"/>
          <w:szCs w:val="22"/>
        </w:rPr>
        <w:t xml:space="preserve"> stakeholders</w:t>
      </w:r>
      <w:r>
        <w:rPr>
          <w:rFonts w:ascii="Arial" w:hAnsi="Arial" w:cs="Arial"/>
          <w:sz w:val="22"/>
          <w:szCs w:val="22"/>
        </w:rPr>
        <w:t>’ concerns</w:t>
      </w:r>
      <w:r w:rsidR="00D15894">
        <w:rPr>
          <w:rFonts w:ascii="Arial" w:hAnsi="Arial" w:cs="Arial"/>
          <w:sz w:val="22"/>
          <w:szCs w:val="22"/>
        </w:rPr>
        <w:t xml:space="preserve"> in this area </w:t>
      </w:r>
      <w:r w:rsidR="00B65C0F">
        <w:rPr>
          <w:rFonts w:ascii="Arial" w:hAnsi="Arial" w:cs="Arial"/>
          <w:sz w:val="22"/>
          <w:szCs w:val="22"/>
        </w:rPr>
        <w:t xml:space="preserve">is to </w:t>
      </w:r>
      <w:r>
        <w:rPr>
          <w:rFonts w:ascii="Arial" w:hAnsi="Arial" w:cs="Arial"/>
          <w:sz w:val="22"/>
          <w:szCs w:val="22"/>
        </w:rPr>
        <w:t>afford</w:t>
      </w:r>
      <w:r w:rsidR="00B65C0F">
        <w:rPr>
          <w:rFonts w:ascii="Arial" w:hAnsi="Arial" w:cs="Arial"/>
          <w:sz w:val="22"/>
          <w:szCs w:val="22"/>
        </w:rPr>
        <w:t xml:space="preserve"> </w:t>
      </w:r>
      <w:r w:rsidR="00D15894">
        <w:rPr>
          <w:rFonts w:ascii="Arial" w:hAnsi="Arial" w:cs="Arial"/>
          <w:sz w:val="22"/>
          <w:szCs w:val="22"/>
        </w:rPr>
        <w:t>them</w:t>
      </w:r>
      <w:r w:rsidR="00B65C0F">
        <w:rPr>
          <w:rFonts w:ascii="Arial" w:hAnsi="Arial" w:cs="Arial"/>
          <w:sz w:val="22"/>
          <w:szCs w:val="22"/>
        </w:rPr>
        <w:t xml:space="preserve"> the opportunity to comment on tender </w:t>
      </w:r>
      <w:r w:rsidR="00264515">
        <w:rPr>
          <w:rFonts w:ascii="Arial" w:hAnsi="Arial" w:cs="Arial"/>
          <w:sz w:val="22"/>
          <w:szCs w:val="22"/>
        </w:rPr>
        <w:t xml:space="preserve">requirements </w:t>
      </w:r>
      <w:r w:rsidR="00B65C0F">
        <w:rPr>
          <w:rFonts w:ascii="Arial" w:hAnsi="Arial" w:cs="Arial"/>
          <w:sz w:val="22"/>
          <w:szCs w:val="22"/>
        </w:rPr>
        <w:t xml:space="preserve">for the </w:t>
      </w:r>
      <w:r w:rsidR="000C5859">
        <w:rPr>
          <w:rFonts w:ascii="Arial" w:hAnsi="Arial" w:cs="Arial"/>
          <w:sz w:val="22"/>
          <w:szCs w:val="22"/>
        </w:rPr>
        <w:t xml:space="preserve">next FSO </w:t>
      </w:r>
      <w:r>
        <w:rPr>
          <w:rFonts w:ascii="Arial" w:hAnsi="Arial" w:cs="Arial"/>
          <w:sz w:val="22"/>
          <w:szCs w:val="22"/>
        </w:rPr>
        <w:t>s</w:t>
      </w:r>
      <w:r w:rsidR="000C5859">
        <w:rPr>
          <w:rFonts w:ascii="Arial" w:hAnsi="Arial" w:cs="Arial"/>
          <w:sz w:val="22"/>
          <w:szCs w:val="22"/>
        </w:rPr>
        <w:t xml:space="preserve">tanding panel </w:t>
      </w:r>
      <w:r w:rsidR="00491A95">
        <w:rPr>
          <w:rFonts w:ascii="Arial" w:hAnsi="Arial" w:cs="Arial"/>
          <w:sz w:val="22"/>
          <w:szCs w:val="22"/>
        </w:rPr>
        <w:t xml:space="preserve">selection process </w:t>
      </w:r>
      <w:r w:rsidR="00B65C0F">
        <w:rPr>
          <w:rFonts w:ascii="Arial" w:hAnsi="Arial" w:cs="Arial"/>
          <w:sz w:val="22"/>
          <w:szCs w:val="22"/>
        </w:rPr>
        <w:t xml:space="preserve">prior to its finalisation. This </w:t>
      </w:r>
      <w:r w:rsidR="005C73C6">
        <w:rPr>
          <w:rFonts w:ascii="Arial" w:hAnsi="Arial" w:cs="Arial"/>
          <w:sz w:val="22"/>
          <w:szCs w:val="22"/>
        </w:rPr>
        <w:t>would give</w:t>
      </w:r>
      <w:r w:rsidR="00B65C0F">
        <w:rPr>
          <w:rFonts w:ascii="Arial" w:hAnsi="Arial" w:cs="Arial"/>
          <w:sz w:val="22"/>
          <w:szCs w:val="22"/>
        </w:rPr>
        <w:t xml:space="preserve"> </w:t>
      </w:r>
      <w:r w:rsidR="00D15894">
        <w:rPr>
          <w:rFonts w:ascii="Arial" w:hAnsi="Arial" w:cs="Arial"/>
          <w:sz w:val="22"/>
          <w:szCs w:val="22"/>
        </w:rPr>
        <w:t xml:space="preserve">relevant </w:t>
      </w:r>
      <w:r w:rsidR="00B65C0F">
        <w:rPr>
          <w:rFonts w:ascii="Arial" w:hAnsi="Arial" w:cs="Arial"/>
          <w:sz w:val="22"/>
          <w:szCs w:val="22"/>
        </w:rPr>
        <w:t xml:space="preserve">stakeholders an opportunity to </w:t>
      </w:r>
      <w:r w:rsidR="000C5859">
        <w:rPr>
          <w:rFonts w:ascii="Arial" w:hAnsi="Arial" w:cs="Arial"/>
          <w:sz w:val="22"/>
          <w:szCs w:val="22"/>
        </w:rPr>
        <w:t xml:space="preserve">provide input </w:t>
      </w:r>
      <w:r w:rsidR="005C73C6">
        <w:rPr>
          <w:rFonts w:ascii="Arial" w:hAnsi="Arial" w:cs="Arial"/>
          <w:sz w:val="22"/>
          <w:szCs w:val="22"/>
        </w:rPr>
        <w:t>o</w:t>
      </w:r>
      <w:r w:rsidR="000C5859">
        <w:rPr>
          <w:rFonts w:ascii="Arial" w:hAnsi="Arial" w:cs="Arial"/>
          <w:sz w:val="22"/>
          <w:szCs w:val="22"/>
        </w:rPr>
        <w:t xml:space="preserve">n the selection process to </w:t>
      </w:r>
      <w:r w:rsidR="00B65C0F">
        <w:rPr>
          <w:rFonts w:ascii="Arial" w:hAnsi="Arial" w:cs="Arial"/>
          <w:sz w:val="22"/>
          <w:szCs w:val="22"/>
        </w:rPr>
        <w:t>ensure that</w:t>
      </w:r>
      <w:r w:rsidR="000C5859">
        <w:rPr>
          <w:rFonts w:ascii="Arial" w:hAnsi="Arial" w:cs="Arial"/>
          <w:sz w:val="22"/>
          <w:szCs w:val="22"/>
        </w:rPr>
        <w:t xml:space="preserve"> perceptions of conflict of interest</w:t>
      </w:r>
      <w:r w:rsidR="00264515">
        <w:rPr>
          <w:rFonts w:ascii="Arial" w:hAnsi="Arial" w:cs="Arial"/>
          <w:sz w:val="22"/>
          <w:szCs w:val="22"/>
        </w:rPr>
        <w:t xml:space="preserve"> can be </w:t>
      </w:r>
      <w:r>
        <w:rPr>
          <w:rFonts w:ascii="Arial" w:hAnsi="Arial" w:cs="Arial"/>
          <w:sz w:val="22"/>
          <w:szCs w:val="22"/>
        </w:rPr>
        <w:t>minimised</w:t>
      </w:r>
      <w:r w:rsidR="00264515">
        <w:rPr>
          <w:rFonts w:ascii="Arial" w:hAnsi="Arial" w:cs="Arial"/>
          <w:sz w:val="22"/>
          <w:szCs w:val="22"/>
        </w:rPr>
        <w:t xml:space="preserve"> from the outset of engaging FSOs</w:t>
      </w:r>
      <w:r w:rsidR="000C5859">
        <w:rPr>
          <w:rFonts w:ascii="Arial" w:hAnsi="Arial" w:cs="Arial"/>
          <w:sz w:val="22"/>
          <w:szCs w:val="22"/>
        </w:rPr>
        <w:t xml:space="preserve">. </w:t>
      </w:r>
    </w:p>
    <w:p w:rsidR="00CE55DF" w:rsidRDefault="00CE55DF" w:rsidP="000C5859">
      <w:pPr>
        <w:rPr>
          <w:rFonts w:ascii="Arial" w:hAnsi="Arial" w:cs="Arial"/>
          <w:sz w:val="22"/>
          <w:szCs w:val="22"/>
        </w:rPr>
      </w:pPr>
    </w:p>
    <w:p w:rsidR="00751567" w:rsidRDefault="00CE55DF" w:rsidP="000C5859">
      <w:pPr>
        <w:rPr>
          <w:rFonts w:ascii="Arial" w:hAnsi="Arial" w:cs="Arial"/>
          <w:sz w:val="22"/>
          <w:szCs w:val="22"/>
        </w:rPr>
      </w:pPr>
      <w:r w:rsidRPr="002729A4">
        <w:rPr>
          <w:noProof/>
        </w:rPr>
        <mc:AlternateContent>
          <mc:Choice Requires="wps">
            <w:drawing>
              <wp:inline distT="0" distB="0" distL="0" distR="0" wp14:anchorId="5D382B35" wp14:editId="4EDE80A5">
                <wp:extent cx="5743575" cy="586740"/>
                <wp:effectExtent l="0" t="0" r="28575" b="22860"/>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86740"/>
                        </a:xfrm>
                        <a:prstGeom prst="rect">
                          <a:avLst/>
                        </a:prstGeom>
                        <a:solidFill>
                          <a:schemeClr val="bg1">
                            <a:lumMod val="85000"/>
                          </a:schemeClr>
                        </a:solidFill>
                        <a:ln w="9525">
                          <a:solidFill>
                            <a:srgbClr val="000000"/>
                          </a:solidFill>
                          <a:miter lim="800000"/>
                          <a:headEnd/>
                          <a:tailEnd/>
                        </a:ln>
                      </wps:spPr>
                      <wps:txbx>
                        <w:txbxContent>
                          <w:p w:rsidR="00226B47" w:rsidRPr="009D64D7" w:rsidRDefault="00226B47" w:rsidP="00CE55DF">
                            <w:pPr>
                              <w:rPr>
                                <w:rFonts w:ascii="Arial" w:hAnsi="Arial" w:cs="Arial"/>
                                <w:color w:val="FF0000"/>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16</w:t>
                            </w:r>
                            <w:r w:rsidRPr="005E46C2">
                              <w:rPr>
                                <w:rFonts w:ascii="Arial" w:hAnsi="Arial" w:cs="Arial"/>
                                <w:sz w:val="22"/>
                                <w:szCs w:val="22"/>
                                <w:highlight w:val="lightGray"/>
                              </w:rPr>
                              <w:t>:</w:t>
                            </w:r>
                            <w:r>
                              <w:rPr>
                                <w:rFonts w:ascii="Arial" w:hAnsi="Arial" w:cs="Arial"/>
                                <w:sz w:val="22"/>
                                <w:szCs w:val="22"/>
                              </w:rPr>
                              <w:t xml:space="preserve"> </w:t>
                            </w:r>
                            <w:r w:rsidRPr="00270FB0">
                              <w:rPr>
                                <w:rFonts w:ascii="Arial" w:hAnsi="Arial" w:cs="Arial"/>
                                <w:sz w:val="22"/>
                                <w:szCs w:val="22"/>
                              </w:rPr>
                              <w:t>The OFSC set</w:t>
                            </w:r>
                            <w:r>
                              <w:rPr>
                                <w:rFonts w:ascii="Arial" w:hAnsi="Arial" w:cs="Arial"/>
                                <w:sz w:val="22"/>
                                <w:szCs w:val="22"/>
                              </w:rPr>
                              <w:t>s</w:t>
                            </w:r>
                            <w:r w:rsidRPr="00270FB0">
                              <w:rPr>
                                <w:rFonts w:ascii="Arial" w:hAnsi="Arial" w:cs="Arial"/>
                                <w:sz w:val="22"/>
                                <w:szCs w:val="22"/>
                              </w:rPr>
                              <w:t xml:space="preserve"> and publish</w:t>
                            </w:r>
                            <w:r>
                              <w:rPr>
                                <w:rFonts w:ascii="Arial" w:hAnsi="Arial" w:cs="Arial"/>
                                <w:sz w:val="22"/>
                                <w:szCs w:val="22"/>
                              </w:rPr>
                              <w:t>es</w:t>
                            </w:r>
                            <w:r w:rsidRPr="00270FB0">
                              <w:rPr>
                                <w:rFonts w:ascii="Arial" w:hAnsi="Arial" w:cs="Arial"/>
                                <w:sz w:val="22"/>
                                <w:szCs w:val="22"/>
                              </w:rPr>
                              <w:t xml:space="preserve"> its performance against KPIs for its processes.</w:t>
                            </w:r>
                            <w:r>
                              <w:rPr>
                                <w:rFonts w:ascii="Arial" w:hAnsi="Arial" w:cs="Arial"/>
                                <w:sz w:val="22"/>
                                <w:szCs w:val="22"/>
                              </w:rPr>
                              <w:t xml:space="preserve"> </w:t>
                            </w:r>
                          </w:p>
                        </w:txbxContent>
                      </wps:txbx>
                      <wps:bodyPr rot="0" vert="horz" wrap="square" lIns="91440" tIns="45720" rIns="91440" bIns="45720" anchor="ctr" anchorCtr="0">
                        <a:noAutofit/>
                      </wps:bodyPr>
                    </wps:wsp>
                  </a:graphicData>
                </a:graphic>
              </wp:inline>
            </w:drawing>
          </mc:Choice>
          <mc:Fallback>
            <w:pict>
              <v:shape w14:anchorId="5D382B35" id="_x0000_s1041" type="#_x0000_t202" style="width:452.25pt;height:4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" fillcolor="#d8d8d8 [2732]">
                <v:textbox>
                  <w:txbxContent>
                    <w:p w:rsidR="00226B47" w:rsidRPr="009D64D7" w:rsidRDefault="00226B47" w:rsidP="00CE55DF">
                      <w:pPr>
                        <w:rPr>
                          <w:rFonts w:ascii="Arial" w:hAnsi="Arial" w:cs="Arial"/>
                          <w:color w:val="FF0000"/>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16</w:t>
                      </w:r>
                      <w:r w:rsidRPr="005E46C2">
                        <w:rPr>
                          <w:rFonts w:ascii="Arial" w:hAnsi="Arial" w:cs="Arial"/>
                          <w:sz w:val="22"/>
                          <w:szCs w:val="22"/>
                          <w:highlight w:val="lightGray"/>
                        </w:rPr>
                        <w:t>:</w:t>
                      </w:r>
                      <w:r>
                        <w:rPr>
                          <w:rFonts w:ascii="Arial" w:hAnsi="Arial" w:cs="Arial"/>
                          <w:sz w:val="22"/>
                          <w:szCs w:val="22"/>
                        </w:rPr>
                        <w:t xml:space="preserve"> </w:t>
                      </w:r>
                      <w:r w:rsidRPr="00270FB0">
                        <w:rPr>
                          <w:rFonts w:ascii="Arial" w:hAnsi="Arial" w:cs="Arial"/>
                          <w:sz w:val="22"/>
                          <w:szCs w:val="22"/>
                        </w:rPr>
                        <w:t>The OFSC set</w:t>
                      </w:r>
                      <w:r>
                        <w:rPr>
                          <w:rFonts w:ascii="Arial" w:hAnsi="Arial" w:cs="Arial"/>
                          <w:sz w:val="22"/>
                          <w:szCs w:val="22"/>
                        </w:rPr>
                        <w:t>s</w:t>
                      </w:r>
                      <w:r w:rsidRPr="00270FB0">
                        <w:rPr>
                          <w:rFonts w:ascii="Arial" w:hAnsi="Arial" w:cs="Arial"/>
                          <w:sz w:val="22"/>
                          <w:szCs w:val="22"/>
                        </w:rPr>
                        <w:t xml:space="preserve"> and publish</w:t>
                      </w:r>
                      <w:r>
                        <w:rPr>
                          <w:rFonts w:ascii="Arial" w:hAnsi="Arial" w:cs="Arial"/>
                          <w:sz w:val="22"/>
                          <w:szCs w:val="22"/>
                        </w:rPr>
                        <w:t>es</w:t>
                      </w:r>
                      <w:r w:rsidRPr="00270FB0">
                        <w:rPr>
                          <w:rFonts w:ascii="Arial" w:hAnsi="Arial" w:cs="Arial"/>
                          <w:sz w:val="22"/>
                          <w:szCs w:val="22"/>
                        </w:rPr>
                        <w:t xml:space="preserve"> its performance against KPIs for its processes.</w:t>
                      </w:r>
                      <w:r>
                        <w:rPr>
                          <w:rFonts w:ascii="Arial" w:hAnsi="Arial" w:cs="Arial"/>
                          <w:sz w:val="22"/>
                          <w:szCs w:val="22"/>
                        </w:rPr>
                        <w:t xml:space="preserve"> </w:t>
                      </w:r>
                    </w:p>
                  </w:txbxContent>
                </v:textbox>
                <w10:anchorlock/>
              </v:shape>
            </w:pict>
          </mc:Fallback>
        </mc:AlternateContent>
      </w:r>
    </w:p>
    <w:p w:rsidR="002729A4" w:rsidRPr="00A325B1" w:rsidRDefault="002729A4" w:rsidP="000C5859">
      <w:pPr>
        <w:rPr>
          <w:rFonts w:ascii="Arial" w:hAnsi="Arial" w:cs="Arial"/>
          <w:sz w:val="22"/>
          <w:szCs w:val="22"/>
        </w:rPr>
      </w:pPr>
    </w:p>
    <w:p w:rsidR="00751567" w:rsidRDefault="00751567" w:rsidP="007B5A3A">
      <w:pPr>
        <w:rPr>
          <w:rFonts w:ascii="Arial" w:hAnsi="Arial" w:cs="Arial"/>
          <w:sz w:val="22"/>
          <w:szCs w:val="22"/>
        </w:rPr>
      </w:pPr>
      <w:r w:rsidRPr="00491A95">
        <w:rPr>
          <w:rFonts w:ascii="Arial" w:hAnsi="Arial" w:cs="Arial"/>
          <w:noProof/>
          <w:sz w:val="22"/>
          <w:szCs w:val="22"/>
        </w:rPr>
        <mc:AlternateContent>
          <mc:Choice Requires="wps">
            <w:drawing>
              <wp:inline distT="0" distB="0" distL="0" distR="0" wp14:anchorId="48FA2577" wp14:editId="3F7C12CF">
                <wp:extent cx="5743575" cy="800100"/>
                <wp:effectExtent l="0" t="0" r="28575" b="1905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chemeClr val="bg1">
                            <a:lumMod val="85000"/>
                          </a:schemeClr>
                        </a:solidFill>
                        <a:ln w="9525">
                          <a:solidFill>
                            <a:srgbClr val="000000"/>
                          </a:solidFill>
                          <a:miter lim="800000"/>
                          <a:headEnd/>
                          <a:tailEnd/>
                        </a:ln>
                      </wps:spPr>
                      <wps:txbx>
                        <w:txbxContent>
                          <w:p w:rsidR="00226B47" w:rsidRPr="00C938A8" w:rsidRDefault="00226B47" w:rsidP="00C938A8">
                            <w:pPr>
                              <w:rPr>
                                <w:rFonts w:ascii="Arial" w:hAnsi="Arial" w:cs="Arial"/>
                              </w:rPr>
                            </w:pPr>
                            <w:r w:rsidRPr="00C938A8">
                              <w:rPr>
                                <w:rFonts w:ascii="Arial" w:hAnsi="Arial" w:cs="Arial"/>
                                <w:b/>
                                <w:sz w:val="22"/>
                                <w:szCs w:val="22"/>
                                <w:highlight w:val="lightGray"/>
                              </w:rPr>
                              <w:t>Recommendation 17</w:t>
                            </w:r>
                            <w:r w:rsidRPr="00C938A8">
                              <w:rPr>
                                <w:rFonts w:ascii="Arial" w:hAnsi="Arial" w:cs="Arial"/>
                                <w:sz w:val="22"/>
                                <w:szCs w:val="22"/>
                                <w:highlight w:val="lightGray"/>
                              </w:rPr>
                              <w:t>:</w:t>
                            </w:r>
                            <w:r w:rsidRPr="00C938A8">
                              <w:rPr>
                                <w:rFonts w:ascii="Arial" w:hAnsi="Arial" w:cs="Arial"/>
                                <w:sz w:val="22"/>
                                <w:szCs w:val="22"/>
                              </w:rPr>
                              <w:t xml:space="preserve"> </w:t>
                            </w:r>
                            <w:r w:rsidRPr="00C938A8">
                              <w:rPr>
                                <w:rFonts w:ascii="Arial" w:hAnsi="Arial" w:cs="Arial"/>
                              </w:rPr>
                              <w:t xml:space="preserve">The OFSC, in consultation with stakeholders, identifies means by which companies’ concerns can be raised through a third party mechanism, such as an industry association, so that the concerns can be addressed by the OFSC. </w:t>
                            </w:r>
                          </w:p>
                          <w:p w:rsidR="00226B47" w:rsidRDefault="00226B47" w:rsidP="00B55A9C">
                            <w:pPr>
                              <w:spacing w:before="60"/>
                              <w:rPr>
                                <w:rFonts w:ascii="Arial" w:hAnsi="Arial" w:cs="Arial"/>
                                <w:sz w:val="22"/>
                                <w:szCs w:val="22"/>
                              </w:rPr>
                            </w:pPr>
                            <w:r w:rsidRPr="00CC59A3">
                              <w:rPr>
                                <w:rFonts w:ascii="Arial" w:hAnsi="Arial" w:cs="Arial"/>
                                <w:sz w:val="22"/>
                                <w:szCs w:val="22"/>
                              </w:rPr>
                              <w:t xml:space="preserve">.  </w:t>
                            </w:r>
                          </w:p>
                          <w:p w:rsidR="00226B47" w:rsidRPr="00AB0007" w:rsidRDefault="00226B47" w:rsidP="00751567">
                            <w:pPr>
                              <w:rPr>
                                <w:rFonts w:ascii="Arial" w:hAnsi="Arial" w:cs="Arial"/>
                                <w:b/>
                                <w:sz w:val="22"/>
                                <w:szCs w:val="22"/>
                                <w:highlight w:val="lightGray"/>
                              </w:rPr>
                            </w:pPr>
                          </w:p>
                        </w:txbxContent>
                      </wps:txbx>
                      <wps:bodyPr rot="0" vert="horz" wrap="square" lIns="91440" tIns="45720" rIns="91440" bIns="45720" anchor="ctr" anchorCtr="0">
                        <a:noAutofit/>
                      </wps:bodyPr>
                    </wps:wsp>
                  </a:graphicData>
                </a:graphic>
              </wp:inline>
            </w:drawing>
          </mc:Choice>
          <mc:Fallback>
            <w:pict>
              <v:shape w14:anchorId="48FA2577" id="_x0000_s1042" type="#_x0000_t202" style="width:452.2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" fillcolor="#d8d8d8 [2732]">
                <v:textbox>
                  <w:txbxContent>
                    <w:p w:rsidR="00226B47" w:rsidRPr="00C938A8" w:rsidRDefault="00226B47" w:rsidP="00C938A8">
                      <w:pPr>
                        <w:rPr>
                          <w:rFonts w:ascii="Arial" w:hAnsi="Arial" w:cs="Arial"/>
                        </w:rPr>
                      </w:pPr>
                      <w:r w:rsidRPr="00C938A8">
                        <w:rPr>
                          <w:rFonts w:ascii="Arial" w:hAnsi="Arial" w:cs="Arial"/>
                          <w:b/>
                          <w:sz w:val="22"/>
                          <w:szCs w:val="22"/>
                          <w:highlight w:val="lightGray"/>
                        </w:rPr>
                        <w:t>Recommendation 17</w:t>
                      </w:r>
                      <w:r w:rsidRPr="00C938A8">
                        <w:rPr>
                          <w:rFonts w:ascii="Arial" w:hAnsi="Arial" w:cs="Arial"/>
                          <w:sz w:val="22"/>
                          <w:szCs w:val="22"/>
                          <w:highlight w:val="lightGray"/>
                        </w:rPr>
                        <w:t>:</w:t>
                      </w:r>
                      <w:r w:rsidRPr="00C938A8">
                        <w:rPr>
                          <w:rFonts w:ascii="Arial" w:hAnsi="Arial" w:cs="Arial"/>
                          <w:sz w:val="22"/>
                          <w:szCs w:val="22"/>
                        </w:rPr>
                        <w:t xml:space="preserve"> </w:t>
                      </w:r>
                      <w:r w:rsidRPr="00C938A8">
                        <w:rPr>
                          <w:rFonts w:ascii="Arial" w:hAnsi="Arial" w:cs="Arial"/>
                        </w:rPr>
                        <w:t xml:space="preserve">The OFSC, in consultation with stakeholders, identifies means by which companies’ concerns can be raised through a third party mechanism, such as an industry association, so that the concerns can be addressed by the OFSC. </w:t>
                      </w:r>
                    </w:p>
                    <w:p w:rsidR="00226B47" w:rsidRDefault="00226B47" w:rsidP="00B55A9C">
                      <w:pPr>
                        <w:spacing w:before="60"/>
                        <w:rPr>
                          <w:rFonts w:ascii="Arial" w:hAnsi="Arial" w:cs="Arial"/>
                          <w:sz w:val="22"/>
                          <w:szCs w:val="22"/>
                        </w:rPr>
                      </w:pPr>
                      <w:r w:rsidRPr="00CC59A3">
                        <w:rPr>
                          <w:rFonts w:ascii="Arial" w:hAnsi="Arial" w:cs="Arial"/>
                          <w:sz w:val="22"/>
                          <w:szCs w:val="22"/>
                        </w:rPr>
                        <w:t xml:space="preserve">.  </w:t>
                      </w:r>
                    </w:p>
                    <w:p w:rsidR="00226B47" w:rsidRPr="00AB0007" w:rsidRDefault="00226B47" w:rsidP="00751567">
                      <w:pPr>
                        <w:rPr>
                          <w:rFonts w:ascii="Arial" w:hAnsi="Arial" w:cs="Arial"/>
                          <w:b/>
                          <w:sz w:val="22"/>
                          <w:szCs w:val="22"/>
                          <w:highlight w:val="lightGray"/>
                        </w:rPr>
                      </w:pPr>
                    </w:p>
                  </w:txbxContent>
                </v:textbox>
                <w10:anchorlock/>
              </v:shape>
            </w:pict>
          </mc:Fallback>
        </mc:AlternateContent>
      </w:r>
    </w:p>
    <w:p w:rsidR="002729A4" w:rsidRDefault="002729A4" w:rsidP="007B5A3A">
      <w:pPr>
        <w:rPr>
          <w:rFonts w:ascii="Arial" w:hAnsi="Arial" w:cs="Arial"/>
          <w:sz w:val="22"/>
          <w:szCs w:val="22"/>
        </w:rPr>
      </w:pPr>
    </w:p>
    <w:p w:rsidR="00751567" w:rsidRDefault="00CE55DF" w:rsidP="007B5A3A">
      <w:pPr>
        <w:rPr>
          <w:rFonts w:ascii="Arial" w:hAnsi="Arial" w:cs="Arial"/>
          <w:sz w:val="22"/>
          <w:szCs w:val="22"/>
        </w:rPr>
      </w:pPr>
      <w:r w:rsidRPr="00B55A9C">
        <w:rPr>
          <w:noProof/>
        </w:rPr>
        <mc:AlternateContent>
          <mc:Choice Requires="wps">
            <w:drawing>
              <wp:inline distT="0" distB="0" distL="0" distR="0" wp14:anchorId="15EA5B1B" wp14:editId="5AB5CE5C">
                <wp:extent cx="5743575" cy="628650"/>
                <wp:effectExtent l="0" t="0" r="28575" b="19050"/>
                <wp:docPr id="2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28650"/>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CE55DF">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18</w:t>
                            </w:r>
                            <w:r w:rsidRPr="005E46C2">
                              <w:rPr>
                                <w:rFonts w:ascii="Arial" w:hAnsi="Arial" w:cs="Arial"/>
                                <w:sz w:val="22"/>
                                <w:szCs w:val="22"/>
                                <w:highlight w:val="lightGray"/>
                              </w:rPr>
                              <w:t>:</w:t>
                            </w:r>
                            <w:r>
                              <w:rPr>
                                <w:rFonts w:ascii="Arial" w:hAnsi="Arial" w:cs="Arial"/>
                                <w:sz w:val="22"/>
                                <w:szCs w:val="22"/>
                              </w:rPr>
                              <w:t xml:space="preserve"> </w:t>
                            </w:r>
                            <w:r w:rsidRPr="002611FD">
                              <w:rPr>
                                <w:rFonts w:ascii="Arial" w:hAnsi="Arial" w:cs="Arial"/>
                                <w:sz w:val="22"/>
                                <w:szCs w:val="22"/>
                              </w:rPr>
                              <w:t>The OFSC implement</w:t>
                            </w:r>
                            <w:r>
                              <w:rPr>
                                <w:rFonts w:ascii="Arial" w:hAnsi="Arial" w:cs="Arial"/>
                                <w:sz w:val="22"/>
                                <w:szCs w:val="22"/>
                              </w:rPr>
                              <w:t>s</w:t>
                            </w:r>
                            <w:r w:rsidRPr="002611FD">
                              <w:rPr>
                                <w:rFonts w:ascii="Arial" w:hAnsi="Arial" w:cs="Arial"/>
                                <w:sz w:val="22"/>
                                <w:szCs w:val="22"/>
                              </w:rPr>
                              <w:t xml:space="preserve"> and publish</w:t>
                            </w:r>
                            <w:r>
                              <w:rPr>
                                <w:rFonts w:ascii="Arial" w:hAnsi="Arial" w:cs="Arial"/>
                                <w:sz w:val="22"/>
                                <w:szCs w:val="22"/>
                              </w:rPr>
                              <w:t>es</w:t>
                            </w:r>
                            <w:r w:rsidRPr="002611FD">
                              <w:rPr>
                                <w:rFonts w:ascii="Arial" w:hAnsi="Arial" w:cs="Arial"/>
                                <w:sz w:val="22"/>
                                <w:szCs w:val="22"/>
                              </w:rPr>
                              <w:t xml:space="preserve"> an a</w:t>
                            </w:r>
                            <w:r>
                              <w:rPr>
                                <w:rFonts w:ascii="Arial" w:hAnsi="Arial" w:cs="Arial"/>
                                <w:sz w:val="22"/>
                                <w:szCs w:val="22"/>
                              </w:rPr>
                              <w:t>nnual</w:t>
                            </w:r>
                            <w:r w:rsidRPr="002611FD">
                              <w:rPr>
                                <w:rFonts w:ascii="Arial" w:hAnsi="Arial" w:cs="Arial"/>
                                <w:sz w:val="22"/>
                                <w:szCs w:val="22"/>
                              </w:rPr>
                              <w:t xml:space="preserve"> survey of accredited companies that gathers Scheme-related safety and cost-benefit data, and feedback on FSO/OFSC performance.</w:t>
                            </w:r>
                          </w:p>
                        </w:txbxContent>
                      </wps:txbx>
                      <wps:bodyPr rot="0" vert="horz" wrap="square" lIns="91440" tIns="45720" rIns="91440" bIns="45720" anchor="ctr" anchorCtr="0">
                        <a:noAutofit/>
                      </wps:bodyPr>
                    </wps:wsp>
                  </a:graphicData>
                </a:graphic>
              </wp:inline>
            </w:drawing>
          </mc:Choice>
          <mc:Fallback>
            <w:pict>
              <v:shape w14:anchorId="15EA5B1B" id="_x0000_s1043" type="#_x0000_t202" style="width:452.25pt;height:4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" fillcolor="#d8d8d8 [2732]">
                <v:textbox>
                  <w:txbxContent>
                    <w:p w:rsidR="00226B47" w:rsidRPr="00E55511" w:rsidRDefault="00226B47" w:rsidP="00CE55DF">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18</w:t>
                      </w:r>
                      <w:r w:rsidRPr="005E46C2">
                        <w:rPr>
                          <w:rFonts w:ascii="Arial" w:hAnsi="Arial" w:cs="Arial"/>
                          <w:sz w:val="22"/>
                          <w:szCs w:val="22"/>
                          <w:highlight w:val="lightGray"/>
                        </w:rPr>
                        <w:t>:</w:t>
                      </w:r>
                      <w:r>
                        <w:rPr>
                          <w:rFonts w:ascii="Arial" w:hAnsi="Arial" w:cs="Arial"/>
                          <w:sz w:val="22"/>
                          <w:szCs w:val="22"/>
                        </w:rPr>
                        <w:t xml:space="preserve"> </w:t>
                      </w:r>
                      <w:r w:rsidRPr="002611FD">
                        <w:rPr>
                          <w:rFonts w:ascii="Arial" w:hAnsi="Arial" w:cs="Arial"/>
                          <w:sz w:val="22"/>
                          <w:szCs w:val="22"/>
                        </w:rPr>
                        <w:t>The OFSC implement</w:t>
                      </w:r>
                      <w:r>
                        <w:rPr>
                          <w:rFonts w:ascii="Arial" w:hAnsi="Arial" w:cs="Arial"/>
                          <w:sz w:val="22"/>
                          <w:szCs w:val="22"/>
                        </w:rPr>
                        <w:t>s</w:t>
                      </w:r>
                      <w:r w:rsidRPr="002611FD">
                        <w:rPr>
                          <w:rFonts w:ascii="Arial" w:hAnsi="Arial" w:cs="Arial"/>
                          <w:sz w:val="22"/>
                          <w:szCs w:val="22"/>
                        </w:rPr>
                        <w:t xml:space="preserve"> and publish</w:t>
                      </w:r>
                      <w:r>
                        <w:rPr>
                          <w:rFonts w:ascii="Arial" w:hAnsi="Arial" w:cs="Arial"/>
                          <w:sz w:val="22"/>
                          <w:szCs w:val="22"/>
                        </w:rPr>
                        <w:t>es</w:t>
                      </w:r>
                      <w:r w:rsidRPr="002611FD">
                        <w:rPr>
                          <w:rFonts w:ascii="Arial" w:hAnsi="Arial" w:cs="Arial"/>
                          <w:sz w:val="22"/>
                          <w:szCs w:val="22"/>
                        </w:rPr>
                        <w:t xml:space="preserve"> an a</w:t>
                      </w:r>
                      <w:r>
                        <w:rPr>
                          <w:rFonts w:ascii="Arial" w:hAnsi="Arial" w:cs="Arial"/>
                          <w:sz w:val="22"/>
                          <w:szCs w:val="22"/>
                        </w:rPr>
                        <w:t>nnual</w:t>
                      </w:r>
                      <w:r w:rsidRPr="002611FD">
                        <w:rPr>
                          <w:rFonts w:ascii="Arial" w:hAnsi="Arial" w:cs="Arial"/>
                          <w:sz w:val="22"/>
                          <w:szCs w:val="22"/>
                        </w:rPr>
                        <w:t xml:space="preserve"> survey of accredited companies that gathers Scheme-related safety and cost-benefit data, and feedback on FSO/OFSC performance.</w:t>
                      </w:r>
                    </w:p>
                  </w:txbxContent>
                </v:textbox>
                <w10:anchorlock/>
              </v:shape>
            </w:pict>
          </mc:Fallback>
        </mc:AlternateContent>
      </w:r>
    </w:p>
    <w:p w:rsidR="002729A4" w:rsidRDefault="002729A4" w:rsidP="007B5A3A">
      <w:pPr>
        <w:rPr>
          <w:rFonts w:ascii="Arial" w:hAnsi="Arial" w:cs="Arial"/>
          <w:sz w:val="22"/>
          <w:szCs w:val="22"/>
        </w:rPr>
      </w:pPr>
    </w:p>
    <w:p w:rsidR="00751567" w:rsidRPr="007B5A3A" w:rsidRDefault="00751567" w:rsidP="007B5A3A">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0BBA7811" wp14:editId="0B9CD316">
                <wp:extent cx="5743575" cy="809625"/>
                <wp:effectExtent l="0" t="0" r="28575" b="2857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9625"/>
                        </a:xfrm>
                        <a:prstGeom prst="rect">
                          <a:avLst/>
                        </a:prstGeom>
                        <a:solidFill>
                          <a:schemeClr val="bg1">
                            <a:lumMod val="85000"/>
                          </a:schemeClr>
                        </a:solidFill>
                        <a:ln w="9525">
                          <a:solidFill>
                            <a:srgbClr val="000000"/>
                          </a:solidFill>
                          <a:miter lim="800000"/>
                          <a:headEnd/>
                          <a:tailEnd/>
                        </a:ln>
                      </wps:spPr>
                      <wps:txbx>
                        <w:txbxContent>
                          <w:p w:rsidR="00226B47" w:rsidRPr="00AB0007" w:rsidRDefault="00226B47" w:rsidP="0075156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19</w:t>
                            </w:r>
                            <w:r w:rsidRPr="005E46C2">
                              <w:rPr>
                                <w:rFonts w:ascii="Arial" w:hAnsi="Arial" w:cs="Arial"/>
                                <w:sz w:val="22"/>
                                <w:szCs w:val="22"/>
                                <w:highlight w:val="lightGray"/>
                              </w:rPr>
                              <w:t>:</w:t>
                            </w:r>
                            <w:r>
                              <w:rPr>
                                <w:rFonts w:ascii="Arial" w:hAnsi="Arial" w:cs="Arial"/>
                                <w:sz w:val="22"/>
                                <w:szCs w:val="22"/>
                              </w:rPr>
                              <w:t xml:space="preserve"> </w:t>
                            </w:r>
                            <w:r w:rsidRPr="00640841">
                              <w:rPr>
                                <w:rFonts w:ascii="Arial" w:hAnsi="Arial" w:cs="Arial"/>
                                <w:sz w:val="22"/>
                                <w:szCs w:val="22"/>
                              </w:rPr>
                              <w:t>The OFSC, in conjunction with stakeholders, implement</w:t>
                            </w:r>
                            <w:r>
                              <w:rPr>
                                <w:rFonts w:ascii="Arial" w:hAnsi="Arial" w:cs="Arial"/>
                                <w:sz w:val="22"/>
                                <w:szCs w:val="22"/>
                              </w:rPr>
                              <w:t>s</w:t>
                            </w:r>
                            <w:r w:rsidRPr="00640841">
                              <w:rPr>
                                <w:rFonts w:ascii="Arial" w:hAnsi="Arial" w:cs="Arial"/>
                                <w:sz w:val="22"/>
                                <w:szCs w:val="22"/>
                              </w:rPr>
                              <w:t xml:space="preserve"> enhanced arrangements to further monitor and improve the quality and consistency of FSO auditing performance</w:t>
                            </w:r>
                            <w:r>
                              <w:rPr>
                                <w:rFonts w:ascii="Arial" w:hAnsi="Arial" w:cs="Arial"/>
                                <w:sz w:val="22"/>
                                <w:szCs w:val="22"/>
                              </w:rPr>
                              <w:t>, including the way in which FSOs are engaged by the Department</w:t>
                            </w:r>
                            <w:r w:rsidRPr="00640841">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0BBA7811" id="_x0000_s1044" type="#_x0000_t202" style="width:452.25pt;height: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" fillcolor="#d8d8d8 [2732]">
                <v:textbox>
                  <w:txbxContent>
                    <w:p w:rsidR="00226B47" w:rsidRPr="00AB0007" w:rsidRDefault="00226B47" w:rsidP="00751567">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19</w:t>
                      </w:r>
                      <w:r w:rsidRPr="005E46C2">
                        <w:rPr>
                          <w:rFonts w:ascii="Arial" w:hAnsi="Arial" w:cs="Arial"/>
                          <w:sz w:val="22"/>
                          <w:szCs w:val="22"/>
                          <w:highlight w:val="lightGray"/>
                        </w:rPr>
                        <w:t>:</w:t>
                      </w:r>
                      <w:r>
                        <w:rPr>
                          <w:rFonts w:ascii="Arial" w:hAnsi="Arial" w:cs="Arial"/>
                          <w:sz w:val="22"/>
                          <w:szCs w:val="22"/>
                        </w:rPr>
                        <w:t xml:space="preserve"> </w:t>
                      </w:r>
                      <w:r w:rsidRPr="00640841">
                        <w:rPr>
                          <w:rFonts w:ascii="Arial" w:hAnsi="Arial" w:cs="Arial"/>
                          <w:sz w:val="22"/>
                          <w:szCs w:val="22"/>
                        </w:rPr>
                        <w:t>The OFSC, in conjunction with stakeholders, implement</w:t>
                      </w:r>
                      <w:r>
                        <w:rPr>
                          <w:rFonts w:ascii="Arial" w:hAnsi="Arial" w:cs="Arial"/>
                          <w:sz w:val="22"/>
                          <w:szCs w:val="22"/>
                        </w:rPr>
                        <w:t>s</w:t>
                      </w:r>
                      <w:r w:rsidRPr="00640841">
                        <w:rPr>
                          <w:rFonts w:ascii="Arial" w:hAnsi="Arial" w:cs="Arial"/>
                          <w:sz w:val="22"/>
                          <w:szCs w:val="22"/>
                        </w:rPr>
                        <w:t xml:space="preserve"> enhanced arrangements to further monitor and improve the quality and consistency of FSO auditing performance</w:t>
                      </w:r>
                      <w:r>
                        <w:rPr>
                          <w:rFonts w:ascii="Arial" w:hAnsi="Arial" w:cs="Arial"/>
                          <w:sz w:val="22"/>
                          <w:szCs w:val="22"/>
                        </w:rPr>
                        <w:t>, including the way in which FSOs are engaged by the Department</w:t>
                      </w:r>
                      <w:r w:rsidRPr="00640841">
                        <w:rPr>
                          <w:rFonts w:ascii="Arial" w:hAnsi="Arial" w:cs="Arial"/>
                          <w:sz w:val="22"/>
                          <w:szCs w:val="22"/>
                        </w:rPr>
                        <w:t>.</w:t>
                      </w:r>
                    </w:p>
                  </w:txbxContent>
                </v:textbox>
                <w10:anchorlock/>
              </v:shape>
            </w:pict>
          </mc:Fallback>
        </mc:AlternateContent>
      </w:r>
    </w:p>
    <w:p w:rsidR="00CE55DF" w:rsidRDefault="00CE55DF">
      <w:bookmarkStart w:id="49" w:name="_Toc382816482"/>
    </w:p>
    <w:p w:rsidR="001F12D8" w:rsidRDefault="001F12D8"/>
    <w:p w:rsidR="00CE55DF" w:rsidRPr="00197B5B" w:rsidRDefault="00CE55DF" w:rsidP="00F32CB5">
      <w:pPr>
        <w:pStyle w:val="Heading2"/>
      </w:pPr>
      <w:bookmarkStart w:id="50" w:name="_Toc390429531"/>
      <w:r w:rsidRPr="00197B5B">
        <w:t>Regular reviews of the Scheme</w:t>
      </w:r>
      <w:bookmarkEnd w:id="50"/>
    </w:p>
    <w:p w:rsidR="00CE55DF" w:rsidRPr="00197B5B" w:rsidRDefault="00CE55DF" w:rsidP="00CE55DF">
      <w:pPr>
        <w:rPr>
          <w:b/>
        </w:rPr>
      </w:pPr>
    </w:p>
    <w:p w:rsidR="00CE55DF" w:rsidRPr="00197B5B" w:rsidRDefault="00264515" w:rsidP="00CE55DF">
      <w:pPr>
        <w:rPr>
          <w:rFonts w:ascii="Arial" w:hAnsi="Arial" w:cs="Arial"/>
          <w:sz w:val="22"/>
          <w:szCs w:val="22"/>
        </w:rPr>
      </w:pPr>
      <w:r>
        <w:rPr>
          <w:rFonts w:ascii="Arial" w:hAnsi="Arial" w:cs="Arial"/>
          <w:sz w:val="22"/>
          <w:szCs w:val="22"/>
        </w:rPr>
        <w:t>T</w:t>
      </w:r>
      <w:r w:rsidR="00CE55DF">
        <w:rPr>
          <w:rFonts w:ascii="Arial" w:hAnsi="Arial" w:cs="Arial"/>
          <w:sz w:val="22"/>
          <w:szCs w:val="22"/>
        </w:rPr>
        <w:t>his Review has offered an opportunity for key stakeholders to provide suggestions and feedback to the F</w:t>
      </w:r>
      <w:r w:rsidR="00FD2ED6">
        <w:rPr>
          <w:rFonts w:ascii="Arial" w:hAnsi="Arial" w:cs="Arial"/>
          <w:sz w:val="22"/>
          <w:szCs w:val="22"/>
        </w:rPr>
        <w:t>SC</w:t>
      </w:r>
      <w:r w:rsidR="00CE55DF">
        <w:rPr>
          <w:rFonts w:ascii="Arial" w:hAnsi="Arial" w:cs="Arial"/>
          <w:sz w:val="22"/>
          <w:szCs w:val="22"/>
        </w:rPr>
        <w:t xml:space="preserve"> </w:t>
      </w:r>
      <w:r w:rsidR="0067617F">
        <w:rPr>
          <w:rFonts w:ascii="Arial" w:hAnsi="Arial" w:cs="Arial"/>
          <w:sz w:val="22"/>
          <w:szCs w:val="22"/>
        </w:rPr>
        <w:t xml:space="preserve">and </w:t>
      </w:r>
      <w:r w:rsidR="003C68EC">
        <w:rPr>
          <w:rFonts w:ascii="Arial" w:hAnsi="Arial" w:cs="Arial"/>
          <w:sz w:val="22"/>
          <w:szCs w:val="22"/>
        </w:rPr>
        <w:t xml:space="preserve">the </w:t>
      </w:r>
      <w:r w:rsidR="0067617F">
        <w:rPr>
          <w:rFonts w:ascii="Arial" w:hAnsi="Arial" w:cs="Arial"/>
          <w:sz w:val="22"/>
          <w:szCs w:val="22"/>
        </w:rPr>
        <w:t xml:space="preserve">Government generally </w:t>
      </w:r>
      <w:r w:rsidR="00CE55DF">
        <w:rPr>
          <w:rFonts w:ascii="Arial" w:hAnsi="Arial" w:cs="Arial"/>
          <w:sz w:val="22"/>
          <w:szCs w:val="22"/>
        </w:rPr>
        <w:t xml:space="preserve">on how to improve the Scheme. </w:t>
      </w:r>
    </w:p>
    <w:p w:rsidR="00CE55DF" w:rsidRPr="00197B5B" w:rsidRDefault="00CE55DF" w:rsidP="00CE55DF">
      <w:pPr>
        <w:rPr>
          <w:rFonts w:ascii="Arial" w:hAnsi="Arial" w:cs="Arial"/>
          <w:sz w:val="22"/>
          <w:szCs w:val="22"/>
        </w:rPr>
      </w:pPr>
    </w:p>
    <w:p w:rsidR="00B55A9C" w:rsidRDefault="00B55A9C" w:rsidP="00B55A9C">
      <w:pPr>
        <w:rPr>
          <w:rFonts w:ascii="Arial" w:hAnsi="Arial" w:cs="Arial"/>
          <w:sz w:val="22"/>
          <w:szCs w:val="22"/>
        </w:rPr>
      </w:pPr>
      <w:r>
        <w:rPr>
          <w:rFonts w:ascii="Arial" w:hAnsi="Arial" w:cs="Arial"/>
          <w:sz w:val="22"/>
          <w:szCs w:val="22"/>
        </w:rPr>
        <w:t xml:space="preserve">While not widely highlighted as an issue, </w:t>
      </w:r>
      <w:r w:rsidRPr="00197B5B">
        <w:rPr>
          <w:rFonts w:ascii="Arial" w:hAnsi="Arial" w:cs="Arial"/>
          <w:sz w:val="22"/>
          <w:szCs w:val="22"/>
        </w:rPr>
        <w:t>a regular review of the Scheme on an ongoing basis</w:t>
      </w:r>
      <w:r w:rsidRPr="00197B5B" w:rsidDel="00A254BE">
        <w:rPr>
          <w:rFonts w:ascii="Arial" w:hAnsi="Arial" w:cs="Arial"/>
          <w:sz w:val="22"/>
          <w:szCs w:val="22"/>
        </w:rPr>
        <w:t xml:space="preserve"> </w:t>
      </w:r>
      <w:r>
        <w:rPr>
          <w:rFonts w:ascii="Arial" w:hAnsi="Arial" w:cs="Arial"/>
          <w:sz w:val="22"/>
          <w:szCs w:val="22"/>
        </w:rPr>
        <w:t xml:space="preserve">was </w:t>
      </w:r>
      <w:r w:rsidRPr="00197B5B">
        <w:rPr>
          <w:rFonts w:ascii="Arial" w:hAnsi="Arial" w:cs="Arial"/>
          <w:sz w:val="22"/>
          <w:szCs w:val="22"/>
        </w:rPr>
        <w:t xml:space="preserve">advocated </w:t>
      </w:r>
      <w:r>
        <w:rPr>
          <w:rFonts w:ascii="Arial" w:hAnsi="Arial" w:cs="Arial"/>
          <w:sz w:val="22"/>
          <w:szCs w:val="22"/>
        </w:rPr>
        <w:t xml:space="preserve">by </w:t>
      </w:r>
      <w:r w:rsidRPr="00197B5B">
        <w:rPr>
          <w:rFonts w:ascii="Arial" w:hAnsi="Arial" w:cs="Arial"/>
          <w:sz w:val="22"/>
          <w:szCs w:val="22"/>
        </w:rPr>
        <w:t xml:space="preserve">MBA </w:t>
      </w:r>
      <w:r>
        <w:rPr>
          <w:rFonts w:ascii="Arial" w:hAnsi="Arial" w:cs="Arial"/>
          <w:sz w:val="22"/>
          <w:szCs w:val="22"/>
        </w:rPr>
        <w:t xml:space="preserve">in its submission. </w:t>
      </w:r>
    </w:p>
    <w:p w:rsidR="00B55A9C" w:rsidRPr="00197B5B" w:rsidRDefault="00B55A9C" w:rsidP="00B55A9C">
      <w:pPr>
        <w:rPr>
          <w:rFonts w:ascii="Arial" w:hAnsi="Arial" w:cs="Arial"/>
          <w:sz w:val="22"/>
          <w:szCs w:val="22"/>
        </w:rPr>
      </w:pPr>
    </w:p>
    <w:p w:rsidR="00CE55DF" w:rsidRDefault="00CE55DF" w:rsidP="00CE55DF">
      <w:pPr>
        <w:rPr>
          <w:rFonts w:ascii="Arial" w:hAnsi="Arial" w:cs="Arial"/>
          <w:sz w:val="22"/>
          <w:szCs w:val="22"/>
        </w:rPr>
      </w:pPr>
      <w:r>
        <w:rPr>
          <w:rFonts w:ascii="Arial" w:hAnsi="Arial" w:cs="Arial"/>
          <w:sz w:val="22"/>
          <w:szCs w:val="22"/>
        </w:rPr>
        <w:t>As new approaches to implementing</w:t>
      </w:r>
      <w:r w:rsidR="0067617F">
        <w:rPr>
          <w:rFonts w:ascii="Arial" w:hAnsi="Arial" w:cs="Arial"/>
          <w:sz w:val="22"/>
          <w:szCs w:val="22"/>
        </w:rPr>
        <w:t xml:space="preserve"> </w:t>
      </w:r>
      <w:r>
        <w:rPr>
          <w:rFonts w:ascii="Arial" w:hAnsi="Arial" w:cs="Arial"/>
          <w:sz w:val="22"/>
          <w:szCs w:val="22"/>
        </w:rPr>
        <w:t>the Scheme are developed out of this Review’s recommendations, t</w:t>
      </w:r>
      <w:r w:rsidRPr="00197B5B">
        <w:rPr>
          <w:rFonts w:ascii="Arial" w:hAnsi="Arial" w:cs="Arial"/>
          <w:sz w:val="22"/>
          <w:szCs w:val="22"/>
        </w:rPr>
        <w:t xml:space="preserve">here is benefit to be gained </w:t>
      </w:r>
      <w:r>
        <w:rPr>
          <w:rFonts w:ascii="Arial" w:hAnsi="Arial" w:cs="Arial"/>
          <w:sz w:val="22"/>
          <w:szCs w:val="22"/>
        </w:rPr>
        <w:t>in</w:t>
      </w:r>
      <w:r w:rsidRPr="00197B5B">
        <w:rPr>
          <w:rFonts w:ascii="Arial" w:hAnsi="Arial" w:cs="Arial"/>
          <w:sz w:val="22"/>
          <w:szCs w:val="22"/>
        </w:rPr>
        <w:t xml:space="preserve"> </w:t>
      </w:r>
      <w:r>
        <w:rPr>
          <w:rFonts w:ascii="Arial" w:hAnsi="Arial" w:cs="Arial"/>
          <w:sz w:val="22"/>
          <w:szCs w:val="22"/>
        </w:rPr>
        <w:t>regularly evaluating its effectiveness and utility, r</w:t>
      </w:r>
      <w:r w:rsidRPr="00197B5B">
        <w:rPr>
          <w:rFonts w:ascii="Arial" w:hAnsi="Arial" w:cs="Arial"/>
          <w:sz w:val="22"/>
          <w:szCs w:val="22"/>
        </w:rPr>
        <w:t xml:space="preserve">egularly re-visiting the Scheme’s administration, </w:t>
      </w:r>
      <w:r>
        <w:rPr>
          <w:rFonts w:ascii="Arial" w:hAnsi="Arial" w:cs="Arial"/>
          <w:sz w:val="22"/>
          <w:szCs w:val="22"/>
        </w:rPr>
        <w:t>and ensuring its relevance.</w:t>
      </w:r>
      <w:r w:rsidRPr="00197B5B">
        <w:rPr>
          <w:rFonts w:ascii="Arial" w:hAnsi="Arial" w:cs="Arial"/>
          <w:sz w:val="22"/>
          <w:szCs w:val="22"/>
        </w:rPr>
        <w:t xml:space="preserve"> </w:t>
      </w:r>
    </w:p>
    <w:p w:rsidR="00CE55DF" w:rsidRPr="00197B5B" w:rsidRDefault="00CE55DF" w:rsidP="00CE55DF">
      <w:pPr>
        <w:rPr>
          <w:rFonts w:ascii="Arial" w:hAnsi="Arial" w:cs="Arial"/>
          <w:sz w:val="22"/>
          <w:szCs w:val="22"/>
        </w:rPr>
      </w:pPr>
    </w:p>
    <w:p w:rsidR="008525D8" w:rsidRPr="00A60F1C" w:rsidRDefault="00CE55DF">
      <w:r w:rsidRPr="00AE0108">
        <w:rPr>
          <w:noProof/>
        </w:rPr>
        <mc:AlternateContent>
          <mc:Choice Requires="wps">
            <w:drawing>
              <wp:inline distT="0" distB="0" distL="0" distR="0" wp14:anchorId="3875EFA0" wp14:editId="1F769309">
                <wp:extent cx="5743575" cy="323850"/>
                <wp:effectExtent l="0" t="0" r="28575" b="19050"/>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323850"/>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CE55DF">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20</w:t>
                            </w:r>
                            <w:r w:rsidRPr="005E46C2">
                              <w:rPr>
                                <w:rFonts w:ascii="Arial" w:hAnsi="Arial" w:cs="Arial"/>
                                <w:sz w:val="22"/>
                                <w:szCs w:val="22"/>
                                <w:highlight w:val="lightGray"/>
                              </w:rPr>
                              <w:t>:</w:t>
                            </w:r>
                            <w:r>
                              <w:rPr>
                                <w:rFonts w:ascii="Arial" w:hAnsi="Arial" w:cs="Arial"/>
                                <w:sz w:val="22"/>
                                <w:szCs w:val="22"/>
                              </w:rPr>
                              <w:t xml:space="preserve"> </w:t>
                            </w:r>
                            <w:r w:rsidRPr="005C4851">
                              <w:rPr>
                                <w:rFonts w:ascii="Arial" w:hAnsi="Arial" w:cs="Arial"/>
                                <w:sz w:val="22"/>
                                <w:szCs w:val="22"/>
                              </w:rPr>
                              <w:t>The Scheme be reviewed at least every five years.</w:t>
                            </w:r>
                          </w:p>
                        </w:txbxContent>
                      </wps:txbx>
                      <wps:bodyPr rot="0" vert="horz" wrap="square" lIns="91440" tIns="45720" rIns="91440" bIns="45720" anchor="ctr" anchorCtr="0">
                        <a:noAutofit/>
                      </wps:bodyPr>
                    </wps:wsp>
                  </a:graphicData>
                </a:graphic>
              </wp:inline>
            </w:drawing>
          </mc:Choice>
          <mc:Fallback>
            <w:pict>
              <v:shape w14:anchorId="3875EFA0" id="_x0000_s1045" type="#_x0000_t202" style="width:452.2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" fillcolor="#d8d8d8 [2732]">
                <v:textbox>
                  <w:txbxContent>
                    <w:p w:rsidR="00226B47" w:rsidRPr="00E55511" w:rsidRDefault="00226B47" w:rsidP="00CE55DF">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20</w:t>
                      </w:r>
                      <w:r w:rsidRPr="005E46C2">
                        <w:rPr>
                          <w:rFonts w:ascii="Arial" w:hAnsi="Arial" w:cs="Arial"/>
                          <w:sz w:val="22"/>
                          <w:szCs w:val="22"/>
                          <w:highlight w:val="lightGray"/>
                        </w:rPr>
                        <w:t>:</w:t>
                      </w:r>
                      <w:r>
                        <w:rPr>
                          <w:rFonts w:ascii="Arial" w:hAnsi="Arial" w:cs="Arial"/>
                          <w:sz w:val="22"/>
                          <w:szCs w:val="22"/>
                        </w:rPr>
                        <w:t xml:space="preserve"> </w:t>
                      </w:r>
                      <w:r w:rsidRPr="005C4851">
                        <w:rPr>
                          <w:rFonts w:ascii="Arial" w:hAnsi="Arial" w:cs="Arial"/>
                          <w:sz w:val="22"/>
                          <w:szCs w:val="22"/>
                        </w:rPr>
                        <w:t>The Scheme be reviewed at least every five years.</w:t>
                      </w:r>
                    </w:p>
                  </w:txbxContent>
                </v:textbox>
                <w10:anchorlock/>
              </v:shape>
            </w:pict>
          </mc:Fallback>
        </mc:AlternateContent>
      </w:r>
      <w:bookmarkStart w:id="51" w:name="_Toc390429532"/>
    </w:p>
    <w:p w:rsidR="007B5A3A" w:rsidRPr="008D6B85" w:rsidRDefault="00751567" w:rsidP="00B01E1D">
      <w:pPr>
        <w:pStyle w:val="Heading1"/>
        <w:rPr>
          <w:color w:val="FF0000"/>
        </w:rPr>
      </w:pPr>
      <w:r>
        <w:t xml:space="preserve">Australian Government </w:t>
      </w:r>
      <w:r w:rsidR="007B5A3A" w:rsidRPr="007B5A3A">
        <w:t>Agencies</w:t>
      </w:r>
      <w:bookmarkEnd w:id="49"/>
      <w:bookmarkEnd w:id="51"/>
      <w:r w:rsidR="008D6B85">
        <w:t xml:space="preserve"> </w:t>
      </w:r>
    </w:p>
    <w:p w:rsidR="00EE5A81" w:rsidRDefault="00EE5A81" w:rsidP="00EE5A81"/>
    <w:p w:rsidR="00EE5A81" w:rsidRPr="00EE5A81" w:rsidRDefault="00EE5A81" w:rsidP="00EE5A81">
      <w:pPr>
        <w:rPr>
          <w:rFonts w:ascii="Arial" w:hAnsi="Arial" w:cs="Arial"/>
          <w:sz w:val="22"/>
          <w:szCs w:val="22"/>
        </w:rPr>
      </w:pPr>
      <w:r w:rsidRPr="00EE5A81">
        <w:rPr>
          <w:rFonts w:ascii="Arial" w:hAnsi="Arial" w:cs="Arial"/>
          <w:sz w:val="22"/>
          <w:szCs w:val="22"/>
        </w:rPr>
        <w:t xml:space="preserve">The biggest incentive of the Scheme is the benefit to be gained by becoming accredited and being able to secure </w:t>
      </w:r>
      <w:r w:rsidR="00D15D83">
        <w:rPr>
          <w:rFonts w:ascii="Arial" w:hAnsi="Arial" w:cs="Arial"/>
          <w:sz w:val="22"/>
          <w:szCs w:val="22"/>
        </w:rPr>
        <w:t>Commonwealth Government fund</w:t>
      </w:r>
      <w:r w:rsidRPr="00EE5A81">
        <w:rPr>
          <w:rFonts w:ascii="Arial" w:hAnsi="Arial" w:cs="Arial"/>
          <w:sz w:val="22"/>
          <w:szCs w:val="22"/>
        </w:rPr>
        <w:t xml:space="preserve">ed building work. Funding agencies play a vital role in ensuring that their procurement processes reflect the requirements of the Scheme and therefore meet the Government’s agenda to use its purchasing power to improve safety in the building and construction industry. </w:t>
      </w:r>
    </w:p>
    <w:p w:rsidR="00EE5A81" w:rsidRP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 OFSC established the </w:t>
      </w:r>
      <w:r w:rsidR="00751567">
        <w:rPr>
          <w:rFonts w:ascii="Arial" w:hAnsi="Arial" w:cs="Arial"/>
          <w:sz w:val="22"/>
          <w:szCs w:val="22"/>
        </w:rPr>
        <w:t>AGARG</w:t>
      </w:r>
      <w:r w:rsidR="00A9033E">
        <w:rPr>
          <w:rFonts w:ascii="Arial" w:hAnsi="Arial" w:cs="Arial"/>
          <w:sz w:val="22"/>
          <w:szCs w:val="22"/>
        </w:rPr>
        <w:t xml:space="preserve"> </w:t>
      </w:r>
      <w:r w:rsidRPr="00EE5A81">
        <w:rPr>
          <w:rFonts w:ascii="Arial" w:hAnsi="Arial" w:cs="Arial"/>
          <w:sz w:val="22"/>
          <w:szCs w:val="22"/>
        </w:rPr>
        <w:t xml:space="preserve">early in the implementation of the Scheme to </w:t>
      </w:r>
      <w:r w:rsidR="00AB5E29">
        <w:rPr>
          <w:rFonts w:ascii="Arial" w:hAnsi="Arial" w:cs="Arial"/>
          <w:sz w:val="22"/>
          <w:szCs w:val="22"/>
        </w:rPr>
        <w:t xml:space="preserve">help </w:t>
      </w:r>
      <w:r w:rsidR="00AE0108">
        <w:rPr>
          <w:rFonts w:ascii="Arial" w:hAnsi="Arial" w:cs="Arial"/>
          <w:sz w:val="22"/>
          <w:szCs w:val="22"/>
        </w:rPr>
        <w:t xml:space="preserve">relevant </w:t>
      </w:r>
      <w:r w:rsidRPr="00EE5A81">
        <w:rPr>
          <w:rFonts w:ascii="Arial" w:hAnsi="Arial" w:cs="Arial"/>
          <w:sz w:val="22"/>
          <w:szCs w:val="22"/>
        </w:rPr>
        <w:t xml:space="preserve">agencies to understand the Scheme and </w:t>
      </w:r>
      <w:r w:rsidR="00751567">
        <w:rPr>
          <w:rFonts w:ascii="Arial" w:hAnsi="Arial" w:cs="Arial"/>
          <w:sz w:val="22"/>
          <w:szCs w:val="22"/>
        </w:rPr>
        <w:t xml:space="preserve">to </w:t>
      </w:r>
      <w:r w:rsidRPr="00EE5A81">
        <w:rPr>
          <w:rFonts w:ascii="Arial" w:hAnsi="Arial" w:cs="Arial"/>
          <w:sz w:val="22"/>
          <w:szCs w:val="22"/>
        </w:rPr>
        <w:t>better deliver projects, safely, on time and on budget. The AG</w:t>
      </w:r>
      <w:r w:rsidR="00AB5E29">
        <w:rPr>
          <w:rFonts w:ascii="Arial" w:hAnsi="Arial" w:cs="Arial"/>
          <w:sz w:val="22"/>
          <w:szCs w:val="22"/>
        </w:rPr>
        <w:t xml:space="preserve">ARG </w:t>
      </w:r>
      <w:r w:rsidRPr="00EE5A81">
        <w:rPr>
          <w:rFonts w:ascii="Arial" w:hAnsi="Arial" w:cs="Arial"/>
          <w:sz w:val="22"/>
          <w:szCs w:val="22"/>
        </w:rPr>
        <w:t>also provides a forum where issues</w:t>
      </w:r>
      <w:r w:rsidR="00AE0108">
        <w:rPr>
          <w:rFonts w:ascii="Arial" w:hAnsi="Arial" w:cs="Arial"/>
          <w:sz w:val="22"/>
          <w:szCs w:val="22"/>
        </w:rPr>
        <w:t>, for example</w:t>
      </w:r>
      <w:r w:rsidRPr="00EE5A81">
        <w:rPr>
          <w:rFonts w:ascii="Arial" w:hAnsi="Arial" w:cs="Arial"/>
          <w:sz w:val="22"/>
          <w:szCs w:val="22"/>
        </w:rPr>
        <w:t xml:space="preserve"> any resource implications of the Scheme, improvement strategies and possible synergies across agencies</w:t>
      </w:r>
      <w:r w:rsidR="00AE0108">
        <w:rPr>
          <w:rFonts w:ascii="Arial" w:hAnsi="Arial" w:cs="Arial"/>
          <w:sz w:val="22"/>
          <w:szCs w:val="22"/>
        </w:rPr>
        <w:t>,</w:t>
      </w:r>
      <w:r w:rsidRPr="00EE5A81">
        <w:rPr>
          <w:rFonts w:ascii="Arial" w:hAnsi="Arial" w:cs="Arial"/>
          <w:sz w:val="22"/>
          <w:szCs w:val="22"/>
        </w:rPr>
        <w:t xml:space="preserve"> can be discussed.</w:t>
      </w:r>
    </w:p>
    <w:p w:rsidR="00EE5A81" w:rsidRPr="00EE5A81" w:rsidRDefault="00EE5A81" w:rsidP="00EE5A81">
      <w:pPr>
        <w:rPr>
          <w:rFonts w:ascii="Arial" w:hAnsi="Arial" w:cs="Arial"/>
          <w:sz w:val="22"/>
          <w:szCs w:val="22"/>
        </w:rPr>
      </w:pPr>
    </w:p>
    <w:p w:rsidR="00462E2C" w:rsidRDefault="00EE5A81" w:rsidP="00EE5A81">
      <w:pPr>
        <w:rPr>
          <w:rFonts w:ascii="Arial" w:hAnsi="Arial" w:cs="Arial"/>
          <w:sz w:val="22"/>
          <w:szCs w:val="22"/>
        </w:rPr>
      </w:pPr>
      <w:r w:rsidRPr="00EE5A81">
        <w:rPr>
          <w:rFonts w:ascii="Arial" w:hAnsi="Arial" w:cs="Arial"/>
          <w:sz w:val="22"/>
          <w:szCs w:val="22"/>
        </w:rPr>
        <w:t>The OFSC has</w:t>
      </w:r>
      <w:r w:rsidR="001844A5">
        <w:rPr>
          <w:rFonts w:ascii="Arial" w:hAnsi="Arial" w:cs="Arial"/>
          <w:sz w:val="22"/>
          <w:szCs w:val="22"/>
        </w:rPr>
        <w:t xml:space="preserve"> also</w:t>
      </w:r>
      <w:r w:rsidRPr="00EE5A81">
        <w:rPr>
          <w:rFonts w:ascii="Arial" w:hAnsi="Arial" w:cs="Arial"/>
          <w:sz w:val="22"/>
          <w:szCs w:val="22"/>
        </w:rPr>
        <w:t xml:space="preserve"> initiated a range of activities to </w:t>
      </w:r>
      <w:r w:rsidR="001844A5">
        <w:rPr>
          <w:rFonts w:ascii="Arial" w:hAnsi="Arial" w:cs="Arial"/>
          <w:sz w:val="22"/>
          <w:szCs w:val="22"/>
        </w:rPr>
        <w:t xml:space="preserve">encourage </w:t>
      </w:r>
      <w:r w:rsidRPr="00EE5A81">
        <w:rPr>
          <w:rFonts w:ascii="Arial" w:hAnsi="Arial" w:cs="Arial"/>
          <w:sz w:val="22"/>
          <w:szCs w:val="22"/>
        </w:rPr>
        <w:t xml:space="preserve">agencies </w:t>
      </w:r>
      <w:r w:rsidR="001844A5">
        <w:rPr>
          <w:rFonts w:ascii="Arial" w:hAnsi="Arial" w:cs="Arial"/>
          <w:sz w:val="22"/>
          <w:szCs w:val="22"/>
        </w:rPr>
        <w:t>to adopt optimal practices in terms of WHS, that is</w:t>
      </w:r>
      <w:r w:rsidR="00B55A9C">
        <w:rPr>
          <w:rFonts w:ascii="Arial" w:hAnsi="Arial" w:cs="Arial"/>
          <w:sz w:val="22"/>
          <w:szCs w:val="22"/>
        </w:rPr>
        <w:t>,</w:t>
      </w:r>
      <w:r w:rsidR="001844A5">
        <w:rPr>
          <w:rFonts w:ascii="Arial" w:hAnsi="Arial" w:cs="Arial"/>
          <w:sz w:val="22"/>
          <w:szCs w:val="22"/>
        </w:rPr>
        <w:t xml:space="preserve"> </w:t>
      </w:r>
      <w:r w:rsidR="00462E2C">
        <w:rPr>
          <w:rFonts w:ascii="Arial" w:hAnsi="Arial" w:cs="Arial"/>
          <w:sz w:val="22"/>
          <w:szCs w:val="22"/>
        </w:rPr>
        <w:t xml:space="preserve">to </w:t>
      </w:r>
      <w:r w:rsidR="001844A5">
        <w:rPr>
          <w:rFonts w:ascii="Arial" w:hAnsi="Arial" w:cs="Arial"/>
          <w:sz w:val="22"/>
          <w:szCs w:val="22"/>
        </w:rPr>
        <w:t>encourag</w:t>
      </w:r>
      <w:r w:rsidR="00462E2C">
        <w:rPr>
          <w:rFonts w:ascii="Arial" w:hAnsi="Arial" w:cs="Arial"/>
          <w:sz w:val="22"/>
          <w:szCs w:val="22"/>
        </w:rPr>
        <w:t>e</w:t>
      </w:r>
      <w:r w:rsidR="001844A5">
        <w:rPr>
          <w:rFonts w:ascii="Arial" w:hAnsi="Arial" w:cs="Arial"/>
          <w:sz w:val="22"/>
          <w:szCs w:val="22"/>
        </w:rPr>
        <w:t xml:space="preserve"> them to act as ‘</w:t>
      </w:r>
      <w:r w:rsidR="00B55A9C">
        <w:rPr>
          <w:rFonts w:ascii="Arial" w:hAnsi="Arial" w:cs="Arial"/>
          <w:sz w:val="22"/>
          <w:szCs w:val="22"/>
        </w:rPr>
        <w:t>m</w:t>
      </w:r>
      <w:r w:rsidR="001844A5">
        <w:rPr>
          <w:rFonts w:ascii="Arial" w:hAnsi="Arial" w:cs="Arial"/>
          <w:sz w:val="22"/>
          <w:szCs w:val="22"/>
        </w:rPr>
        <w:t xml:space="preserve">odel </w:t>
      </w:r>
      <w:r w:rsidR="00B55A9C">
        <w:rPr>
          <w:rFonts w:ascii="Arial" w:hAnsi="Arial" w:cs="Arial"/>
          <w:sz w:val="22"/>
          <w:szCs w:val="22"/>
        </w:rPr>
        <w:t>c</w:t>
      </w:r>
      <w:r w:rsidR="001844A5">
        <w:rPr>
          <w:rFonts w:ascii="Arial" w:hAnsi="Arial" w:cs="Arial"/>
          <w:sz w:val="22"/>
          <w:szCs w:val="22"/>
        </w:rPr>
        <w:t>lients’ relative to WHS.</w:t>
      </w:r>
      <w:r w:rsidR="004D2E88">
        <w:rPr>
          <w:rFonts w:ascii="Arial" w:hAnsi="Arial" w:cs="Arial"/>
          <w:sz w:val="22"/>
          <w:szCs w:val="22"/>
        </w:rPr>
        <w:t xml:space="preserve"> </w:t>
      </w:r>
      <w:r w:rsidR="001844A5">
        <w:rPr>
          <w:rFonts w:ascii="Arial" w:hAnsi="Arial" w:cs="Arial"/>
          <w:sz w:val="22"/>
          <w:szCs w:val="22"/>
        </w:rPr>
        <w:t xml:space="preserve">To enable agencies to achieve this best practice, a set of resources </w:t>
      </w:r>
      <w:r w:rsidR="00462E2C">
        <w:rPr>
          <w:rFonts w:ascii="Arial" w:hAnsi="Arial" w:cs="Arial"/>
          <w:sz w:val="22"/>
          <w:szCs w:val="22"/>
        </w:rPr>
        <w:t>h</w:t>
      </w:r>
      <w:r w:rsidR="001844A5">
        <w:rPr>
          <w:rFonts w:ascii="Arial" w:hAnsi="Arial" w:cs="Arial"/>
          <w:sz w:val="22"/>
          <w:szCs w:val="22"/>
        </w:rPr>
        <w:t xml:space="preserve">as </w:t>
      </w:r>
      <w:r w:rsidR="00462E2C">
        <w:rPr>
          <w:rFonts w:ascii="Arial" w:hAnsi="Arial" w:cs="Arial"/>
          <w:sz w:val="22"/>
          <w:szCs w:val="22"/>
        </w:rPr>
        <w:t xml:space="preserve">been </w:t>
      </w:r>
      <w:r w:rsidR="001844A5">
        <w:rPr>
          <w:rFonts w:ascii="Arial" w:hAnsi="Arial" w:cs="Arial"/>
          <w:sz w:val="22"/>
          <w:szCs w:val="22"/>
        </w:rPr>
        <w:t>developed, including instruction, tools and guidance for how agencies could adopt optimal WHS practices in different stages of their construction procurement and delivery of projects.</w:t>
      </w:r>
      <w:r w:rsidR="004D2E88">
        <w:rPr>
          <w:rFonts w:ascii="Arial" w:hAnsi="Arial" w:cs="Arial"/>
          <w:sz w:val="22"/>
          <w:szCs w:val="22"/>
        </w:rPr>
        <w:t xml:space="preserve"> </w:t>
      </w:r>
    </w:p>
    <w:p w:rsidR="00462E2C" w:rsidRDefault="00462E2C"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 OFSC works </w:t>
      </w:r>
      <w:r w:rsidR="00751567" w:rsidRPr="00EE5A81">
        <w:rPr>
          <w:rFonts w:ascii="Arial" w:hAnsi="Arial" w:cs="Arial"/>
          <w:sz w:val="22"/>
          <w:szCs w:val="22"/>
        </w:rPr>
        <w:t xml:space="preserve">actively </w:t>
      </w:r>
      <w:r w:rsidRPr="00EE5A81">
        <w:rPr>
          <w:rFonts w:ascii="Arial" w:hAnsi="Arial" w:cs="Arial"/>
          <w:sz w:val="22"/>
          <w:szCs w:val="22"/>
        </w:rPr>
        <w:t xml:space="preserve">with agencies on projects that </w:t>
      </w:r>
      <w:r w:rsidR="001844A5">
        <w:rPr>
          <w:rFonts w:ascii="Arial" w:hAnsi="Arial" w:cs="Arial"/>
          <w:sz w:val="22"/>
          <w:szCs w:val="22"/>
        </w:rPr>
        <w:t xml:space="preserve">adopt these practices to </w:t>
      </w:r>
      <w:r w:rsidRPr="00EE5A81">
        <w:rPr>
          <w:rFonts w:ascii="Arial" w:hAnsi="Arial" w:cs="Arial"/>
          <w:sz w:val="22"/>
          <w:szCs w:val="22"/>
        </w:rPr>
        <w:t xml:space="preserve">highlight different aspects of </w:t>
      </w:r>
      <w:r w:rsidR="001844A5">
        <w:rPr>
          <w:rFonts w:ascii="Arial" w:hAnsi="Arial" w:cs="Arial"/>
          <w:sz w:val="22"/>
          <w:szCs w:val="22"/>
        </w:rPr>
        <w:t xml:space="preserve">good </w:t>
      </w:r>
      <w:r w:rsidRPr="00EE5A81">
        <w:rPr>
          <w:rFonts w:ascii="Arial" w:hAnsi="Arial" w:cs="Arial"/>
          <w:sz w:val="22"/>
          <w:szCs w:val="22"/>
        </w:rPr>
        <w:t>WHS</w:t>
      </w:r>
      <w:r w:rsidR="001844A5">
        <w:rPr>
          <w:rFonts w:ascii="Arial" w:hAnsi="Arial" w:cs="Arial"/>
          <w:sz w:val="22"/>
          <w:szCs w:val="22"/>
        </w:rPr>
        <w:t xml:space="preserve"> management as exemplars for other agencies</w:t>
      </w:r>
      <w:r w:rsidRPr="00EE5A81">
        <w:rPr>
          <w:rFonts w:ascii="Arial" w:hAnsi="Arial" w:cs="Arial"/>
          <w:sz w:val="22"/>
          <w:szCs w:val="22"/>
        </w:rPr>
        <w:t>. Agencies are also able to access expert advice on projects associated with the model client initiative</w:t>
      </w:r>
      <w:r w:rsidR="00A40070">
        <w:rPr>
          <w:rFonts w:ascii="Arial" w:hAnsi="Arial" w:cs="Arial"/>
          <w:sz w:val="22"/>
          <w:szCs w:val="22"/>
        </w:rPr>
        <w:t xml:space="preserve">, </w:t>
      </w:r>
      <w:r w:rsidRPr="00EE5A81">
        <w:rPr>
          <w:rFonts w:ascii="Arial" w:hAnsi="Arial" w:cs="Arial"/>
          <w:sz w:val="22"/>
          <w:szCs w:val="22"/>
        </w:rPr>
        <w:t xml:space="preserve">which may lead to </w:t>
      </w:r>
      <w:r w:rsidR="001844A5">
        <w:rPr>
          <w:rFonts w:ascii="Arial" w:hAnsi="Arial" w:cs="Arial"/>
          <w:sz w:val="22"/>
          <w:szCs w:val="22"/>
        </w:rPr>
        <w:t>further</w:t>
      </w:r>
      <w:r w:rsidR="001844A5" w:rsidRPr="00EE5A81">
        <w:rPr>
          <w:rFonts w:ascii="Arial" w:hAnsi="Arial" w:cs="Arial"/>
          <w:sz w:val="22"/>
          <w:szCs w:val="22"/>
        </w:rPr>
        <w:t xml:space="preserve"> </w:t>
      </w:r>
      <w:r w:rsidRPr="00EE5A81">
        <w:rPr>
          <w:rFonts w:ascii="Arial" w:hAnsi="Arial" w:cs="Arial"/>
          <w:sz w:val="22"/>
          <w:szCs w:val="22"/>
        </w:rPr>
        <w:t>increase</w:t>
      </w:r>
      <w:r w:rsidR="001844A5">
        <w:rPr>
          <w:rFonts w:ascii="Arial" w:hAnsi="Arial" w:cs="Arial"/>
          <w:sz w:val="22"/>
          <w:szCs w:val="22"/>
        </w:rPr>
        <w:t>s</w:t>
      </w:r>
      <w:r w:rsidRPr="00EE5A81">
        <w:rPr>
          <w:rFonts w:ascii="Arial" w:hAnsi="Arial" w:cs="Arial"/>
          <w:sz w:val="22"/>
          <w:szCs w:val="22"/>
        </w:rPr>
        <w:t xml:space="preserve"> in agencies’ understanding and management of WHS.</w:t>
      </w:r>
    </w:p>
    <w:p w:rsidR="00EE5A81" w:rsidRPr="00EE5A81" w:rsidRDefault="00EE5A81" w:rsidP="00EE5A81">
      <w:pPr>
        <w:rPr>
          <w:rFonts w:ascii="Arial" w:hAnsi="Arial" w:cs="Arial"/>
          <w:sz w:val="22"/>
          <w:szCs w:val="22"/>
        </w:rPr>
      </w:pPr>
    </w:p>
    <w:p w:rsidR="00EE5A81" w:rsidRPr="00EE5A81" w:rsidRDefault="001844A5" w:rsidP="00EE5A81">
      <w:pPr>
        <w:rPr>
          <w:rFonts w:ascii="Arial" w:hAnsi="Arial" w:cs="Arial"/>
          <w:sz w:val="22"/>
          <w:szCs w:val="22"/>
        </w:rPr>
      </w:pPr>
      <w:r>
        <w:rPr>
          <w:rFonts w:ascii="Arial" w:hAnsi="Arial" w:cs="Arial"/>
          <w:sz w:val="22"/>
          <w:szCs w:val="22"/>
        </w:rPr>
        <w:t>Despite the active work of the OFSC to educate agencies, s</w:t>
      </w:r>
      <w:r w:rsidR="00EE5A81" w:rsidRPr="00EE5A81">
        <w:rPr>
          <w:rFonts w:ascii="Arial" w:hAnsi="Arial" w:cs="Arial"/>
          <w:sz w:val="22"/>
          <w:szCs w:val="22"/>
        </w:rPr>
        <w:t>ome have experienced difficulties in adhering to the requirements of the Scheme. Most commonly, agency representatives involved in procurement processes are</w:t>
      </w:r>
      <w:r w:rsidR="00462E2C">
        <w:rPr>
          <w:rFonts w:ascii="Arial" w:hAnsi="Arial" w:cs="Arial"/>
          <w:sz w:val="22"/>
          <w:szCs w:val="22"/>
        </w:rPr>
        <w:t xml:space="preserve"> </w:t>
      </w:r>
      <w:r w:rsidR="00EE5A81" w:rsidRPr="00EE5A81">
        <w:rPr>
          <w:rFonts w:ascii="Arial" w:hAnsi="Arial" w:cs="Arial"/>
          <w:sz w:val="22"/>
          <w:szCs w:val="22"/>
        </w:rPr>
        <w:t>unaware of the Scheme requirements</w:t>
      </w:r>
      <w:r>
        <w:rPr>
          <w:rFonts w:ascii="Arial" w:hAnsi="Arial" w:cs="Arial"/>
          <w:sz w:val="22"/>
          <w:szCs w:val="22"/>
        </w:rPr>
        <w:t xml:space="preserve"> due to high staff turnover or confusion </w:t>
      </w:r>
      <w:r w:rsidR="00462E2C">
        <w:rPr>
          <w:rFonts w:ascii="Arial" w:hAnsi="Arial" w:cs="Arial"/>
          <w:sz w:val="22"/>
          <w:szCs w:val="22"/>
        </w:rPr>
        <w:t>about</w:t>
      </w:r>
      <w:r>
        <w:rPr>
          <w:rFonts w:ascii="Arial" w:hAnsi="Arial" w:cs="Arial"/>
          <w:sz w:val="22"/>
          <w:szCs w:val="22"/>
        </w:rPr>
        <w:t xml:space="preserve"> Government procurement requirements</w:t>
      </w:r>
      <w:r w:rsidR="00EE5A81" w:rsidRPr="00EE5A81">
        <w:rPr>
          <w:rFonts w:ascii="Arial" w:hAnsi="Arial" w:cs="Arial"/>
          <w:sz w:val="22"/>
          <w:szCs w:val="22"/>
        </w:rPr>
        <w:t xml:space="preserve">. To assist Government agencies to comply with Scheme requirements, the OFSC has developed a series of </w:t>
      </w:r>
      <w:r w:rsidR="00751567">
        <w:rPr>
          <w:rFonts w:ascii="Arial" w:hAnsi="Arial" w:cs="Arial"/>
          <w:sz w:val="22"/>
          <w:szCs w:val="22"/>
        </w:rPr>
        <w:t>m</w:t>
      </w:r>
      <w:r w:rsidR="00EE5A81" w:rsidRPr="00EE5A81">
        <w:rPr>
          <w:rFonts w:ascii="Arial" w:hAnsi="Arial" w:cs="Arial"/>
          <w:sz w:val="22"/>
          <w:szCs w:val="22"/>
        </w:rPr>
        <w:t xml:space="preserve">odel </w:t>
      </w:r>
      <w:r w:rsidR="00751567">
        <w:rPr>
          <w:rFonts w:ascii="Arial" w:hAnsi="Arial" w:cs="Arial"/>
          <w:sz w:val="22"/>
          <w:szCs w:val="22"/>
        </w:rPr>
        <w:t>c</w:t>
      </w:r>
      <w:r w:rsidR="00EE5A81" w:rsidRPr="00EE5A81">
        <w:rPr>
          <w:rFonts w:ascii="Arial" w:hAnsi="Arial" w:cs="Arial"/>
          <w:sz w:val="22"/>
          <w:szCs w:val="22"/>
        </w:rPr>
        <w:t>lauses that may be included in tender, contract and funding agreement or grant documentation</w:t>
      </w:r>
      <w:r w:rsidR="00462E2C">
        <w:rPr>
          <w:rFonts w:ascii="Arial" w:hAnsi="Arial" w:cs="Arial"/>
          <w:sz w:val="22"/>
          <w:szCs w:val="22"/>
        </w:rPr>
        <w:t>. T</w:t>
      </w:r>
      <w:r w:rsidR="00633678">
        <w:rPr>
          <w:rFonts w:ascii="Arial" w:hAnsi="Arial" w:cs="Arial"/>
          <w:sz w:val="22"/>
          <w:szCs w:val="22"/>
        </w:rPr>
        <w:t>he OFSC also meets with different agencies on a regular basis to promote use of the clauses and foster understanding of the Scheme’s requirements</w:t>
      </w:r>
      <w:r w:rsidR="00EE5A81" w:rsidRPr="00EE5A81">
        <w:rPr>
          <w:rFonts w:ascii="Arial" w:hAnsi="Arial" w:cs="Arial"/>
          <w:sz w:val="22"/>
          <w:szCs w:val="22"/>
        </w:rPr>
        <w:t xml:space="preserve">. </w:t>
      </w:r>
    </w:p>
    <w:p w:rsidR="00EE5A81" w:rsidRP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There have been instances where agencies have entered into a contract for building work with an unaccredited builder. Where there has been non-compliance with Scheme requirements, an explanation </w:t>
      </w:r>
      <w:r w:rsidR="00D15D83">
        <w:rPr>
          <w:rFonts w:ascii="Arial" w:hAnsi="Arial" w:cs="Arial"/>
          <w:sz w:val="22"/>
          <w:szCs w:val="22"/>
        </w:rPr>
        <w:t>was</w:t>
      </w:r>
      <w:r w:rsidRPr="00EE5A81">
        <w:rPr>
          <w:rFonts w:ascii="Arial" w:hAnsi="Arial" w:cs="Arial"/>
          <w:sz w:val="22"/>
          <w:szCs w:val="22"/>
        </w:rPr>
        <w:t xml:space="preserve"> sought from the funding agency. If a satisfactory response </w:t>
      </w:r>
      <w:r w:rsidR="00D15D83">
        <w:rPr>
          <w:rFonts w:ascii="Arial" w:hAnsi="Arial" w:cs="Arial"/>
          <w:sz w:val="22"/>
          <w:szCs w:val="22"/>
        </w:rPr>
        <w:t>was</w:t>
      </w:r>
      <w:r w:rsidRPr="00EE5A81">
        <w:rPr>
          <w:rFonts w:ascii="Arial" w:hAnsi="Arial" w:cs="Arial"/>
          <w:sz w:val="22"/>
          <w:szCs w:val="22"/>
        </w:rPr>
        <w:t xml:space="preserve"> not forthcoming, the issue </w:t>
      </w:r>
      <w:r w:rsidR="00D15D83">
        <w:rPr>
          <w:rFonts w:ascii="Arial" w:hAnsi="Arial" w:cs="Arial"/>
          <w:sz w:val="22"/>
          <w:szCs w:val="22"/>
        </w:rPr>
        <w:t>was</w:t>
      </w:r>
      <w:r w:rsidRPr="00EE5A81">
        <w:rPr>
          <w:rFonts w:ascii="Arial" w:hAnsi="Arial" w:cs="Arial"/>
          <w:sz w:val="22"/>
          <w:szCs w:val="22"/>
        </w:rPr>
        <w:t xml:space="preserve"> raised to departmental head and Ministerial levels. </w:t>
      </w:r>
    </w:p>
    <w:p w:rsidR="00EE5A81" w:rsidRP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Funding recipients or agencies have occasionally split a single head contract for building work into two or more head contracts below the $3 million threshold. In a number of </w:t>
      </w:r>
      <w:r w:rsidR="00462E2C">
        <w:rPr>
          <w:rFonts w:ascii="Arial" w:hAnsi="Arial" w:cs="Arial"/>
          <w:sz w:val="22"/>
          <w:szCs w:val="22"/>
        </w:rPr>
        <w:t>cases</w:t>
      </w:r>
      <w:r w:rsidRPr="00EE5A81">
        <w:rPr>
          <w:rFonts w:ascii="Arial" w:hAnsi="Arial" w:cs="Arial"/>
          <w:sz w:val="22"/>
          <w:szCs w:val="22"/>
        </w:rPr>
        <w:t xml:space="preserve">, the same builder </w:t>
      </w:r>
      <w:r w:rsidR="00A40070">
        <w:rPr>
          <w:rFonts w:ascii="Arial" w:hAnsi="Arial" w:cs="Arial"/>
          <w:sz w:val="22"/>
          <w:szCs w:val="22"/>
        </w:rPr>
        <w:t>has</w:t>
      </w:r>
      <w:r w:rsidR="000B75C9">
        <w:rPr>
          <w:rFonts w:ascii="Arial" w:hAnsi="Arial" w:cs="Arial"/>
          <w:sz w:val="22"/>
          <w:szCs w:val="22"/>
        </w:rPr>
        <w:t xml:space="preserve"> been</w:t>
      </w:r>
      <w:r w:rsidRPr="00EE5A81">
        <w:rPr>
          <w:rFonts w:ascii="Arial" w:hAnsi="Arial" w:cs="Arial"/>
          <w:sz w:val="22"/>
          <w:szCs w:val="22"/>
        </w:rPr>
        <w:t xml:space="preserve"> engaged to undertake all of the resulting contracts. </w:t>
      </w:r>
    </w:p>
    <w:p w:rsidR="00EE5A81" w:rsidRPr="00EE5A81" w:rsidRDefault="00EE5A81" w:rsidP="00EE5A81">
      <w:pPr>
        <w:rPr>
          <w:rFonts w:ascii="Arial" w:hAnsi="Arial" w:cs="Arial"/>
          <w:sz w:val="22"/>
          <w:szCs w:val="22"/>
        </w:rPr>
      </w:pPr>
    </w:p>
    <w:p w:rsidR="00EE5A81" w:rsidRDefault="00EE5A81" w:rsidP="00EE5A81">
      <w:pPr>
        <w:rPr>
          <w:rFonts w:ascii="Arial" w:hAnsi="Arial" w:cs="Arial"/>
          <w:sz w:val="22"/>
          <w:szCs w:val="22"/>
        </w:rPr>
      </w:pPr>
      <w:r w:rsidRPr="00EE5A81">
        <w:rPr>
          <w:rFonts w:ascii="Arial" w:hAnsi="Arial" w:cs="Arial"/>
          <w:sz w:val="22"/>
          <w:szCs w:val="22"/>
        </w:rPr>
        <w:t>Where there is a perception of contract</w:t>
      </w:r>
      <w:r w:rsidR="00462E2C">
        <w:rPr>
          <w:rFonts w:ascii="Arial" w:hAnsi="Arial" w:cs="Arial"/>
          <w:sz w:val="22"/>
          <w:szCs w:val="22"/>
        </w:rPr>
        <w:t>-</w:t>
      </w:r>
      <w:r w:rsidRPr="00EE5A81">
        <w:rPr>
          <w:rFonts w:ascii="Arial" w:hAnsi="Arial" w:cs="Arial"/>
          <w:sz w:val="22"/>
          <w:szCs w:val="22"/>
        </w:rPr>
        <w:t>splitting to avoid Scheme requirements, the OFSC work</w:t>
      </w:r>
      <w:r w:rsidR="005C73C6">
        <w:rPr>
          <w:rFonts w:ascii="Arial" w:hAnsi="Arial" w:cs="Arial"/>
          <w:sz w:val="22"/>
          <w:szCs w:val="22"/>
        </w:rPr>
        <w:t>s</w:t>
      </w:r>
      <w:r w:rsidRPr="00EE5A81">
        <w:rPr>
          <w:rFonts w:ascii="Arial" w:hAnsi="Arial" w:cs="Arial"/>
          <w:sz w:val="22"/>
          <w:szCs w:val="22"/>
        </w:rPr>
        <w:t xml:space="preserve"> to clarify the situation </w:t>
      </w:r>
      <w:r w:rsidR="00A40070">
        <w:rPr>
          <w:rFonts w:ascii="Arial" w:hAnsi="Arial" w:cs="Arial"/>
          <w:sz w:val="22"/>
          <w:szCs w:val="22"/>
        </w:rPr>
        <w:t>by</w:t>
      </w:r>
      <w:r w:rsidR="00A40070" w:rsidRPr="00EE5A81">
        <w:rPr>
          <w:rFonts w:ascii="Arial" w:hAnsi="Arial" w:cs="Arial"/>
          <w:sz w:val="22"/>
          <w:szCs w:val="22"/>
        </w:rPr>
        <w:t xml:space="preserve"> </w:t>
      </w:r>
      <w:r w:rsidRPr="00EE5A81">
        <w:rPr>
          <w:rFonts w:ascii="Arial" w:hAnsi="Arial" w:cs="Arial"/>
          <w:sz w:val="22"/>
          <w:szCs w:val="22"/>
        </w:rPr>
        <w:t>work</w:t>
      </w:r>
      <w:r w:rsidR="00A40070">
        <w:rPr>
          <w:rFonts w:ascii="Arial" w:hAnsi="Arial" w:cs="Arial"/>
          <w:sz w:val="22"/>
          <w:szCs w:val="22"/>
        </w:rPr>
        <w:t>ing</w:t>
      </w:r>
      <w:r w:rsidRPr="00EE5A81">
        <w:rPr>
          <w:rFonts w:ascii="Arial" w:hAnsi="Arial" w:cs="Arial"/>
          <w:sz w:val="22"/>
          <w:szCs w:val="22"/>
        </w:rPr>
        <w:t xml:space="preserve"> with the agency to ensure Scheme requirements are understood</w:t>
      </w:r>
      <w:r w:rsidR="005C73C6">
        <w:rPr>
          <w:rFonts w:ascii="Arial" w:hAnsi="Arial" w:cs="Arial"/>
          <w:sz w:val="22"/>
          <w:szCs w:val="22"/>
        </w:rPr>
        <w:t>,</w:t>
      </w:r>
      <w:r w:rsidRPr="00EE5A81">
        <w:rPr>
          <w:rFonts w:ascii="Arial" w:hAnsi="Arial" w:cs="Arial"/>
          <w:sz w:val="22"/>
          <w:szCs w:val="22"/>
        </w:rPr>
        <w:t xml:space="preserve"> and with companies to encourage and assist them in the accreditation process. </w:t>
      </w:r>
    </w:p>
    <w:p w:rsidR="00EE5A81" w:rsidRPr="00EE5A81" w:rsidRDefault="00EE5A81" w:rsidP="00EE5A81">
      <w:pPr>
        <w:rPr>
          <w:rFonts w:ascii="Arial" w:hAnsi="Arial" w:cs="Arial"/>
          <w:sz w:val="22"/>
          <w:szCs w:val="22"/>
        </w:rPr>
      </w:pPr>
    </w:p>
    <w:p w:rsidR="008E5E53" w:rsidRPr="008E5E53" w:rsidRDefault="008E5E53" w:rsidP="008E5E53">
      <w:pPr>
        <w:rPr>
          <w:rFonts w:ascii="Arial" w:hAnsi="Arial" w:cs="Arial"/>
          <w:sz w:val="22"/>
          <w:szCs w:val="22"/>
        </w:rPr>
      </w:pPr>
      <w:r w:rsidRPr="008E5E53">
        <w:rPr>
          <w:rFonts w:ascii="Arial" w:hAnsi="Arial" w:cs="Arial"/>
          <w:sz w:val="22"/>
          <w:szCs w:val="22"/>
        </w:rPr>
        <w:t>ACA and A</w:t>
      </w:r>
      <w:r w:rsidR="008D6B85">
        <w:rPr>
          <w:rFonts w:ascii="Arial" w:hAnsi="Arial" w:cs="Arial"/>
          <w:sz w:val="22"/>
          <w:szCs w:val="22"/>
        </w:rPr>
        <w:t xml:space="preserve">i </w:t>
      </w:r>
      <w:r w:rsidRPr="008E5E53">
        <w:rPr>
          <w:rFonts w:ascii="Arial" w:hAnsi="Arial" w:cs="Arial"/>
          <w:sz w:val="22"/>
          <w:szCs w:val="22"/>
        </w:rPr>
        <w:t>G</w:t>
      </w:r>
      <w:r w:rsidR="008D6B85">
        <w:rPr>
          <w:rFonts w:ascii="Arial" w:hAnsi="Arial" w:cs="Arial"/>
          <w:sz w:val="22"/>
          <w:szCs w:val="22"/>
        </w:rPr>
        <w:t>roup</w:t>
      </w:r>
      <w:r w:rsidRPr="008E5E53">
        <w:rPr>
          <w:rFonts w:ascii="Arial" w:hAnsi="Arial" w:cs="Arial"/>
          <w:sz w:val="22"/>
          <w:szCs w:val="22"/>
        </w:rPr>
        <w:t xml:space="preserve"> advocated a proactive approach from </w:t>
      </w:r>
      <w:r w:rsidR="005C73C6">
        <w:rPr>
          <w:rFonts w:ascii="Arial" w:hAnsi="Arial" w:cs="Arial"/>
          <w:sz w:val="22"/>
          <w:szCs w:val="22"/>
        </w:rPr>
        <w:t xml:space="preserve">the </w:t>
      </w:r>
      <w:r w:rsidRPr="008E5E53">
        <w:rPr>
          <w:rFonts w:ascii="Arial" w:hAnsi="Arial" w:cs="Arial"/>
          <w:sz w:val="22"/>
          <w:szCs w:val="22"/>
        </w:rPr>
        <w:t>OFSC to educate agencies on their obligations. Other stakeholders</w:t>
      </w:r>
      <w:r w:rsidR="005C73C6">
        <w:rPr>
          <w:rFonts w:ascii="Arial" w:hAnsi="Arial" w:cs="Arial"/>
          <w:sz w:val="22"/>
          <w:szCs w:val="22"/>
        </w:rPr>
        <w:t>,</w:t>
      </w:r>
      <w:r w:rsidRPr="008E5E53">
        <w:rPr>
          <w:rFonts w:ascii="Arial" w:hAnsi="Arial" w:cs="Arial"/>
          <w:sz w:val="22"/>
          <w:szCs w:val="22"/>
        </w:rPr>
        <w:t xml:space="preserve"> including MBA and ACTU</w:t>
      </w:r>
      <w:r w:rsidR="005C73C6">
        <w:rPr>
          <w:rFonts w:ascii="Arial" w:hAnsi="Arial" w:cs="Arial"/>
          <w:sz w:val="22"/>
          <w:szCs w:val="22"/>
        </w:rPr>
        <w:t>,</w:t>
      </w:r>
      <w:r w:rsidRPr="008E5E53">
        <w:rPr>
          <w:rFonts w:ascii="Arial" w:hAnsi="Arial" w:cs="Arial"/>
          <w:sz w:val="22"/>
          <w:szCs w:val="22"/>
        </w:rPr>
        <w:t xml:space="preserve"> noted the need to better manage compliance with Scheme requirements, specifically citing contract</w:t>
      </w:r>
      <w:r w:rsidR="000D3483">
        <w:rPr>
          <w:rFonts w:ascii="Arial" w:hAnsi="Arial" w:cs="Arial"/>
          <w:sz w:val="22"/>
          <w:szCs w:val="22"/>
        </w:rPr>
        <w:t>-</w:t>
      </w:r>
      <w:r w:rsidRPr="008E5E53">
        <w:rPr>
          <w:rFonts w:ascii="Arial" w:hAnsi="Arial" w:cs="Arial"/>
          <w:sz w:val="22"/>
          <w:szCs w:val="22"/>
        </w:rPr>
        <w:t xml:space="preserve">splitting as a main concern. </w:t>
      </w:r>
      <w:r w:rsidR="009B37DC">
        <w:rPr>
          <w:rFonts w:ascii="Arial" w:hAnsi="Arial" w:cs="Arial"/>
          <w:sz w:val="22"/>
          <w:szCs w:val="22"/>
        </w:rPr>
        <w:t xml:space="preserve">Ai Group suggested that the OFSC should seek industry feedback on Government agency performance. Most stakeholders expressed significant concerns about splitting contracts where the intent is to avoid Scheme requirements. </w:t>
      </w:r>
    </w:p>
    <w:p w:rsidR="008E5E53" w:rsidRPr="008E5E53" w:rsidRDefault="008E5E53" w:rsidP="008E5E53">
      <w:pPr>
        <w:rPr>
          <w:rFonts w:ascii="Arial" w:hAnsi="Arial" w:cs="Arial"/>
          <w:sz w:val="22"/>
          <w:szCs w:val="22"/>
        </w:rPr>
      </w:pPr>
    </w:p>
    <w:p w:rsidR="000D3483" w:rsidRDefault="008E5E53" w:rsidP="008E5E53">
      <w:pPr>
        <w:rPr>
          <w:rFonts w:ascii="Arial" w:hAnsi="Arial" w:cs="Arial"/>
          <w:sz w:val="22"/>
          <w:szCs w:val="22"/>
        </w:rPr>
      </w:pPr>
      <w:r w:rsidRPr="008E5E53">
        <w:rPr>
          <w:rFonts w:ascii="Arial" w:hAnsi="Arial" w:cs="Arial"/>
          <w:sz w:val="22"/>
          <w:szCs w:val="22"/>
        </w:rPr>
        <w:t>Agencies have noted similar concerns during discussions with the</w:t>
      </w:r>
      <w:r w:rsidR="00E41FC9">
        <w:rPr>
          <w:rFonts w:ascii="Arial" w:hAnsi="Arial" w:cs="Arial"/>
          <w:sz w:val="22"/>
          <w:szCs w:val="22"/>
        </w:rPr>
        <w:t xml:space="preserve"> OFSC</w:t>
      </w:r>
      <w:r w:rsidRPr="008E5E53">
        <w:rPr>
          <w:rFonts w:ascii="Arial" w:hAnsi="Arial" w:cs="Arial"/>
          <w:sz w:val="22"/>
          <w:szCs w:val="22"/>
        </w:rPr>
        <w:t xml:space="preserve">. </w:t>
      </w:r>
      <w:r w:rsidR="00CD6768">
        <w:rPr>
          <w:rFonts w:ascii="Arial" w:hAnsi="Arial" w:cs="Arial"/>
          <w:sz w:val="22"/>
          <w:szCs w:val="22"/>
        </w:rPr>
        <w:t>T</w:t>
      </w:r>
      <w:r w:rsidRPr="008E5E53">
        <w:rPr>
          <w:rFonts w:ascii="Arial" w:hAnsi="Arial" w:cs="Arial"/>
          <w:sz w:val="22"/>
          <w:szCs w:val="22"/>
        </w:rPr>
        <w:t>he OFSC</w:t>
      </w:r>
      <w:r w:rsidR="00AB5E29">
        <w:rPr>
          <w:rFonts w:ascii="Arial" w:hAnsi="Arial" w:cs="Arial"/>
          <w:sz w:val="22"/>
          <w:szCs w:val="22"/>
        </w:rPr>
        <w:t xml:space="preserve"> is conducting </w:t>
      </w:r>
      <w:r w:rsidR="00CD6768">
        <w:rPr>
          <w:rFonts w:ascii="Arial" w:hAnsi="Arial" w:cs="Arial"/>
          <w:sz w:val="22"/>
          <w:szCs w:val="22"/>
        </w:rPr>
        <w:t>d</w:t>
      </w:r>
      <w:r w:rsidR="00CD6768" w:rsidRPr="008E5E53">
        <w:rPr>
          <w:rFonts w:ascii="Arial" w:hAnsi="Arial" w:cs="Arial"/>
          <w:sz w:val="22"/>
          <w:szCs w:val="22"/>
        </w:rPr>
        <w:t>iscussions</w:t>
      </w:r>
      <w:r w:rsidR="00CD6768">
        <w:rPr>
          <w:rFonts w:ascii="Arial" w:hAnsi="Arial" w:cs="Arial"/>
          <w:sz w:val="22"/>
          <w:szCs w:val="22"/>
        </w:rPr>
        <w:t xml:space="preserve"> </w:t>
      </w:r>
      <w:r w:rsidR="00AB5E29">
        <w:rPr>
          <w:rFonts w:ascii="Arial" w:hAnsi="Arial" w:cs="Arial"/>
          <w:sz w:val="22"/>
          <w:szCs w:val="22"/>
        </w:rPr>
        <w:t xml:space="preserve">with </w:t>
      </w:r>
      <w:r w:rsidR="00CD6768">
        <w:rPr>
          <w:rFonts w:ascii="Arial" w:hAnsi="Arial" w:cs="Arial"/>
          <w:sz w:val="22"/>
          <w:szCs w:val="22"/>
        </w:rPr>
        <w:t xml:space="preserve">the </w:t>
      </w:r>
      <w:r w:rsidR="00AB5E29">
        <w:rPr>
          <w:rFonts w:ascii="Arial" w:hAnsi="Arial" w:cs="Arial"/>
          <w:sz w:val="22"/>
          <w:szCs w:val="22"/>
        </w:rPr>
        <w:t xml:space="preserve">AGARG </w:t>
      </w:r>
      <w:r w:rsidRPr="008E5E53">
        <w:rPr>
          <w:rFonts w:ascii="Arial" w:hAnsi="Arial" w:cs="Arial"/>
          <w:sz w:val="22"/>
          <w:szCs w:val="22"/>
        </w:rPr>
        <w:t>on ways in which agencies can provide advance notice of Scheme projects to enable the OFSC to ensure agencies are made aware of their obligations, and to allow the OFSC to better leverage tender processes to increase the number of accredited companies.</w:t>
      </w:r>
      <w:r>
        <w:rPr>
          <w:rFonts w:ascii="Arial" w:hAnsi="Arial" w:cs="Arial"/>
          <w:sz w:val="22"/>
          <w:szCs w:val="22"/>
        </w:rPr>
        <w:t xml:space="preserve"> </w:t>
      </w:r>
    </w:p>
    <w:p w:rsidR="000D3483" w:rsidRDefault="000D3483" w:rsidP="008E5E53">
      <w:pPr>
        <w:rPr>
          <w:rFonts w:ascii="Arial" w:hAnsi="Arial" w:cs="Arial"/>
          <w:sz w:val="22"/>
          <w:szCs w:val="22"/>
        </w:rPr>
      </w:pPr>
    </w:p>
    <w:p w:rsidR="008E5E53" w:rsidRDefault="000D3483" w:rsidP="008E5E53">
      <w:pPr>
        <w:rPr>
          <w:rFonts w:ascii="Arial" w:hAnsi="Arial" w:cs="Arial"/>
          <w:sz w:val="22"/>
          <w:szCs w:val="22"/>
        </w:rPr>
      </w:pPr>
      <w:r w:rsidRPr="008E5E53">
        <w:rPr>
          <w:rFonts w:ascii="Arial" w:hAnsi="Arial" w:cs="Arial"/>
          <w:sz w:val="22"/>
          <w:szCs w:val="22"/>
        </w:rPr>
        <w:t xml:space="preserve">There are no existing sources </w:t>
      </w:r>
      <w:r w:rsidR="0039409B">
        <w:rPr>
          <w:rFonts w:ascii="Arial" w:hAnsi="Arial" w:cs="Arial"/>
          <w:sz w:val="22"/>
          <w:szCs w:val="22"/>
        </w:rPr>
        <w:t>for</w:t>
      </w:r>
      <w:r w:rsidR="0039409B" w:rsidRPr="008E5E53">
        <w:rPr>
          <w:rFonts w:ascii="Arial" w:hAnsi="Arial" w:cs="Arial"/>
          <w:sz w:val="22"/>
          <w:szCs w:val="22"/>
        </w:rPr>
        <w:t xml:space="preserve"> </w:t>
      </w:r>
      <w:r w:rsidR="0039409B">
        <w:rPr>
          <w:rFonts w:ascii="Arial" w:hAnsi="Arial" w:cs="Arial"/>
          <w:sz w:val="22"/>
          <w:szCs w:val="22"/>
        </w:rPr>
        <w:t xml:space="preserve">this </w:t>
      </w:r>
      <w:r w:rsidRPr="008E5E53">
        <w:rPr>
          <w:rFonts w:ascii="Arial" w:hAnsi="Arial" w:cs="Arial"/>
          <w:sz w:val="22"/>
          <w:szCs w:val="22"/>
        </w:rPr>
        <w:t xml:space="preserve">information </w:t>
      </w:r>
      <w:r w:rsidR="008E5E53" w:rsidRPr="008E5E53">
        <w:rPr>
          <w:rFonts w:ascii="Arial" w:hAnsi="Arial" w:cs="Arial"/>
          <w:sz w:val="22"/>
          <w:szCs w:val="22"/>
        </w:rPr>
        <w:t>currently available to the OFSC</w:t>
      </w:r>
      <w:r w:rsidR="008E5E53">
        <w:rPr>
          <w:rFonts w:ascii="Arial" w:hAnsi="Arial" w:cs="Arial"/>
          <w:sz w:val="22"/>
          <w:szCs w:val="22"/>
        </w:rPr>
        <w:t>,</w:t>
      </w:r>
      <w:r w:rsidR="008E5E53" w:rsidRPr="008E5E53">
        <w:rPr>
          <w:rFonts w:ascii="Arial" w:hAnsi="Arial" w:cs="Arial"/>
          <w:sz w:val="22"/>
          <w:szCs w:val="22"/>
        </w:rPr>
        <w:t xml:space="preserve"> greatly hampering efforts to leverage tender processes to increase the number of accredited builders, and hampering awareness and compliance monitoring efforts. </w:t>
      </w:r>
      <w:r w:rsidR="00D15D83">
        <w:rPr>
          <w:rFonts w:ascii="Arial" w:hAnsi="Arial" w:cs="Arial"/>
          <w:sz w:val="22"/>
          <w:szCs w:val="22"/>
        </w:rPr>
        <w:t>In this context, the following recommendation is made.</w:t>
      </w:r>
    </w:p>
    <w:p w:rsidR="00E55511" w:rsidRDefault="00E55511" w:rsidP="008E5E53">
      <w:pPr>
        <w:rPr>
          <w:rFonts w:ascii="Arial" w:hAnsi="Arial" w:cs="Arial"/>
          <w:sz w:val="22"/>
          <w:szCs w:val="22"/>
        </w:rPr>
      </w:pPr>
    </w:p>
    <w:p w:rsidR="00E55511" w:rsidRDefault="00E55511" w:rsidP="008E5E53">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622DCD7E" wp14:editId="12313D88">
                <wp:extent cx="5743575" cy="809625"/>
                <wp:effectExtent l="0" t="0" r="28575" b="28575"/>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9625"/>
                        </a:xfrm>
                        <a:prstGeom prst="rect">
                          <a:avLst/>
                        </a:prstGeom>
                        <a:solidFill>
                          <a:schemeClr val="bg1">
                            <a:lumMod val="85000"/>
                          </a:schemeClr>
                        </a:solidFill>
                        <a:ln w="9525">
                          <a:solidFill>
                            <a:srgbClr val="000000"/>
                          </a:solidFill>
                          <a:miter lim="800000"/>
                          <a:headEnd/>
                          <a:tailEnd/>
                        </a:ln>
                      </wps:spPr>
                      <wps:txbx>
                        <w:txbxContent>
                          <w:p w:rsidR="00226B47" w:rsidRPr="00F923C5" w:rsidRDefault="00226B47" w:rsidP="00F923C5">
                            <w:pPr>
                              <w:rPr>
                                <w:rFonts w:ascii="Arial" w:hAnsi="Arial" w:cs="Arial"/>
                              </w:rPr>
                            </w:pPr>
                            <w:r w:rsidRPr="00F923C5">
                              <w:rPr>
                                <w:rFonts w:ascii="Arial" w:hAnsi="Arial" w:cs="Arial"/>
                                <w:b/>
                                <w:sz w:val="22"/>
                                <w:szCs w:val="22"/>
                                <w:highlight w:val="lightGray"/>
                              </w:rPr>
                              <w:t>Recommendation 21</w:t>
                            </w:r>
                            <w:r w:rsidRPr="00F923C5">
                              <w:rPr>
                                <w:rFonts w:ascii="Arial" w:hAnsi="Arial" w:cs="Arial"/>
                                <w:sz w:val="22"/>
                                <w:szCs w:val="22"/>
                                <w:highlight w:val="lightGray"/>
                              </w:rPr>
                              <w:t>:</w:t>
                            </w:r>
                            <w:r w:rsidRPr="00F923C5">
                              <w:rPr>
                                <w:rFonts w:ascii="Arial" w:hAnsi="Arial" w:cs="Arial"/>
                                <w:sz w:val="22"/>
                                <w:szCs w:val="22"/>
                              </w:rPr>
                              <w:t xml:space="preserve"> The OFSC works with Government agencies to identify ways in which they are able to provide advice to the OFSC of (a) the nature and location of upcoming Scheme tender processes - at least 3 months in advance, (b) commencement of tender processes and (c) signing of contracts.</w:t>
                            </w:r>
                          </w:p>
                          <w:p w:rsidR="00226B47" w:rsidRPr="00E55511" w:rsidRDefault="00226B47" w:rsidP="00E55511">
                            <w:pPr>
                              <w:rPr>
                                <w:rFonts w:asciiTheme="minorHAnsi" w:hAnsiTheme="minorHAnsi" w:cstheme="minorHAnsi"/>
                              </w:rPr>
                            </w:pPr>
                            <w:r>
                              <w:rPr>
                                <w:rFonts w:ascii="Arial" w:hAnsi="Arial" w:cs="Arial"/>
                                <w:sz w:val="22"/>
                                <w:szCs w:val="22"/>
                              </w:rPr>
                              <w:t>.</w:t>
                            </w:r>
                          </w:p>
                        </w:txbxContent>
                      </wps:txbx>
                      <wps:bodyPr rot="0" vert="horz" wrap="square" lIns="91440" tIns="45720" rIns="91440" bIns="45720" anchor="ctr" anchorCtr="0">
                        <a:noAutofit/>
                      </wps:bodyPr>
                    </wps:wsp>
                  </a:graphicData>
                </a:graphic>
              </wp:inline>
            </w:drawing>
          </mc:Choice>
          <mc:Fallback>
            <w:pict>
              <v:shape w14:anchorId="622DCD7E" id="_x0000_s1046" type="#_x0000_t202" style="width:452.25pt;height:6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" fillcolor="#d8d8d8 [2732]">
                <v:textbox>
                  <w:txbxContent>
                    <w:p w:rsidR="00226B47" w:rsidRPr="00F923C5" w:rsidRDefault="00226B47" w:rsidP="00F923C5">
                      <w:pPr>
                        <w:rPr>
                          <w:rFonts w:ascii="Arial" w:hAnsi="Arial" w:cs="Arial"/>
                        </w:rPr>
                      </w:pPr>
                      <w:r w:rsidRPr="00F923C5">
                        <w:rPr>
                          <w:rFonts w:ascii="Arial" w:hAnsi="Arial" w:cs="Arial"/>
                          <w:b/>
                          <w:sz w:val="22"/>
                          <w:szCs w:val="22"/>
                          <w:highlight w:val="lightGray"/>
                        </w:rPr>
                        <w:t>Recommendation 21</w:t>
                      </w:r>
                      <w:r w:rsidRPr="00F923C5">
                        <w:rPr>
                          <w:rFonts w:ascii="Arial" w:hAnsi="Arial" w:cs="Arial"/>
                          <w:sz w:val="22"/>
                          <w:szCs w:val="22"/>
                          <w:highlight w:val="lightGray"/>
                        </w:rPr>
                        <w:t>:</w:t>
                      </w:r>
                      <w:r w:rsidRPr="00F923C5">
                        <w:rPr>
                          <w:rFonts w:ascii="Arial" w:hAnsi="Arial" w:cs="Arial"/>
                          <w:sz w:val="22"/>
                          <w:szCs w:val="22"/>
                        </w:rPr>
                        <w:t xml:space="preserve"> The OFSC works with Government agencies to identify ways in which they are able to provide advice to the OFSC of (a) the nature and location of upcoming Scheme tender processes - at least 3 months in advance, (b) commencement of tender processes and (c) signing of contracts.</w:t>
                      </w:r>
                    </w:p>
                    <w:p w:rsidR="00226B47" w:rsidRPr="00E55511" w:rsidRDefault="00226B47" w:rsidP="00E55511">
                      <w:pPr>
                        <w:rPr>
                          <w:rFonts w:asciiTheme="minorHAnsi" w:hAnsiTheme="minorHAnsi" w:cstheme="minorHAnsi"/>
                        </w:rPr>
                      </w:pPr>
                      <w:r>
                        <w:rPr>
                          <w:rFonts w:ascii="Arial" w:hAnsi="Arial" w:cs="Arial"/>
                          <w:sz w:val="22"/>
                          <w:szCs w:val="22"/>
                        </w:rPr>
                        <w:t>.</w:t>
                      </w:r>
                    </w:p>
                  </w:txbxContent>
                </v:textbox>
                <w10:anchorlock/>
              </v:shape>
            </w:pict>
          </mc:Fallback>
        </mc:AlternateContent>
      </w:r>
    </w:p>
    <w:p w:rsidR="0034205D" w:rsidRDefault="0034205D" w:rsidP="008525D8">
      <w:bookmarkStart w:id="52" w:name="_Toc382816483"/>
    </w:p>
    <w:p w:rsidR="0034205D" w:rsidRDefault="0034205D" w:rsidP="008525D8"/>
    <w:p w:rsidR="007B5A3A" w:rsidRDefault="007B41AE" w:rsidP="00B01E1D">
      <w:pPr>
        <w:pStyle w:val="Heading1"/>
      </w:pPr>
      <w:bookmarkStart w:id="53" w:name="_Toc390429533"/>
      <w:r>
        <w:t>O</w:t>
      </w:r>
      <w:r w:rsidR="007B5A3A" w:rsidRPr="007B5A3A">
        <w:t xml:space="preserve">ther Jurisdictions’ </w:t>
      </w:r>
      <w:r w:rsidR="00D85434">
        <w:t>Prequalification</w:t>
      </w:r>
      <w:r w:rsidR="007B5A3A" w:rsidRPr="007B5A3A">
        <w:t xml:space="preserve"> requirements</w:t>
      </w:r>
      <w:bookmarkEnd w:id="52"/>
      <w:bookmarkEnd w:id="53"/>
    </w:p>
    <w:p w:rsidR="00EE5A81" w:rsidRDefault="00EE5A81" w:rsidP="00EE5A81"/>
    <w:p w:rsidR="00B04287" w:rsidRDefault="00B04287" w:rsidP="00CD1CE1">
      <w:pPr>
        <w:rPr>
          <w:rFonts w:ascii="Arial" w:hAnsi="Arial" w:cs="Arial"/>
          <w:sz w:val="22"/>
          <w:szCs w:val="22"/>
        </w:rPr>
      </w:pPr>
      <w:r>
        <w:rPr>
          <w:rFonts w:ascii="Arial" w:hAnsi="Arial" w:cs="Arial"/>
          <w:sz w:val="22"/>
          <w:szCs w:val="22"/>
        </w:rPr>
        <w:t xml:space="preserve">There are a multitude of </w:t>
      </w:r>
      <w:r w:rsidR="00D85434">
        <w:rPr>
          <w:rFonts w:ascii="Arial" w:hAnsi="Arial" w:cs="Arial"/>
          <w:sz w:val="22"/>
          <w:szCs w:val="22"/>
        </w:rPr>
        <w:t>prequalification</w:t>
      </w:r>
      <w:r>
        <w:rPr>
          <w:rFonts w:ascii="Arial" w:hAnsi="Arial" w:cs="Arial"/>
          <w:sz w:val="22"/>
          <w:szCs w:val="22"/>
        </w:rPr>
        <w:t xml:space="preserve"> schemes that operate within each state and territory jurisdiction, many of which contain WHS requirements. W</w:t>
      </w:r>
      <w:r w:rsidR="00935623">
        <w:rPr>
          <w:rFonts w:ascii="Arial" w:hAnsi="Arial" w:cs="Arial"/>
          <w:sz w:val="22"/>
          <w:szCs w:val="22"/>
        </w:rPr>
        <w:t xml:space="preserve">ork has </w:t>
      </w:r>
      <w:r w:rsidR="00852A55">
        <w:rPr>
          <w:rFonts w:ascii="Arial" w:hAnsi="Arial" w:cs="Arial"/>
          <w:sz w:val="22"/>
          <w:szCs w:val="22"/>
        </w:rPr>
        <w:t xml:space="preserve">been </w:t>
      </w:r>
      <w:r>
        <w:rPr>
          <w:rFonts w:ascii="Arial" w:hAnsi="Arial" w:cs="Arial"/>
          <w:sz w:val="22"/>
          <w:szCs w:val="22"/>
        </w:rPr>
        <w:t xml:space="preserve">actively </w:t>
      </w:r>
      <w:r w:rsidR="00935623">
        <w:rPr>
          <w:rFonts w:ascii="Arial" w:hAnsi="Arial" w:cs="Arial"/>
          <w:sz w:val="22"/>
          <w:szCs w:val="22"/>
        </w:rPr>
        <w:t>undertaken by the OFSC since the Scheme’s inception</w:t>
      </w:r>
      <w:r w:rsidR="007F5D50">
        <w:rPr>
          <w:rFonts w:ascii="Arial" w:hAnsi="Arial" w:cs="Arial"/>
          <w:sz w:val="22"/>
          <w:szCs w:val="22"/>
        </w:rPr>
        <w:t>,</w:t>
      </w:r>
      <w:r>
        <w:rPr>
          <w:rFonts w:ascii="Arial" w:hAnsi="Arial" w:cs="Arial"/>
          <w:sz w:val="22"/>
          <w:szCs w:val="22"/>
        </w:rPr>
        <w:t xml:space="preserve"> </w:t>
      </w:r>
      <w:r w:rsidR="00935623">
        <w:rPr>
          <w:rFonts w:ascii="Arial" w:hAnsi="Arial" w:cs="Arial"/>
          <w:sz w:val="22"/>
          <w:szCs w:val="22"/>
        </w:rPr>
        <w:t xml:space="preserve">to foster recognition of the Scheme as meeting </w:t>
      </w:r>
      <w:r>
        <w:rPr>
          <w:rFonts w:ascii="Arial" w:hAnsi="Arial" w:cs="Arial"/>
          <w:sz w:val="22"/>
          <w:szCs w:val="22"/>
        </w:rPr>
        <w:t xml:space="preserve">these </w:t>
      </w:r>
      <w:r w:rsidR="00935623">
        <w:rPr>
          <w:rFonts w:ascii="Arial" w:hAnsi="Arial" w:cs="Arial"/>
          <w:sz w:val="22"/>
          <w:szCs w:val="22"/>
        </w:rPr>
        <w:t>state and te</w:t>
      </w:r>
      <w:r>
        <w:rPr>
          <w:rFonts w:ascii="Arial" w:hAnsi="Arial" w:cs="Arial"/>
          <w:sz w:val="22"/>
          <w:szCs w:val="22"/>
        </w:rPr>
        <w:t xml:space="preserve">rritory WHS </w:t>
      </w:r>
      <w:r w:rsidR="00D85434">
        <w:rPr>
          <w:rFonts w:ascii="Arial" w:hAnsi="Arial" w:cs="Arial"/>
          <w:sz w:val="22"/>
          <w:szCs w:val="22"/>
        </w:rPr>
        <w:t>prequalification</w:t>
      </w:r>
      <w:r>
        <w:rPr>
          <w:rFonts w:ascii="Arial" w:hAnsi="Arial" w:cs="Arial"/>
          <w:sz w:val="22"/>
          <w:szCs w:val="22"/>
        </w:rPr>
        <w:t xml:space="preserve"> req</w:t>
      </w:r>
      <w:r w:rsidR="00935623">
        <w:rPr>
          <w:rFonts w:ascii="Arial" w:hAnsi="Arial" w:cs="Arial"/>
          <w:sz w:val="22"/>
          <w:szCs w:val="22"/>
        </w:rPr>
        <w:t>uirements</w:t>
      </w:r>
      <w:r w:rsidR="0039409B">
        <w:rPr>
          <w:rFonts w:ascii="Arial" w:hAnsi="Arial" w:cs="Arial"/>
          <w:sz w:val="22"/>
          <w:szCs w:val="22"/>
        </w:rPr>
        <w:t xml:space="preserve"> </w:t>
      </w:r>
      <w:r>
        <w:rPr>
          <w:rFonts w:ascii="Arial" w:hAnsi="Arial" w:cs="Arial"/>
          <w:sz w:val="22"/>
          <w:szCs w:val="22"/>
        </w:rPr>
        <w:t>in an effort to</w:t>
      </w:r>
      <w:r w:rsidR="00EE5A81" w:rsidRPr="00EE5A81">
        <w:rPr>
          <w:rFonts w:ascii="Arial" w:hAnsi="Arial" w:cs="Arial"/>
          <w:sz w:val="22"/>
          <w:szCs w:val="22"/>
        </w:rPr>
        <w:t xml:space="preserve"> reduce the </w:t>
      </w:r>
      <w:r>
        <w:rPr>
          <w:rFonts w:ascii="Arial" w:hAnsi="Arial" w:cs="Arial"/>
          <w:sz w:val="22"/>
          <w:szCs w:val="22"/>
        </w:rPr>
        <w:t xml:space="preserve">duplicative </w:t>
      </w:r>
      <w:r w:rsidR="00EE5A81" w:rsidRPr="00EE5A81">
        <w:rPr>
          <w:rFonts w:ascii="Arial" w:hAnsi="Arial" w:cs="Arial"/>
          <w:sz w:val="22"/>
          <w:szCs w:val="22"/>
        </w:rPr>
        <w:t>administrative burden for builders</w:t>
      </w:r>
      <w:r>
        <w:rPr>
          <w:rFonts w:ascii="Arial" w:hAnsi="Arial" w:cs="Arial"/>
          <w:sz w:val="22"/>
          <w:szCs w:val="22"/>
        </w:rPr>
        <w:t>.</w:t>
      </w:r>
      <w:r w:rsidR="00EE5A81" w:rsidRPr="00EE5A81">
        <w:rPr>
          <w:rFonts w:ascii="Arial" w:hAnsi="Arial" w:cs="Arial"/>
          <w:sz w:val="22"/>
          <w:szCs w:val="22"/>
        </w:rPr>
        <w:t xml:space="preserve"> </w:t>
      </w:r>
    </w:p>
    <w:p w:rsidR="00B04287" w:rsidRDefault="00B04287" w:rsidP="00CD1CE1">
      <w:pPr>
        <w:rPr>
          <w:rFonts w:ascii="Arial" w:hAnsi="Arial" w:cs="Arial"/>
          <w:sz w:val="22"/>
          <w:szCs w:val="22"/>
        </w:rPr>
      </w:pPr>
    </w:p>
    <w:p w:rsidR="00B04287" w:rsidRDefault="00B04287" w:rsidP="00CD1CE1">
      <w:pPr>
        <w:rPr>
          <w:rFonts w:ascii="Arial" w:hAnsi="Arial" w:cs="Arial"/>
          <w:sz w:val="22"/>
          <w:szCs w:val="22"/>
        </w:rPr>
      </w:pPr>
      <w:r w:rsidRPr="00B04287">
        <w:rPr>
          <w:rFonts w:ascii="Arial" w:hAnsi="Arial" w:cs="Arial"/>
          <w:sz w:val="22"/>
          <w:szCs w:val="22"/>
        </w:rPr>
        <w:t>Duplication of requirements was a theme through many submissions and several of them, including MBA</w:t>
      </w:r>
      <w:r w:rsidR="0039409B">
        <w:rPr>
          <w:rFonts w:ascii="Arial" w:hAnsi="Arial" w:cs="Arial"/>
          <w:sz w:val="22"/>
          <w:szCs w:val="22"/>
        </w:rPr>
        <w:t>’s</w:t>
      </w:r>
      <w:r w:rsidRPr="00B04287">
        <w:rPr>
          <w:rFonts w:ascii="Arial" w:hAnsi="Arial" w:cs="Arial"/>
          <w:sz w:val="22"/>
          <w:szCs w:val="22"/>
        </w:rPr>
        <w:t xml:space="preserve">, supported more alignment with existing </w:t>
      </w:r>
      <w:r w:rsidR="00D85434">
        <w:rPr>
          <w:rFonts w:ascii="Arial" w:hAnsi="Arial" w:cs="Arial"/>
          <w:sz w:val="22"/>
          <w:szCs w:val="22"/>
        </w:rPr>
        <w:t>prequalification</w:t>
      </w:r>
      <w:r w:rsidRPr="00B04287">
        <w:rPr>
          <w:rFonts w:ascii="Arial" w:hAnsi="Arial" w:cs="Arial"/>
          <w:sz w:val="22"/>
          <w:szCs w:val="22"/>
        </w:rPr>
        <w:t xml:space="preserve"> schemes. CCF felt that aligning </w:t>
      </w:r>
      <w:r w:rsidR="0039409B">
        <w:rPr>
          <w:rFonts w:ascii="Arial" w:hAnsi="Arial" w:cs="Arial"/>
          <w:sz w:val="22"/>
          <w:szCs w:val="22"/>
        </w:rPr>
        <w:t xml:space="preserve">the </w:t>
      </w:r>
      <w:r w:rsidRPr="00B04287">
        <w:rPr>
          <w:rFonts w:ascii="Arial" w:hAnsi="Arial" w:cs="Arial"/>
          <w:sz w:val="22"/>
          <w:szCs w:val="22"/>
        </w:rPr>
        <w:t>Scheme</w:t>
      </w:r>
      <w:r w:rsidR="0039409B">
        <w:rPr>
          <w:rFonts w:ascii="Arial" w:hAnsi="Arial" w:cs="Arial"/>
          <w:sz w:val="22"/>
          <w:szCs w:val="22"/>
        </w:rPr>
        <w:t>’s</w:t>
      </w:r>
      <w:r w:rsidRPr="00B04287">
        <w:rPr>
          <w:rFonts w:ascii="Arial" w:hAnsi="Arial" w:cs="Arial"/>
          <w:sz w:val="22"/>
          <w:szCs w:val="22"/>
        </w:rPr>
        <w:t xml:space="preserve"> requirements with those of state and territory </w:t>
      </w:r>
      <w:r w:rsidR="00D85434">
        <w:rPr>
          <w:rFonts w:ascii="Arial" w:hAnsi="Arial" w:cs="Arial"/>
          <w:sz w:val="22"/>
          <w:szCs w:val="22"/>
        </w:rPr>
        <w:t>prequalification</w:t>
      </w:r>
      <w:r w:rsidRPr="00B04287">
        <w:rPr>
          <w:rFonts w:ascii="Arial" w:hAnsi="Arial" w:cs="Arial"/>
          <w:sz w:val="22"/>
          <w:szCs w:val="22"/>
        </w:rPr>
        <w:t xml:space="preserve"> schemes would reduce the audit burden for companies</w:t>
      </w:r>
      <w:r w:rsidR="0039409B">
        <w:rPr>
          <w:rFonts w:ascii="Arial" w:hAnsi="Arial" w:cs="Arial"/>
          <w:sz w:val="22"/>
          <w:szCs w:val="22"/>
        </w:rPr>
        <w:t>,</w:t>
      </w:r>
      <w:r w:rsidRPr="00B04287">
        <w:rPr>
          <w:rFonts w:ascii="Arial" w:hAnsi="Arial" w:cs="Arial"/>
          <w:sz w:val="22"/>
          <w:szCs w:val="22"/>
        </w:rPr>
        <w:t xml:space="preserve"> and </w:t>
      </w:r>
      <w:r w:rsidR="00FD2ED6">
        <w:rPr>
          <w:rFonts w:ascii="Arial" w:hAnsi="Arial" w:cs="Arial"/>
          <w:sz w:val="22"/>
          <w:szCs w:val="22"/>
        </w:rPr>
        <w:t xml:space="preserve">the </w:t>
      </w:r>
      <w:r w:rsidR="00FD2ED6" w:rsidRPr="00304600">
        <w:rPr>
          <w:rFonts w:ascii="Arial" w:hAnsi="Arial" w:cs="Arial"/>
          <w:sz w:val="22"/>
          <w:szCs w:val="22"/>
        </w:rPr>
        <w:t>Australian Chamber of Commerce and Industry</w:t>
      </w:r>
      <w:r w:rsidR="00FD2ED6">
        <w:rPr>
          <w:rFonts w:ascii="Arial" w:hAnsi="Arial" w:cs="Arial"/>
          <w:sz w:val="22"/>
          <w:szCs w:val="22"/>
        </w:rPr>
        <w:t xml:space="preserve"> (</w:t>
      </w:r>
      <w:r w:rsidRPr="00B04287">
        <w:rPr>
          <w:rFonts w:ascii="Arial" w:hAnsi="Arial" w:cs="Arial"/>
          <w:sz w:val="22"/>
          <w:szCs w:val="22"/>
        </w:rPr>
        <w:t>ACCI</w:t>
      </w:r>
      <w:r w:rsidR="00FD2ED6">
        <w:rPr>
          <w:rFonts w:ascii="Arial" w:hAnsi="Arial" w:cs="Arial"/>
          <w:sz w:val="22"/>
          <w:szCs w:val="22"/>
        </w:rPr>
        <w:t>)</w:t>
      </w:r>
      <w:r w:rsidRPr="00B04287">
        <w:rPr>
          <w:rFonts w:ascii="Arial" w:hAnsi="Arial" w:cs="Arial"/>
          <w:sz w:val="22"/>
          <w:szCs w:val="22"/>
        </w:rPr>
        <w:t xml:space="preserve"> suggested stakeholder consultation on this point following the </w:t>
      </w:r>
      <w:r w:rsidR="0039409B">
        <w:rPr>
          <w:rFonts w:ascii="Arial" w:hAnsi="Arial" w:cs="Arial"/>
          <w:sz w:val="22"/>
          <w:szCs w:val="22"/>
        </w:rPr>
        <w:t>R</w:t>
      </w:r>
      <w:r w:rsidRPr="00B04287">
        <w:rPr>
          <w:rFonts w:ascii="Arial" w:hAnsi="Arial" w:cs="Arial"/>
          <w:sz w:val="22"/>
          <w:szCs w:val="22"/>
        </w:rPr>
        <w:t>eview. MBA proposed that the issue of mutual recognition be placed on the C</w:t>
      </w:r>
      <w:r w:rsidR="009C6201">
        <w:rPr>
          <w:rFonts w:ascii="Arial" w:hAnsi="Arial" w:cs="Arial"/>
          <w:sz w:val="22"/>
          <w:szCs w:val="22"/>
        </w:rPr>
        <w:t xml:space="preserve">ouncil of </w:t>
      </w:r>
      <w:r w:rsidRPr="00B04287">
        <w:rPr>
          <w:rFonts w:ascii="Arial" w:hAnsi="Arial" w:cs="Arial"/>
          <w:sz w:val="22"/>
          <w:szCs w:val="22"/>
        </w:rPr>
        <w:t>A</w:t>
      </w:r>
      <w:r w:rsidR="009C6201">
        <w:rPr>
          <w:rFonts w:ascii="Arial" w:hAnsi="Arial" w:cs="Arial"/>
          <w:sz w:val="22"/>
          <w:szCs w:val="22"/>
        </w:rPr>
        <w:t xml:space="preserve">ustralian </w:t>
      </w:r>
      <w:r w:rsidRPr="00B04287">
        <w:rPr>
          <w:rFonts w:ascii="Arial" w:hAnsi="Arial" w:cs="Arial"/>
          <w:sz w:val="22"/>
          <w:szCs w:val="22"/>
        </w:rPr>
        <w:t>G</w:t>
      </w:r>
      <w:r w:rsidR="009C6201">
        <w:rPr>
          <w:rFonts w:ascii="Arial" w:hAnsi="Arial" w:cs="Arial"/>
          <w:sz w:val="22"/>
          <w:szCs w:val="22"/>
        </w:rPr>
        <w:t>overnments (COAG)</w:t>
      </w:r>
      <w:r w:rsidRPr="00B04287">
        <w:rPr>
          <w:rFonts w:ascii="Arial" w:hAnsi="Arial" w:cs="Arial"/>
          <w:sz w:val="22"/>
          <w:szCs w:val="22"/>
        </w:rPr>
        <w:t xml:space="preserve"> Infrastructure Working Group’s agenda to increase the number of state and territory </w:t>
      </w:r>
      <w:r w:rsidR="00D85434">
        <w:rPr>
          <w:rFonts w:ascii="Arial" w:hAnsi="Arial" w:cs="Arial"/>
          <w:sz w:val="22"/>
          <w:szCs w:val="22"/>
        </w:rPr>
        <w:t>prequalification</w:t>
      </w:r>
      <w:r w:rsidRPr="00B04287">
        <w:rPr>
          <w:rFonts w:ascii="Arial" w:hAnsi="Arial" w:cs="Arial"/>
          <w:sz w:val="22"/>
          <w:szCs w:val="22"/>
        </w:rPr>
        <w:t xml:space="preserve"> arrangements that recognise the Scheme as automatically meeting their WHS requirements.</w:t>
      </w:r>
    </w:p>
    <w:p w:rsidR="00B04287" w:rsidRDefault="00B04287" w:rsidP="00CD1CE1">
      <w:pPr>
        <w:rPr>
          <w:rFonts w:ascii="Arial" w:hAnsi="Arial" w:cs="Arial"/>
          <w:sz w:val="22"/>
          <w:szCs w:val="22"/>
        </w:rPr>
      </w:pPr>
    </w:p>
    <w:p w:rsidR="00B04287" w:rsidRDefault="00B04287" w:rsidP="00B04287">
      <w:pPr>
        <w:rPr>
          <w:rFonts w:ascii="Arial" w:hAnsi="Arial" w:cs="Arial"/>
          <w:sz w:val="22"/>
          <w:szCs w:val="22"/>
        </w:rPr>
      </w:pPr>
      <w:r>
        <w:rPr>
          <w:rFonts w:ascii="Arial" w:hAnsi="Arial" w:cs="Arial"/>
          <w:sz w:val="22"/>
          <w:szCs w:val="22"/>
        </w:rPr>
        <w:t xml:space="preserve">Noting that the Scheme’s requirements and processes go beyond any existing </w:t>
      </w:r>
      <w:r w:rsidR="00D85434">
        <w:rPr>
          <w:rFonts w:ascii="Arial" w:hAnsi="Arial" w:cs="Arial"/>
          <w:sz w:val="22"/>
          <w:szCs w:val="22"/>
        </w:rPr>
        <w:t>prequalification</w:t>
      </w:r>
      <w:r>
        <w:rPr>
          <w:rFonts w:ascii="Arial" w:hAnsi="Arial" w:cs="Arial"/>
          <w:sz w:val="22"/>
          <w:szCs w:val="22"/>
        </w:rPr>
        <w:t xml:space="preserve"> arrangements, mutual recognition has not been pursued to this point. However, as noted above, work has been undertaken to ensure the Scheme is recognised as meeting state and territory WHS </w:t>
      </w:r>
      <w:r w:rsidR="00D85434">
        <w:rPr>
          <w:rFonts w:ascii="Arial" w:hAnsi="Arial" w:cs="Arial"/>
          <w:sz w:val="22"/>
          <w:szCs w:val="22"/>
        </w:rPr>
        <w:t>prequalification</w:t>
      </w:r>
      <w:r>
        <w:rPr>
          <w:rFonts w:ascii="Arial" w:hAnsi="Arial" w:cs="Arial"/>
          <w:sz w:val="22"/>
          <w:szCs w:val="22"/>
        </w:rPr>
        <w:t xml:space="preserve"> requirements.</w:t>
      </w:r>
    </w:p>
    <w:p w:rsidR="00B04287" w:rsidRDefault="00B04287" w:rsidP="00B04287">
      <w:pPr>
        <w:rPr>
          <w:rFonts w:ascii="Arial" w:hAnsi="Arial" w:cs="Arial"/>
          <w:sz w:val="22"/>
          <w:szCs w:val="22"/>
        </w:rPr>
      </w:pPr>
    </w:p>
    <w:p w:rsidR="00B04287" w:rsidRPr="00B04287" w:rsidRDefault="00B04287" w:rsidP="00B04287">
      <w:pPr>
        <w:rPr>
          <w:rFonts w:ascii="Arial" w:hAnsi="Arial" w:cs="Arial"/>
          <w:sz w:val="22"/>
          <w:szCs w:val="22"/>
        </w:rPr>
      </w:pPr>
      <w:r>
        <w:rPr>
          <w:rFonts w:ascii="Arial" w:hAnsi="Arial" w:cs="Arial"/>
          <w:sz w:val="22"/>
          <w:szCs w:val="22"/>
        </w:rPr>
        <w:t xml:space="preserve">The issue of duplicative requirements has also been identified at a national level. </w:t>
      </w:r>
      <w:r w:rsidRPr="00B04287">
        <w:rPr>
          <w:rFonts w:ascii="Arial" w:hAnsi="Arial" w:cs="Arial"/>
          <w:sz w:val="22"/>
          <w:szCs w:val="22"/>
        </w:rPr>
        <w:t>I</w:t>
      </w:r>
      <w:r w:rsidR="00852A55">
        <w:rPr>
          <w:rFonts w:ascii="Arial" w:hAnsi="Arial" w:cs="Arial"/>
          <w:sz w:val="22"/>
          <w:szCs w:val="22"/>
        </w:rPr>
        <w:t>n September </w:t>
      </w:r>
      <w:r w:rsidRPr="00B04287">
        <w:rPr>
          <w:rFonts w:ascii="Arial" w:hAnsi="Arial" w:cs="Arial"/>
          <w:sz w:val="22"/>
          <w:szCs w:val="22"/>
        </w:rPr>
        <w:t xml:space="preserve">2009, as part of the </w:t>
      </w:r>
      <w:r w:rsidR="00CC7C8F">
        <w:rPr>
          <w:rFonts w:ascii="Arial" w:hAnsi="Arial" w:cs="Arial"/>
          <w:sz w:val="22"/>
          <w:szCs w:val="22"/>
        </w:rPr>
        <w:t>Government</w:t>
      </w:r>
      <w:r w:rsidRPr="00B04287">
        <w:rPr>
          <w:rFonts w:ascii="Arial" w:hAnsi="Arial" w:cs="Arial"/>
          <w:sz w:val="22"/>
          <w:szCs w:val="22"/>
        </w:rPr>
        <w:t xml:space="preserve">’s micro-economic reform agenda, the Coalition of Australian Governments Infrastructure Working Group (COAG IWG) engaged with relevant stakeholder groups to progress harmonisation of </w:t>
      </w:r>
      <w:r w:rsidR="0039409B">
        <w:rPr>
          <w:rFonts w:ascii="Arial" w:hAnsi="Arial" w:cs="Arial"/>
          <w:sz w:val="22"/>
          <w:szCs w:val="22"/>
        </w:rPr>
        <w:t xml:space="preserve">in </w:t>
      </w:r>
      <w:r w:rsidRPr="00B04287">
        <w:rPr>
          <w:rFonts w:ascii="Arial" w:hAnsi="Arial" w:cs="Arial"/>
          <w:sz w:val="22"/>
          <w:szCs w:val="22"/>
        </w:rPr>
        <w:t xml:space="preserve">a National </w:t>
      </w:r>
      <w:r w:rsidR="00D85434">
        <w:rPr>
          <w:rFonts w:ascii="Arial" w:hAnsi="Arial" w:cs="Arial"/>
          <w:sz w:val="22"/>
          <w:szCs w:val="22"/>
        </w:rPr>
        <w:t>Prequalification</w:t>
      </w:r>
      <w:r w:rsidRPr="00B04287">
        <w:rPr>
          <w:rFonts w:ascii="Arial" w:hAnsi="Arial" w:cs="Arial"/>
          <w:sz w:val="22"/>
          <w:szCs w:val="22"/>
        </w:rPr>
        <w:t xml:space="preserve"> System</w:t>
      </w:r>
      <w:r>
        <w:rPr>
          <w:rFonts w:ascii="Arial" w:hAnsi="Arial" w:cs="Arial"/>
          <w:sz w:val="22"/>
          <w:szCs w:val="22"/>
        </w:rPr>
        <w:t>s</w:t>
      </w:r>
      <w:r w:rsidRPr="00B04287">
        <w:rPr>
          <w:rFonts w:ascii="Arial" w:hAnsi="Arial" w:cs="Arial"/>
          <w:sz w:val="22"/>
          <w:szCs w:val="22"/>
        </w:rPr>
        <w:t xml:space="preserve"> (NPS) in the construction industry, with a view to reducing barriers to entry and additional costs caused by the lack of mutual recognition of </w:t>
      </w:r>
      <w:r w:rsidR="00D85434">
        <w:rPr>
          <w:rFonts w:ascii="Arial" w:hAnsi="Arial" w:cs="Arial"/>
          <w:sz w:val="22"/>
          <w:szCs w:val="22"/>
        </w:rPr>
        <w:t>prequalification</w:t>
      </w:r>
      <w:r w:rsidRPr="00B04287">
        <w:rPr>
          <w:rFonts w:ascii="Arial" w:hAnsi="Arial" w:cs="Arial"/>
          <w:sz w:val="22"/>
          <w:szCs w:val="22"/>
        </w:rPr>
        <w:t xml:space="preserve"> obtained in different jurisdictions.</w:t>
      </w:r>
    </w:p>
    <w:p w:rsidR="00B04287" w:rsidRPr="00B04287" w:rsidRDefault="00B04287" w:rsidP="00B04287">
      <w:pPr>
        <w:rPr>
          <w:rFonts w:ascii="Arial" w:hAnsi="Arial" w:cs="Arial"/>
          <w:sz w:val="22"/>
          <w:szCs w:val="22"/>
        </w:rPr>
      </w:pPr>
      <w:r w:rsidRPr="00B04287">
        <w:rPr>
          <w:rFonts w:ascii="Arial" w:hAnsi="Arial" w:cs="Arial"/>
          <w:sz w:val="22"/>
          <w:szCs w:val="22"/>
        </w:rPr>
        <w:t xml:space="preserve">Austroads and the Australasian Procurement Construction Council (APCC) were commissioned to facilitate the work to develop an NPS for major non-residential building projects above a threshold value of $50M (administered by the APCC) and a separate NPS for civil construction relating to road and bridge projects at all financial levels (administered by Austroads). </w:t>
      </w:r>
    </w:p>
    <w:p w:rsidR="00B04287" w:rsidRPr="00B04287" w:rsidRDefault="00B04287" w:rsidP="00B04287">
      <w:pPr>
        <w:rPr>
          <w:rFonts w:ascii="Arial" w:hAnsi="Arial" w:cs="Arial"/>
          <w:sz w:val="22"/>
          <w:szCs w:val="22"/>
        </w:rPr>
      </w:pPr>
    </w:p>
    <w:p w:rsidR="008525D8" w:rsidRDefault="008525D8">
      <w:pPr>
        <w:rPr>
          <w:rFonts w:ascii="Arial" w:hAnsi="Arial" w:cs="Arial"/>
          <w:sz w:val="22"/>
          <w:szCs w:val="22"/>
        </w:rPr>
      </w:pPr>
      <w:r>
        <w:rPr>
          <w:rFonts w:ascii="Arial" w:hAnsi="Arial" w:cs="Arial"/>
          <w:sz w:val="22"/>
          <w:szCs w:val="22"/>
        </w:rPr>
        <w:br w:type="page"/>
      </w:r>
    </w:p>
    <w:p w:rsidR="00B04287" w:rsidRDefault="00B04287" w:rsidP="00B04287">
      <w:pPr>
        <w:rPr>
          <w:rFonts w:ascii="Arial" w:hAnsi="Arial" w:cs="Arial"/>
          <w:sz w:val="22"/>
          <w:szCs w:val="22"/>
        </w:rPr>
      </w:pPr>
      <w:r w:rsidRPr="00B04287">
        <w:rPr>
          <w:rFonts w:ascii="Arial" w:hAnsi="Arial" w:cs="Arial"/>
          <w:sz w:val="22"/>
          <w:szCs w:val="22"/>
        </w:rPr>
        <w:t xml:space="preserve">The OFSC, in seeking to reduce the administrative burden for builders, worked with the COAG IWG in conjunction with the APCC and Austroads to develop nationally consistent </w:t>
      </w:r>
      <w:r w:rsidR="00D85434">
        <w:rPr>
          <w:rFonts w:ascii="Arial" w:hAnsi="Arial" w:cs="Arial"/>
          <w:sz w:val="22"/>
          <w:szCs w:val="22"/>
        </w:rPr>
        <w:t>prequalification</w:t>
      </w:r>
      <w:r w:rsidRPr="00B04287">
        <w:rPr>
          <w:rFonts w:ascii="Arial" w:hAnsi="Arial" w:cs="Arial"/>
          <w:sz w:val="22"/>
          <w:szCs w:val="22"/>
        </w:rPr>
        <w:t xml:space="preserve"> systems for civil and commercial construction. A resulting agreement was reached which meant that harmonised </w:t>
      </w:r>
      <w:r w:rsidR="00D85434">
        <w:rPr>
          <w:rFonts w:ascii="Arial" w:hAnsi="Arial" w:cs="Arial"/>
          <w:sz w:val="22"/>
          <w:szCs w:val="22"/>
        </w:rPr>
        <w:t>prequalification</w:t>
      </w:r>
      <w:r w:rsidRPr="00B04287">
        <w:rPr>
          <w:rFonts w:ascii="Arial" w:hAnsi="Arial" w:cs="Arial"/>
          <w:sz w:val="22"/>
          <w:szCs w:val="22"/>
        </w:rPr>
        <w:t xml:space="preserve"> arrangements took effect from 1 January 2011 allowing any builder accredited under the Scheme to be automatically deemed to comply with the relevant state/territory </w:t>
      </w:r>
      <w:r w:rsidR="00852A55">
        <w:rPr>
          <w:rFonts w:ascii="Arial" w:hAnsi="Arial" w:cs="Arial"/>
          <w:sz w:val="22"/>
          <w:szCs w:val="22"/>
        </w:rPr>
        <w:t>W</w:t>
      </w:r>
      <w:r w:rsidRPr="00B04287">
        <w:rPr>
          <w:rFonts w:ascii="Arial" w:hAnsi="Arial" w:cs="Arial"/>
          <w:sz w:val="22"/>
          <w:szCs w:val="22"/>
        </w:rPr>
        <w:t xml:space="preserve">HS </w:t>
      </w:r>
      <w:r w:rsidR="00D85434">
        <w:rPr>
          <w:rFonts w:ascii="Arial" w:hAnsi="Arial" w:cs="Arial"/>
          <w:sz w:val="22"/>
          <w:szCs w:val="22"/>
        </w:rPr>
        <w:t>prequalification</w:t>
      </w:r>
      <w:r w:rsidRPr="00B04287">
        <w:rPr>
          <w:rFonts w:ascii="Arial" w:hAnsi="Arial" w:cs="Arial"/>
          <w:sz w:val="22"/>
          <w:szCs w:val="22"/>
        </w:rPr>
        <w:t xml:space="preserve"> requirements in place for each jurisdiction. </w:t>
      </w:r>
    </w:p>
    <w:p w:rsidR="004A7AFA" w:rsidRDefault="004A7AFA" w:rsidP="00B04287">
      <w:pPr>
        <w:rPr>
          <w:rFonts w:ascii="Arial" w:hAnsi="Arial" w:cs="Arial"/>
          <w:sz w:val="22"/>
          <w:szCs w:val="22"/>
        </w:rPr>
      </w:pPr>
    </w:p>
    <w:p w:rsidR="004A7AFA" w:rsidRPr="004A7AFA" w:rsidRDefault="004A7AFA" w:rsidP="004A7AFA">
      <w:pPr>
        <w:rPr>
          <w:rFonts w:ascii="Arial" w:hAnsi="Arial" w:cs="Arial"/>
          <w:sz w:val="22"/>
          <w:szCs w:val="22"/>
        </w:rPr>
      </w:pPr>
      <w:r>
        <w:rPr>
          <w:rFonts w:ascii="Arial" w:hAnsi="Arial" w:cs="Arial"/>
          <w:sz w:val="22"/>
          <w:szCs w:val="22"/>
        </w:rPr>
        <w:t>In 2012, the</w:t>
      </w:r>
      <w:r w:rsidRPr="004A7AFA">
        <w:rPr>
          <w:rFonts w:ascii="Arial" w:hAnsi="Arial" w:cs="Arial"/>
          <w:sz w:val="22"/>
          <w:szCs w:val="22"/>
        </w:rPr>
        <w:t xml:space="preserve"> COAG IWG Review Report found that the NPS ha</w:t>
      </w:r>
      <w:r>
        <w:rPr>
          <w:rFonts w:ascii="Arial" w:hAnsi="Arial" w:cs="Arial"/>
          <w:sz w:val="22"/>
          <w:szCs w:val="22"/>
        </w:rPr>
        <w:t>d</w:t>
      </w:r>
      <w:r w:rsidRPr="004A7AFA">
        <w:rPr>
          <w:rFonts w:ascii="Arial" w:hAnsi="Arial" w:cs="Arial"/>
          <w:sz w:val="22"/>
          <w:szCs w:val="22"/>
        </w:rPr>
        <w:t xml:space="preserve"> made good progress to date and </w:t>
      </w:r>
      <w:r>
        <w:rPr>
          <w:rFonts w:ascii="Arial" w:hAnsi="Arial" w:cs="Arial"/>
          <w:sz w:val="22"/>
          <w:szCs w:val="22"/>
        </w:rPr>
        <w:t>was</w:t>
      </w:r>
      <w:r w:rsidRPr="004A7AFA">
        <w:rPr>
          <w:rFonts w:ascii="Arial" w:hAnsi="Arial" w:cs="Arial"/>
          <w:sz w:val="22"/>
          <w:szCs w:val="22"/>
        </w:rPr>
        <w:t xml:space="preserve"> generally well supported by industry, but concluded that the APCC NPS should be extended to </w:t>
      </w:r>
      <w:r>
        <w:rPr>
          <w:rFonts w:ascii="Arial" w:hAnsi="Arial" w:cs="Arial"/>
          <w:sz w:val="22"/>
          <w:szCs w:val="22"/>
        </w:rPr>
        <w:t xml:space="preserve">also </w:t>
      </w:r>
      <w:r w:rsidRPr="004A7AFA">
        <w:rPr>
          <w:rFonts w:ascii="Arial" w:hAnsi="Arial" w:cs="Arial"/>
          <w:sz w:val="22"/>
          <w:szCs w:val="22"/>
        </w:rPr>
        <w:t xml:space="preserve">include prequalification for </w:t>
      </w:r>
      <w:r w:rsidR="00852A55">
        <w:rPr>
          <w:rFonts w:ascii="Arial" w:hAnsi="Arial" w:cs="Arial"/>
          <w:sz w:val="22"/>
          <w:szCs w:val="22"/>
        </w:rPr>
        <w:t>n</w:t>
      </w:r>
      <w:r w:rsidRPr="004A7AFA">
        <w:rPr>
          <w:rFonts w:ascii="Arial" w:hAnsi="Arial" w:cs="Arial"/>
          <w:sz w:val="22"/>
          <w:szCs w:val="22"/>
        </w:rPr>
        <w:t>on-</w:t>
      </w:r>
      <w:r>
        <w:rPr>
          <w:rFonts w:ascii="Arial" w:hAnsi="Arial" w:cs="Arial"/>
          <w:sz w:val="22"/>
          <w:szCs w:val="22"/>
        </w:rPr>
        <w:t>residential projects below $50</w:t>
      </w:r>
      <w:r w:rsidR="00852A55">
        <w:rPr>
          <w:rFonts w:ascii="Arial" w:hAnsi="Arial" w:cs="Arial"/>
          <w:sz w:val="22"/>
          <w:szCs w:val="22"/>
        </w:rPr>
        <w:t xml:space="preserve"> million</w:t>
      </w:r>
      <w:r>
        <w:rPr>
          <w:rFonts w:ascii="Arial" w:hAnsi="Arial" w:cs="Arial"/>
          <w:sz w:val="22"/>
          <w:szCs w:val="22"/>
        </w:rPr>
        <w:t xml:space="preserve">, </w:t>
      </w:r>
      <w:r w:rsidRPr="004A7AFA">
        <w:rPr>
          <w:rFonts w:ascii="Arial" w:hAnsi="Arial" w:cs="Arial"/>
          <w:sz w:val="22"/>
          <w:szCs w:val="22"/>
        </w:rPr>
        <w:t>and recommended that the APCC be commissioned to prepare a plan for achieving this, in consultation with industry and agencies.</w:t>
      </w:r>
    </w:p>
    <w:p w:rsidR="004A7AFA" w:rsidRPr="004A7AFA" w:rsidRDefault="004A7AFA" w:rsidP="004A7AFA">
      <w:pPr>
        <w:rPr>
          <w:rFonts w:ascii="Arial" w:hAnsi="Arial" w:cs="Arial"/>
          <w:sz w:val="22"/>
          <w:szCs w:val="22"/>
        </w:rPr>
      </w:pPr>
    </w:p>
    <w:p w:rsidR="004A7AFA" w:rsidRPr="004A7AFA" w:rsidRDefault="004A7AFA" w:rsidP="004A7AFA">
      <w:pPr>
        <w:rPr>
          <w:rFonts w:ascii="Arial" w:hAnsi="Arial" w:cs="Arial"/>
          <w:sz w:val="22"/>
          <w:szCs w:val="22"/>
        </w:rPr>
      </w:pPr>
      <w:r>
        <w:rPr>
          <w:rFonts w:ascii="Arial" w:hAnsi="Arial" w:cs="Arial"/>
          <w:sz w:val="22"/>
          <w:szCs w:val="22"/>
        </w:rPr>
        <w:t>As such, t</w:t>
      </w:r>
      <w:r w:rsidRPr="004A7AFA">
        <w:rPr>
          <w:rFonts w:ascii="Arial" w:hAnsi="Arial" w:cs="Arial"/>
          <w:sz w:val="22"/>
          <w:szCs w:val="22"/>
        </w:rPr>
        <w:t>he APCC is currently developing its Road Map plan which will harmonise state and territory prequalification arrangements for non-residential projects with a value of below $50</w:t>
      </w:r>
      <w:r w:rsidR="00852A55">
        <w:rPr>
          <w:rFonts w:ascii="Arial" w:hAnsi="Arial" w:cs="Arial"/>
          <w:sz w:val="22"/>
          <w:szCs w:val="22"/>
        </w:rPr>
        <w:t> </w:t>
      </w:r>
      <w:r w:rsidRPr="004A7AFA">
        <w:rPr>
          <w:rFonts w:ascii="Arial" w:hAnsi="Arial" w:cs="Arial"/>
          <w:sz w:val="22"/>
          <w:szCs w:val="22"/>
        </w:rPr>
        <w:t xml:space="preserve">million with a view to commencing any new arrangement by 1 January 2015. This </w:t>
      </w:r>
      <w:r>
        <w:rPr>
          <w:rFonts w:ascii="Arial" w:hAnsi="Arial" w:cs="Arial"/>
          <w:sz w:val="22"/>
          <w:szCs w:val="22"/>
        </w:rPr>
        <w:t>would</w:t>
      </w:r>
      <w:r w:rsidRPr="004A7AFA">
        <w:rPr>
          <w:rFonts w:ascii="Arial" w:hAnsi="Arial" w:cs="Arial"/>
          <w:sz w:val="22"/>
          <w:szCs w:val="22"/>
        </w:rPr>
        <w:t xml:space="preserve"> further reduce dup</w:t>
      </w:r>
      <w:r>
        <w:rPr>
          <w:rFonts w:ascii="Arial" w:hAnsi="Arial" w:cs="Arial"/>
          <w:sz w:val="22"/>
          <w:szCs w:val="22"/>
        </w:rPr>
        <w:t>lication and costs for business, and is a process that the OFSC has again been involved in.</w:t>
      </w:r>
    </w:p>
    <w:p w:rsidR="004A7AFA" w:rsidRPr="004A7AFA" w:rsidRDefault="004A7AFA" w:rsidP="004A7AFA">
      <w:pPr>
        <w:rPr>
          <w:rFonts w:ascii="Arial" w:hAnsi="Arial" w:cs="Arial"/>
          <w:sz w:val="22"/>
          <w:szCs w:val="22"/>
        </w:rPr>
      </w:pPr>
    </w:p>
    <w:p w:rsidR="007F5D50" w:rsidRDefault="007F5D50" w:rsidP="00F32CB5">
      <w:pPr>
        <w:pStyle w:val="Heading2"/>
      </w:pPr>
      <w:bookmarkStart w:id="54" w:name="_Toc390429534"/>
      <w:r>
        <w:t>Expanding recognition of the Scheme</w:t>
      </w:r>
      <w:bookmarkEnd w:id="54"/>
    </w:p>
    <w:p w:rsidR="007F5D50" w:rsidRPr="007F5D50" w:rsidRDefault="007F5D50" w:rsidP="007F5D50"/>
    <w:p w:rsidR="007F5D50" w:rsidRDefault="00922425" w:rsidP="007F5D50">
      <w:pPr>
        <w:rPr>
          <w:rFonts w:ascii="Arial" w:hAnsi="Arial" w:cs="Arial"/>
          <w:sz w:val="22"/>
          <w:szCs w:val="22"/>
        </w:rPr>
      </w:pPr>
      <w:r>
        <w:rPr>
          <w:rFonts w:ascii="Arial" w:hAnsi="Arial" w:cs="Arial"/>
          <w:sz w:val="22"/>
          <w:szCs w:val="22"/>
        </w:rPr>
        <w:t xml:space="preserve">Discussions </w:t>
      </w:r>
      <w:r w:rsidR="007F5D50">
        <w:rPr>
          <w:rFonts w:ascii="Arial" w:hAnsi="Arial" w:cs="Arial"/>
          <w:sz w:val="22"/>
          <w:szCs w:val="22"/>
        </w:rPr>
        <w:t xml:space="preserve">were </w:t>
      </w:r>
      <w:r>
        <w:rPr>
          <w:rFonts w:ascii="Arial" w:hAnsi="Arial" w:cs="Arial"/>
          <w:sz w:val="22"/>
          <w:szCs w:val="22"/>
        </w:rPr>
        <w:t xml:space="preserve">held with </w:t>
      </w:r>
      <w:r w:rsidR="004A7AFA" w:rsidRPr="004A7AFA">
        <w:rPr>
          <w:rFonts w:ascii="Arial" w:hAnsi="Arial" w:cs="Arial"/>
          <w:sz w:val="22"/>
          <w:szCs w:val="22"/>
        </w:rPr>
        <w:t xml:space="preserve">the APCC and its members </w:t>
      </w:r>
      <w:r w:rsidR="007F5D50">
        <w:rPr>
          <w:rFonts w:ascii="Arial" w:hAnsi="Arial" w:cs="Arial"/>
          <w:sz w:val="22"/>
          <w:szCs w:val="22"/>
        </w:rPr>
        <w:t xml:space="preserve">during the review process about (a) expanding the number of </w:t>
      </w:r>
      <w:r w:rsidR="00D85434">
        <w:rPr>
          <w:rFonts w:ascii="Arial" w:hAnsi="Arial" w:cs="Arial"/>
          <w:sz w:val="22"/>
          <w:szCs w:val="22"/>
        </w:rPr>
        <w:t>prequalification</w:t>
      </w:r>
      <w:r w:rsidR="007F5D50">
        <w:rPr>
          <w:rFonts w:ascii="Arial" w:hAnsi="Arial" w:cs="Arial"/>
          <w:sz w:val="22"/>
          <w:szCs w:val="22"/>
        </w:rPr>
        <w:t xml:space="preserve"> schemes in other jurisdictions that would recognise the Scheme as meeting those WHS requirements and (b) whether </w:t>
      </w:r>
      <w:r w:rsidR="00852A55">
        <w:rPr>
          <w:rFonts w:ascii="Arial" w:hAnsi="Arial" w:cs="Arial"/>
          <w:sz w:val="22"/>
          <w:szCs w:val="22"/>
        </w:rPr>
        <w:t xml:space="preserve">the </w:t>
      </w:r>
      <w:r>
        <w:rPr>
          <w:rFonts w:ascii="Arial" w:hAnsi="Arial" w:cs="Arial"/>
          <w:sz w:val="22"/>
          <w:szCs w:val="22"/>
        </w:rPr>
        <w:t xml:space="preserve">removal of </w:t>
      </w:r>
      <w:r w:rsidR="004A7AFA" w:rsidRPr="004A7AFA">
        <w:rPr>
          <w:rFonts w:ascii="Arial" w:hAnsi="Arial" w:cs="Arial"/>
          <w:sz w:val="22"/>
          <w:szCs w:val="22"/>
        </w:rPr>
        <w:t>AS/NZS</w:t>
      </w:r>
      <w:r w:rsidR="007F5D50">
        <w:rPr>
          <w:rFonts w:ascii="Arial" w:hAnsi="Arial" w:cs="Arial"/>
          <w:sz w:val="22"/>
          <w:szCs w:val="22"/>
        </w:rPr>
        <w:t> </w:t>
      </w:r>
      <w:r w:rsidR="004A7AFA" w:rsidRPr="004A7AFA">
        <w:rPr>
          <w:rFonts w:ascii="Arial" w:hAnsi="Arial" w:cs="Arial"/>
          <w:sz w:val="22"/>
          <w:szCs w:val="22"/>
        </w:rPr>
        <w:t xml:space="preserve">4801:2001 certification as </w:t>
      </w:r>
      <w:r w:rsidR="004A7AFA">
        <w:rPr>
          <w:rFonts w:ascii="Arial" w:hAnsi="Arial" w:cs="Arial"/>
          <w:sz w:val="22"/>
          <w:szCs w:val="22"/>
        </w:rPr>
        <w:t>a</w:t>
      </w:r>
      <w:r w:rsidR="004A7AFA" w:rsidRPr="004A7AFA">
        <w:rPr>
          <w:rFonts w:ascii="Arial" w:hAnsi="Arial" w:cs="Arial"/>
          <w:sz w:val="22"/>
          <w:szCs w:val="22"/>
        </w:rPr>
        <w:t xml:space="preserve"> Scheme </w:t>
      </w:r>
      <w:r w:rsidR="008F3909">
        <w:rPr>
          <w:rFonts w:ascii="Arial" w:hAnsi="Arial" w:cs="Arial"/>
          <w:sz w:val="22"/>
          <w:szCs w:val="22"/>
        </w:rPr>
        <w:t>prerequisite</w:t>
      </w:r>
      <w:r>
        <w:rPr>
          <w:rFonts w:ascii="Arial" w:hAnsi="Arial" w:cs="Arial"/>
          <w:sz w:val="22"/>
          <w:szCs w:val="22"/>
        </w:rPr>
        <w:t xml:space="preserve"> </w:t>
      </w:r>
      <w:r w:rsidR="007F5D50">
        <w:rPr>
          <w:rFonts w:ascii="Arial" w:hAnsi="Arial" w:cs="Arial"/>
          <w:sz w:val="22"/>
          <w:szCs w:val="22"/>
        </w:rPr>
        <w:t xml:space="preserve">would have </w:t>
      </w:r>
      <w:r>
        <w:rPr>
          <w:rFonts w:ascii="Arial" w:hAnsi="Arial" w:cs="Arial"/>
          <w:sz w:val="22"/>
          <w:szCs w:val="22"/>
        </w:rPr>
        <w:t xml:space="preserve">any impact </w:t>
      </w:r>
      <w:r w:rsidR="007F5D50">
        <w:rPr>
          <w:rFonts w:ascii="Arial" w:hAnsi="Arial" w:cs="Arial"/>
          <w:sz w:val="22"/>
          <w:szCs w:val="22"/>
        </w:rPr>
        <w:t>on current</w:t>
      </w:r>
      <w:r>
        <w:rPr>
          <w:rFonts w:ascii="Arial" w:hAnsi="Arial" w:cs="Arial"/>
          <w:sz w:val="22"/>
          <w:szCs w:val="22"/>
        </w:rPr>
        <w:t xml:space="preserve"> recognition arrangements. </w:t>
      </w:r>
    </w:p>
    <w:p w:rsidR="007F5D50" w:rsidRDefault="007F5D50" w:rsidP="007F5D50">
      <w:pPr>
        <w:rPr>
          <w:rFonts w:ascii="Arial" w:hAnsi="Arial" w:cs="Arial"/>
          <w:sz w:val="22"/>
          <w:szCs w:val="22"/>
        </w:rPr>
      </w:pPr>
    </w:p>
    <w:p w:rsidR="007F5D50" w:rsidRDefault="00922425" w:rsidP="007F5D50">
      <w:pPr>
        <w:rPr>
          <w:rFonts w:ascii="Arial" w:hAnsi="Arial" w:cs="Arial"/>
          <w:sz w:val="22"/>
          <w:szCs w:val="22"/>
        </w:rPr>
      </w:pPr>
      <w:r>
        <w:rPr>
          <w:rFonts w:ascii="Arial" w:hAnsi="Arial" w:cs="Arial"/>
          <w:sz w:val="22"/>
          <w:szCs w:val="22"/>
        </w:rPr>
        <w:t>I</w:t>
      </w:r>
      <w:r w:rsidR="004A7AFA" w:rsidRPr="004A7AFA">
        <w:rPr>
          <w:rFonts w:ascii="Arial" w:hAnsi="Arial" w:cs="Arial"/>
          <w:sz w:val="22"/>
          <w:szCs w:val="22"/>
        </w:rPr>
        <w:t xml:space="preserve">t was agreed that the existing </w:t>
      </w:r>
      <w:r w:rsidR="00D85434">
        <w:rPr>
          <w:rFonts w:ascii="Arial" w:hAnsi="Arial" w:cs="Arial"/>
          <w:sz w:val="22"/>
          <w:szCs w:val="22"/>
        </w:rPr>
        <w:t>prequalification</w:t>
      </w:r>
      <w:r w:rsidR="004A7AFA" w:rsidRPr="004A7AFA">
        <w:rPr>
          <w:rFonts w:ascii="Arial" w:hAnsi="Arial" w:cs="Arial"/>
          <w:sz w:val="22"/>
          <w:szCs w:val="22"/>
        </w:rPr>
        <w:t xml:space="preserve"> recognition for non-residential commercial building projects above $50</w:t>
      </w:r>
      <w:r w:rsidR="00852A55">
        <w:rPr>
          <w:rFonts w:ascii="Arial" w:hAnsi="Arial" w:cs="Arial"/>
          <w:sz w:val="22"/>
          <w:szCs w:val="22"/>
        </w:rPr>
        <w:t xml:space="preserve"> million</w:t>
      </w:r>
      <w:r w:rsidR="004A7AFA" w:rsidRPr="004A7AFA">
        <w:rPr>
          <w:rFonts w:ascii="Arial" w:hAnsi="Arial" w:cs="Arial"/>
          <w:sz w:val="22"/>
          <w:szCs w:val="22"/>
        </w:rPr>
        <w:t xml:space="preserve"> would remain in place</w:t>
      </w:r>
      <w:r>
        <w:rPr>
          <w:rFonts w:ascii="Arial" w:hAnsi="Arial" w:cs="Arial"/>
          <w:sz w:val="22"/>
          <w:szCs w:val="22"/>
        </w:rPr>
        <w:t xml:space="preserve"> if </w:t>
      </w:r>
      <w:r w:rsidR="004A7AFA" w:rsidRPr="004A7AFA">
        <w:rPr>
          <w:rFonts w:ascii="Arial" w:hAnsi="Arial" w:cs="Arial"/>
          <w:sz w:val="22"/>
          <w:szCs w:val="22"/>
        </w:rPr>
        <w:t xml:space="preserve">the </w:t>
      </w:r>
      <w:r>
        <w:rPr>
          <w:rFonts w:ascii="Arial" w:hAnsi="Arial" w:cs="Arial"/>
          <w:sz w:val="22"/>
          <w:szCs w:val="22"/>
        </w:rPr>
        <w:t xml:space="preserve">requirement to be certified to </w:t>
      </w:r>
      <w:r w:rsidRPr="004A7AFA">
        <w:rPr>
          <w:rFonts w:ascii="Arial" w:hAnsi="Arial" w:cs="Arial"/>
          <w:sz w:val="22"/>
          <w:szCs w:val="22"/>
        </w:rPr>
        <w:t xml:space="preserve">AS/NZS 4801:2001 </w:t>
      </w:r>
      <w:r>
        <w:rPr>
          <w:rFonts w:ascii="Arial" w:hAnsi="Arial" w:cs="Arial"/>
          <w:sz w:val="22"/>
          <w:szCs w:val="22"/>
        </w:rPr>
        <w:t xml:space="preserve">was removed. </w:t>
      </w:r>
    </w:p>
    <w:p w:rsidR="007F5D50" w:rsidRDefault="007F5D50" w:rsidP="007F5D50">
      <w:pPr>
        <w:rPr>
          <w:rFonts w:ascii="Arial" w:hAnsi="Arial" w:cs="Arial"/>
          <w:sz w:val="22"/>
          <w:szCs w:val="22"/>
        </w:rPr>
      </w:pPr>
    </w:p>
    <w:p w:rsidR="007F5D50" w:rsidRDefault="004A7AFA" w:rsidP="007F5D50">
      <w:pPr>
        <w:rPr>
          <w:rFonts w:ascii="Arial" w:hAnsi="Arial" w:cs="Arial"/>
          <w:sz w:val="22"/>
          <w:szCs w:val="22"/>
        </w:rPr>
      </w:pPr>
      <w:r w:rsidRPr="004A7AFA">
        <w:rPr>
          <w:rFonts w:ascii="Arial" w:hAnsi="Arial" w:cs="Arial"/>
          <w:sz w:val="22"/>
          <w:szCs w:val="22"/>
        </w:rPr>
        <w:t>It was also agreed by members tha</w:t>
      </w:r>
      <w:r>
        <w:rPr>
          <w:rFonts w:ascii="Arial" w:hAnsi="Arial" w:cs="Arial"/>
          <w:sz w:val="22"/>
          <w:szCs w:val="22"/>
        </w:rPr>
        <w:t>t</w:t>
      </w:r>
      <w:r w:rsidRPr="004A7AFA">
        <w:rPr>
          <w:rFonts w:ascii="Arial" w:hAnsi="Arial" w:cs="Arial"/>
          <w:sz w:val="22"/>
          <w:szCs w:val="22"/>
        </w:rPr>
        <w:t xml:space="preserve"> on commencement of the harmonised </w:t>
      </w:r>
      <w:r w:rsidR="00D85434">
        <w:rPr>
          <w:rFonts w:ascii="Arial" w:hAnsi="Arial" w:cs="Arial"/>
          <w:sz w:val="22"/>
          <w:szCs w:val="22"/>
        </w:rPr>
        <w:t>prequalification</w:t>
      </w:r>
      <w:r w:rsidRPr="004A7AFA">
        <w:rPr>
          <w:rFonts w:ascii="Arial" w:hAnsi="Arial" w:cs="Arial"/>
          <w:sz w:val="22"/>
          <w:szCs w:val="22"/>
        </w:rPr>
        <w:t xml:space="preserve"> arrangements for non-residential projects below $50</w:t>
      </w:r>
      <w:r w:rsidR="00852A55">
        <w:rPr>
          <w:rFonts w:ascii="Arial" w:hAnsi="Arial" w:cs="Arial"/>
          <w:sz w:val="22"/>
          <w:szCs w:val="22"/>
        </w:rPr>
        <w:t xml:space="preserve"> million</w:t>
      </w:r>
      <w:r>
        <w:rPr>
          <w:rFonts w:ascii="Arial" w:hAnsi="Arial" w:cs="Arial"/>
          <w:sz w:val="22"/>
          <w:szCs w:val="22"/>
        </w:rPr>
        <w:t>,</w:t>
      </w:r>
      <w:r w:rsidRPr="004A7AFA">
        <w:rPr>
          <w:rFonts w:ascii="Arial" w:hAnsi="Arial" w:cs="Arial"/>
          <w:sz w:val="22"/>
          <w:szCs w:val="22"/>
        </w:rPr>
        <w:t xml:space="preserve"> the Scheme would also be recognised nationally, again irrespective of the possible removal of the </w:t>
      </w:r>
      <w:r w:rsidR="00922425" w:rsidRPr="004A7AFA">
        <w:rPr>
          <w:rFonts w:ascii="Arial" w:hAnsi="Arial" w:cs="Arial"/>
          <w:sz w:val="22"/>
          <w:szCs w:val="22"/>
        </w:rPr>
        <w:t xml:space="preserve">AS/NZS 4801:2001 </w:t>
      </w:r>
      <w:r w:rsidRPr="004A7AFA">
        <w:rPr>
          <w:rFonts w:ascii="Arial" w:hAnsi="Arial" w:cs="Arial"/>
          <w:sz w:val="22"/>
          <w:szCs w:val="22"/>
        </w:rPr>
        <w:t>certi</w:t>
      </w:r>
      <w:r>
        <w:rPr>
          <w:rFonts w:ascii="Arial" w:hAnsi="Arial" w:cs="Arial"/>
          <w:sz w:val="22"/>
          <w:szCs w:val="22"/>
        </w:rPr>
        <w:t xml:space="preserve">fication requirement. </w:t>
      </w:r>
    </w:p>
    <w:p w:rsidR="007F5D50" w:rsidRDefault="007F5D50" w:rsidP="007F5D50">
      <w:pPr>
        <w:rPr>
          <w:rFonts w:ascii="Arial" w:hAnsi="Arial" w:cs="Arial"/>
          <w:sz w:val="22"/>
          <w:szCs w:val="22"/>
        </w:rPr>
      </w:pPr>
    </w:p>
    <w:p w:rsidR="004A7AFA" w:rsidRPr="004A7AFA" w:rsidRDefault="004A7AFA" w:rsidP="007F5D50">
      <w:pPr>
        <w:rPr>
          <w:rFonts w:ascii="Arial" w:hAnsi="Arial" w:cs="Arial"/>
          <w:sz w:val="22"/>
          <w:szCs w:val="22"/>
        </w:rPr>
      </w:pPr>
      <w:r>
        <w:rPr>
          <w:rFonts w:ascii="Arial" w:hAnsi="Arial" w:cs="Arial"/>
          <w:sz w:val="22"/>
          <w:szCs w:val="22"/>
        </w:rPr>
        <w:t>This means</w:t>
      </w:r>
      <w:r w:rsidR="00170BF8">
        <w:rPr>
          <w:rFonts w:ascii="Arial" w:hAnsi="Arial" w:cs="Arial"/>
          <w:sz w:val="22"/>
          <w:szCs w:val="22"/>
        </w:rPr>
        <w:t xml:space="preserve"> that as of 1 </w:t>
      </w:r>
      <w:r w:rsidRPr="004A7AFA">
        <w:rPr>
          <w:rFonts w:ascii="Arial" w:hAnsi="Arial" w:cs="Arial"/>
          <w:sz w:val="22"/>
          <w:szCs w:val="22"/>
        </w:rPr>
        <w:t>January 2015</w:t>
      </w:r>
      <w:r w:rsidR="00170BF8">
        <w:rPr>
          <w:rFonts w:ascii="Arial" w:hAnsi="Arial" w:cs="Arial"/>
          <w:sz w:val="22"/>
          <w:szCs w:val="22"/>
        </w:rPr>
        <w:t>,</w:t>
      </w:r>
      <w:r w:rsidRPr="004A7AFA">
        <w:rPr>
          <w:rFonts w:ascii="Arial" w:hAnsi="Arial" w:cs="Arial"/>
          <w:sz w:val="22"/>
          <w:szCs w:val="22"/>
        </w:rPr>
        <w:t xml:space="preserve"> the Scheme will be recognised by all </w:t>
      </w:r>
      <w:r w:rsidR="00D85434">
        <w:rPr>
          <w:rFonts w:ascii="Arial" w:hAnsi="Arial" w:cs="Arial"/>
          <w:sz w:val="22"/>
          <w:szCs w:val="22"/>
        </w:rPr>
        <w:t>prequalification</w:t>
      </w:r>
      <w:r w:rsidRPr="004A7AFA">
        <w:rPr>
          <w:rFonts w:ascii="Arial" w:hAnsi="Arial" w:cs="Arial"/>
          <w:sz w:val="22"/>
          <w:szCs w:val="22"/>
        </w:rPr>
        <w:t xml:space="preserve"> schemes nationally for non-residential commercial building work</w:t>
      </w:r>
      <w:r w:rsidR="007F5D50">
        <w:rPr>
          <w:rFonts w:ascii="Arial" w:hAnsi="Arial" w:cs="Arial"/>
          <w:sz w:val="22"/>
          <w:szCs w:val="22"/>
        </w:rPr>
        <w:t xml:space="preserve"> – greatly expanding the automatic recognition of the Scheme as meeting W</w:t>
      </w:r>
      <w:r w:rsidR="002D2300">
        <w:rPr>
          <w:rFonts w:ascii="Arial" w:hAnsi="Arial" w:cs="Arial"/>
          <w:sz w:val="22"/>
          <w:szCs w:val="22"/>
        </w:rPr>
        <w:t>HS requirements for procurement</w:t>
      </w:r>
      <w:r w:rsidR="007F5D50">
        <w:rPr>
          <w:rFonts w:ascii="Arial" w:hAnsi="Arial" w:cs="Arial"/>
          <w:sz w:val="22"/>
          <w:szCs w:val="22"/>
        </w:rPr>
        <w:t xml:space="preserve"> in jurisdictions across Australia, and for Scheme accredited companies, removing the requirement to meet different arrangements in different jurisdictions. This should also provide an increased incentive for companies to achieve the high safety standards required under the Scheme, potentially increasing safety standards across more of the industry. </w:t>
      </w:r>
    </w:p>
    <w:p w:rsidR="004A7AFA" w:rsidRPr="004A7AFA" w:rsidRDefault="004A7AFA" w:rsidP="004A7AFA">
      <w:pPr>
        <w:rPr>
          <w:rFonts w:ascii="Arial" w:hAnsi="Arial" w:cs="Arial"/>
          <w:sz w:val="22"/>
          <w:szCs w:val="22"/>
        </w:rPr>
      </w:pPr>
    </w:p>
    <w:p w:rsidR="004A7AFA" w:rsidRPr="004A7AFA" w:rsidRDefault="004A7AFA" w:rsidP="004A7AFA">
      <w:pPr>
        <w:rPr>
          <w:rFonts w:ascii="Arial" w:hAnsi="Arial" w:cs="Arial"/>
          <w:sz w:val="22"/>
          <w:szCs w:val="22"/>
        </w:rPr>
      </w:pPr>
      <w:r w:rsidRPr="004A7AFA">
        <w:rPr>
          <w:rFonts w:ascii="Arial" w:hAnsi="Arial" w:cs="Arial"/>
          <w:sz w:val="22"/>
          <w:szCs w:val="22"/>
        </w:rPr>
        <w:t xml:space="preserve">With regards the civil construction sector, the nationally harmonised </w:t>
      </w:r>
      <w:r w:rsidR="00D85434">
        <w:rPr>
          <w:rFonts w:ascii="Arial" w:hAnsi="Arial" w:cs="Arial"/>
          <w:sz w:val="22"/>
          <w:szCs w:val="22"/>
        </w:rPr>
        <w:t>prequalification</w:t>
      </w:r>
      <w:r w:rsidRPr="004A7AFA">
        <w:rPr>
          <w:rFonts w:ascii="Arial" w:hAnsi="Arial" w:cs="Arial"/>
          <w:sz w:val="22"/>
          <w:szCs w:val="22"/>
        </w:rPr>
        <w:t xml:space="preserve"> schemes have recognised the Scheme, irrespective of funding value, since the original harmonisation process took effect on 1 January 2011. The OFSC is in ongoing consultation with AustRoads, who administer the national civil </w:t>
      </w:r>
      <w:r w:rsidR="00D85434">
        <w:rPr>
          <w:rFonts w:ascii="Arial" w:hAnsi="Arial" w:cs="Arial"/>
          <w:sz w:val="22"/>
          <w:szCs w:val="22"/>
        </w:rPr>
        <w:t>prequalification</w:t>
      </w:r>
      <w:r w:rsidRPr="004A7AFA">
        <w:rPr>
          <w:rFonts w:ascii="Arial" w:hAnsi="Arial" w:cs="Arial"/>
          <w:sz w:val="22"/>
          <w:szCs w:val="22"/>
        </w:rPr>
        <w:t xml:space="preserve"> system, to confirm this recognition will stand even </w:t>
      </w:r>
      <w:r w:rsidR="00922425">
        <w:rPr>
          <w:rFonts w:ascii="Arial" w:hAnsi="Arial" w:cs="Arial"/>
          <w:sz w:val="22"/>
          <w:szCs w:val="22"/>
        </w:rPr>
        <w:t xml:space="preserve">if the requirement to be certified to </w:t>
      </w:r>
      <w:r w:rsidR="00922425" w:rsidRPr="004A7AFA">
        <w:rPr>
          <w:rFonts w:ascii="Arial" w:hAnsi="Arial" w:cs="Arial"/>
          <w:sz w:val="22"/>
          <w:szCs w:val="22"/>
        </w:rPr>
        <w:t xml:space="preserve">AS/NZS 4801:2001 </w:t>
      </w:r>
      <w:r w:rsidR="00922425">
        <w:rPr>
          <w:rFonts w:ascii="Arial" w:hAnsi="Arial" w:cs="Arial"/>
          <w:sz w:val="22"/>
          <w:szCs w:val="22"/>
        </w:rPr>
        <w:t>is removed</w:t>
      </w:r>
      <w:r w:rsidR="008709D2">
        <w:rPr>
          <w:rFonts w:ascii="Arial" w:hAnsi="Arial" w:cs="Arial"/>
          <w:sz w:val="22"/>
          <w:szCs w:val="22"/>
        </w:rPr>
        <w:t>.</w:t>
      </w:r>
    </w:p>
    <w:p w:rsidR="00EE5A81" w:rsidRDefault="00EE5A81" w:rsidP="00EE5A81">
      <w:pPr>
        <w:rPr>
          <w:rFonts w:ascii="Arial" w:hAnsi="Arial" w:cs="Arial"/>
          <w:sz w:val="22"/>
          <w:szCs w:val="22"/>
        </w:rPr>
      </w:pPr>
      <w:r w:rsidRPr="00EE5A81">
        <w:rPr>
          <w:rFonts w:ascii="Arial" w:hAnsi="Arial" w:cs="Arial"/>
          <w:sz w:val="22"/>
          <w:szCs w:val="22"/>
        </w:rPr>
        <w:t xml:space="preserve">In seeking to further reduce the red tape burden, other state and territory </w:t>
      </w:r>
      <w:r w:rsidR="00D85434">
        <w:rPr>
          <w:rFonts w:ascii="Arial" w:hAnsi="Arial" w:cs="Arial"/>
          <w:sz w:val="22"/>
          <w:szCs w:val="22"/>
        </w:rPr>
        <w:t>prequalification</w:t>
      </w:r>
      <w:r w:rsidRPr="00EE5A81">
        <w:rPr>
          <w:rFonts w:ascii="Arial" w:hAnsi="Arial" w:cs="Arial"/>
          <w:sz w:val="22"/>
          <w:szCs w:val="22"/>
        </w:rPr>
        <w:t xml:space="preserve"> schemes and requirements </w:t>
      </w:r>
      <w:r w:rsidR="00736FA1">
        <w:rPr>
          <w:rFonts w:ascii="Arial" w:hAnsi="Arial" w:cs="Arial"/>
          <w:sz w:val="22"/>
          <w:szCs w:val="22"/>
        </w:rPr>
        <w:t>could be considered</w:t>
      </w:r>
      <w:r w:rsidRPr="00EE5A81">
        <w:rPr>
          <w:rFonts w:ascii="Arial" w:hAnsi="Arial" w:cs="Arial"/>
          <w:sz w:val="22"/>
          <w:szCs w:val="22"/>
        </w:rPr>
        <w:t xml:space="preserve"> for Scheme recognition. Further to this, the impact of the possible removal </w:t>
      </w:r>
      <w:r w:rsidR="00736FA1">
        <w:rPr>
          <w:rFonts w:ascii="Arial" w:hAnsi="Arial" w:cs="Arial"/>
          <w:sz w:val="22"/>
          <w:szCs w:val="22"/>
        </w:rPr>
        <w:t>(</w:t>
      </w:r>
      <w:r w:rsidR="00736FA1" w:rsidRPr="00EE5A81">
        <w:rPr>
          <w:rFonts w:ascii="Arial" w:hAnsi="Arial" w:cs="Arial"/>
          <w:sz w:val="22"/>
          <w:szCs w:val="22"/>
        </w:rPr>
        <w:t>noted</w:t>
      </w:r>
      <w:r w:rsidR="00736FA1">
        <w:rPr>
          <w:rFonts w:ascii="Arial" w:hAnsi="Arial" w:cs="Arial"/>
          <w:sz w:val="22"/>
          <w:szCs w:val="22"/>
        </w:rPr>
        <w:t xml:space="preserve"> above)</w:t>
      </w:r>
      <w:r w:rsidR="00736FA1" w:rsidRPr="00EE5A81">
        <w:rPr>
          <w:rFonts w:ascii="Arial" w:hAnsi="Arial" w:cs="Arial"/>
          <w:sz w:val="22"/>
          <w:szCs w:val="22"/>
        </w:rPr>
        <w:t xml:space="preserve"> </w:t>
      </w:r>
      <w:r w:rsidRPr="00EE5A81">
        <w:rPr>
          <w:rFonts w:ascii="Arial" w:hAnsi="Arial" w:cs="Arial"/>
          <w:sz w:val="22"/>
          <w:szCs w:val="22"/>
        </w:rPr>
        <w:t xml:space="preserve">of AS/NZS 4801:2001 as a requirement for Scheme application </w:t>
      </w:r>
      <w:r w:rsidR="00FC7F8C">
        <w:rPr>
          <w:rFonts w:ascii="Arial" w:hAnsi="Arial" w:cs="Arial"/>
          <w:sz w:val="22"/>
          <w:szCs w:val="22"/>
        </w:rPr>
        <w:t>continues</w:t>
      </w:r>
      <w:r w:rsidRPr="00EE5A81">
        <w:rPr>
          <w:rFonts w:ascii="Arial" w:hAnsi="Arial" w:cs="Arial"/>
          <w:sz w:val="22"/>
          <w:szCs w:val="22"/>
        </w:rPr>
        <w:t xml:space="preserve"> to be scoped relative to current jurisdiction </w:t>
      </w:r>
      <w:r w:rsidR="00D85434">
        <w:rPr>
          <w:rFonts w:ascii="Arial" w:hAnsi="Arial" w:cs="Arial"/>
          <w:sz w:val="22"/>
          <w:szCs w:val="22"/>
        </w:rPr>
        <w:t>prequalification</w:t>
      </w:r>
      <w:r w:rsidRPr="00EE5A81">
        <w:rPr>
          <w:rFonts w:ascii="Arial" w:hAnsi="Arial" w:cs="Arial"/>
          <w:sz w:val="22"/>
          <w:szCs w:val="22"/>
        </w:rPr>
        <w:t xml:space="preserve"> requirements to ensure </w:t>
      </w:r>
      <w:r w:rsidR="00736FA1">
        <w:rPr>
          <w:rFonts w:ascii="Arial" w:hAnsi="Arial" w:cs="Arial"/>
          <w:sz w:val="22"/>
          <w:szCs w:val="22"/>
        </w:rPr>
        <w:t xml:space="preserve">there is </w:t>
      </w:r>
      <w:r w:rsidRPr="00EE5A81">
        <w:rPr>
          <w:rFonts w:ascii="Arial" w:hAnsi="Arial" w:cs="Arial"/>
          <w:sz w:val="22"/>
          <w:szCs w:val="22"/>
        </w:rPr>
        <w:t>no adverse impact.</w:t>
      </w:r>
    </w:p>
    <w:p w:rsidR="006E2961" w:rsidRDefault="006E2961" w:rsidP="008E5E53">
      <w:pPr>
        <w:rPr>
          <w:rFonts w:ascii="Arial" w:hAnsi="Arial" w:cs="Arial"/>
          <w:sz w:val="22"/>
          <w:szCs w:val="22"/>
        </w:rPr>
      </w:pPr>
    </w:p>
    <w:p w:rsidR="00E55511" w:rsidRDefault="00E55511" w:rsidP="008E5E53">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06124D52" wp14:editId="072CFE23">
                <wp:extent cx="5743575" cy="695325"/>
                <wp:effectExtent l="0" t="0" r="2857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95325"/>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E5551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w:t>
                            </w:r>
                            <w:r>
                              <w:rPr>
                                <w:rFonts w:ascii="Arial" w:hAnsi="Arial" w:cs="Arial"/>
                                <w:sz w:val="22"/>
                                <w:szCs w:val="22"/>
                              </w:rPr>
                              <w:t xml:space="preserve">Government </w:t>
                            </w:r>
                            <w:r w:rsidRPr="009406F8">
                              <w:rPr>
                                <w:rFonts w:ascii="Arial" w:hAnsi="Arial" w:cs="Arial"/>
                                <w:sz w:val="22"/>
                                <w:szCs w:val="22"/>
                              </w:rPr>
                              <w:t>identif</w:t>
                            </w:r>
                            <w:r>
                              <w:rPr>
                                <w:rFonts w:ascii="Arial" w:hAnsi="Arial" w:cs="Arial"/>
                                <w:sz w:val="22"/>
                                <w:szCs w:val="22"/>
                              </w:rPr>
                              <w:t>ies</w:t>
                            </w:r>
                            <w:r w:rsidRPr="009406F8">
                              <w:rPr>
                                <w:rFonts w:ascii="Arial" w:hAnsi="Arial" w:cs="Arial"/>
                                <w:sz w:val="22"/>
                                <w:szCs w:val="22"/>
                              </w:rPr>
                              <w:t xml:space="preserve"> </w:t>
                            </w:r>
                            <w:r>
                              <w:rPr>
                                <w:rFonts w:ascii="Arial" w:hAnsi="Arial" w:cs="Arial"/>
                                <w:sz w:val="22"/>
                                <w:szCs w:val="22"/>
                              </w:rPr>
                              <w:t xml:space="preserve">and progresses </w:t>
                            </w:r>
                            <w:r w:rsidRPr="009406F8">
                              <w:rPr>
                                <w:rFonts w:ascii="Arial" w:hAnsi="Arial" w:cs="Arial"/>
                                <w:sz w:val="22"/>
                                <w:szCs w:val="22"/>
                              </w:rPr>
                              <w:t xml:space="preserve">further opportunities that exist at </w:t>
                            </w:r>
                            <w:r>
                              <w:rPr>
                                <w:rFonts w:ascii="Arial" w:hAnsi="Arial" w:cs="Arial"/>
                                <w:sz w:val="22"/>
                                <w:szCs w:val="22"/>
                              </w:rPr>
                              <w:t xml:space="preserve">Federal, </w:t>
                            </w:r>
                            <w:r w:rsidRPr="009406F8">
                              <w:rPr>
                                <w:rFonts w:ascii="Arial" w:hAnsi="Arial" w:cs="Arial"/>
                                <w:sz w:val="22"/>
                                <w:szCs w:val="22"/>
                              </w:rPr>
                              <w:t>state and territory levels to recognise the Scheme in lieu of other pre-qualification requirements.</w:t>
                            </w:r>
                          </w:p>
                        </w:txbxContent>
                      </wps:txbx>
                      <wps:bodyPr rot="0" vert="horz" wrap="square" lIns="91440" tIns="45720" rIns="91440" bIns="45720" anchor="ctr" anchorCtr="0">
                        <a:noAutofit/>
                      </wps:bodyPr>
                    </wps:wsp>
                  </a:graphicData>
                </a:graphic>
              </wp:inline>
            </w:drawing>
          </mc:Choice>
          <mc:Fallback>
            <w:pict>
              <v:shape w14:anchorId="06124D52" id="_x0000_s1047" type="#_x0000_t202" style="width:452.25pt;height:5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" fillcolor="#d8d8d8 [2732]">
                <v:textbox>
                  <w:txbxContent>
                    <w:p w:rsidR="00226B47" w:rsidRPr="00E55511" w:rsidRDefault="00226B47" w:rsidP="00E5551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22</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 xml:space="preserve">The </w:t>
                      </w:r>
                      <w:r>
                        <w:rPr>
                          <w:rFonts w:ascii="Arial" w:hAnsi="Arial" w:cs="Arial"/>
                          <w:sz w:val="22"/>
                          <w:szCs w:val="22"/>
                        </w:rPr>
                        <w:t xml:space="preserve">Government </w:t>
                      </w:r>
                      <w:r w:rsidRPr="009406F8">
                        <w:rPr>
                          <w:rFonts w:ascii="Arial" w:hAnsi="Arial" w:cs="Arial"/>
                          <w:sz w:val="22"/>
                          <w:szCs w:val="22"/>
                        </w:rPr>
                        <w:t>identif</w:t>
                      </w:r>
                      <w:r>
                        <w:rPr>
                          <w:rFonts w:ascii="Arial" w:hAnsi="Arial" w:cs="Arial"/>
                          <w:sz w:val="22"/>
                          <w:szCs w:val="22"/>
                        </w:rPr>
                        <w:t>ies</w:t>
                      </w:r>
                      <w:r w:rsidRPr="009406F8">
                        <w:rPr>
                          <w:rFonts w:ascii="Arial" w:hAnsi="Arial" w:cs="Arial"/>
                          <w:sz w:val="22"/>
                          <w:szCs w:val="22"/>
                        </w:rPr>
                        <w:t xml:space="preserve"> </w:t>
                      </w:r>
                      <w:r>
                        <w:rPr>
                          <w:rFonts w:ascii="Arial" w:hAnsi="Arial" w:cs="Arial"/>
                          <w:sz w:val="22"/>
                          <w:szCs w:val="22"/>
                        </w:rPr>
                        <w:t xml:space="preserve">and progresses </w:t>
                      </w:r>
                      <w:r w:rsidRPr="009406F8">
                        <w:rPr>
                          <w:rFonts w:ascii="Arial" w:hAnsi="Arial" w:cs="Arial"/>
                          <w:sz w:val="22"/>
                          <w:szCs w:val="22"/>
                        </w:rPr>
                        <w:t xml:space="preserve">further opportunities that exist at </w:t>
                      </w:r>
                      <w:r>
                        <w:rPr>
                          <w:rFonts w:ascii="Arial" w:hAnsi="Arial" w:cs="Arial"/>
                          <w:sz w:val="22"/>
                          <w:szCs w:val="22"/>
                        </w:rPr>
                        <w:t xml:space="preserve">Federal, </w:t>
                      </w:r>
                      <w:r w:rsidRPr="009406F8">
                        <w:rPr>
                          <w:rFonts w:ascii="Arial" w:hAnsi="Arial" w:cs="Arial"/>
                          <w:sz w:val="22"/>
                          <w:szCs w:val="22"/>
                        </w:rPr>
                        <w:t>state and territory levels to recognise the Scheme in lieu of other pre-qualification requirements.</w:t>
                      </w:r>
                    </w:p>
                  </w:txbxContent>
                </v:textbox>
                <w10:anchorlock/>
              </v:shape>
            </w:pict>
          </mc:Fallback>
        </mc:AlternateContent>
      </w:r>
    </w:p>
    <w:p w:rsidR="00B07B41" w:rsidRPr="008525D8" w:rsidRDefault="00B07B41" w:rsidP="008E5E53"/>
    <w:p w:rsidR="00B07B41" w:rsidRDefault="00B07B41" w:rsidP="008525D8">
      <w:bookmarkStart w:id="55" w:name="_Toc382816484"/>
    </w:p>
    <w:p w:rsidR="007B5A3A" w:rsidRDefault="007B5A3A" w:rsidP="00B01E1D">
      <w:pPr>
        <w:pStyle w:val="Heading1"/>
      </w:pPr>
      <w:bookmarkStart w:id="56" w:name="_Toc390429535"/>
      <w:r w:rsidRPr="007B5A3A">
        <w:t>Whole of Government approach to construction work</w:t>
      </w:r>
      <w:bookmarkEnd w:id="55"/>
      <w:bookmarkEnd w:id="56"/>
      <w:r w:rsidR="00072568">
        <w:t xml:space="preserve"> </w:t>
      </w:r>
    </w:p>
    <w:p w:rsidR="00EE5A81" w:rsidRDefault="00EE5A81" w:rsidP="00EE5A81"/>
    <w:p w:rsidR="00EE5A81" w:rsidRPr="00EE5A81" w:rsidRDefault="00EE5A81" w:rsidP="00EE5A81">
      <w:pPr>
        <w:rPr>
          <w:rFonts w:ascii="Arial" w:hAnsi="Arial" w:cs="Arial"/>
          <w:sz w:val="22"/>
          <w:szCs w:val="22"/>
        </w:rPr>
      </w:pPr>
      <w:r w:rsidRPr="00EE5A81">
        <w:rPr>
          <w:rFonts w:ascii="Arial" w:hAnsi="Arial" w:cs="Arial"/>
          <w:sz w:val="22"/>
          <w:szCs w:val="22"/>
        </w:rPr>
        <w:t xml:space="preserve">The Scheme operates in an environment of numerous </w:t>
      </w:r>
      <w:r w:rsidR="00A40070">
        <w:rPr>
          <w:rFonts w:ascii="Arial" w:hAnsi="Arial" w:cs="Arial"/>
          <w:sz w:val="22"/>
          <w:szCs w:val="22"/>
        </w:rPr>
        <w:t xml:space="preserve">procurement </w:t>
      </w:r>
      <w:r w:rsidRPr="00EE5A81">
        <w:rPr>
          <w:rFonts w:ascii="Arial" w:hAnsi="Arial" w:cs="Arial"/>
          <w:sz w:val="22"/>
          <w:szCs w:val="22"/>
        </w:rPr>
        <w:t>requirements</w:t>
      </w:r>
      <w:r w:rsidR="00B56AA5">
        <w:rPr>
          <w:rFonts w:ascii="Arial" w:hAnsi="Arial" w:cs="Arial"/>
          <w:sz w:val="22"/>
          <w:szCs w:val="22"/>
        </w:rPr>
        <w:t xml:space="preserve">, </w:t>
      </w:r>
      <w:r w:rsidR="00FC7F8C">
        <w:rPr>
          <w:rFonts w:ascii="Arial" w:hAnsi="Arial" w:cs="Arial"/>
          <w:sz w:val="22"/>
          <w:szCs w:val="22"/>
        </w:rPr>
        <w:t xml:space="preserve">often creating duplication and red tape barriers for companies seeking to do Government </w:t>
      </w:r>
      <w:r w:rsidR="00D15D83">
        <w:rPr>
          <w:rFonts w:ascii="Arial" w:hAnsi="Arial" w:cs="Arial"/>
          <w:sz w:val="22"/>
          <w:szCs w:val="22"/>
        </w:rPr>
        <w:t xml:space="preserve">funded </w:t>
      </w:r>
      <w:r w:rsidR="00FC7F8C">
        <w:rPr>
          <w:rFonts w:ascii="Arial" w:hAnsi="Arial" w:cs="Arial"/>
          <w:sz w:val="22"/>
          <w:szCs w:val="22"/>
        </w:rPr>
        <w:t>building work at all levels</w:t>
      </w:r>
      <w:r w:rsidR="00B56AA5">
        <w:rPr>
          <w:rFonts w:ascii="Arial" w:hAnsi="Arial" w:cs="Arial"/>
          <w:sz w:val="22"/>
          <w:szCs w:val="22"/>
        </w:rPr>
        <w:t xml:space="preserve">. </w:t>
      </w:r>
    </w:p>
    <w:p w:rsid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There </w:t>
      </w:r>
      <w:r w:rsidR="00EA08CA">
        <w:rPr>
          <w:rFonts w:ascii="Arial" w:hAnsi="Arial" w:cs="Arial"/>
          <w:sz w:val="22"/>
          <w:szCs w:val="22"/>
        </w:rPr>
        <w:t>is</w:t>
      </w:r>
      <w:r w:rsidRPr="00EE5A81">
        <w:rPr>
          <w:rFonts w:ascii="Arial" w:hAnsi="Arial" w:cs="Arial"/>
          <w:sz w:val="22"/>
          <w:szCs w:val="22"/>
        </w:rPr>
        <w:t xml:space="preserve"> a range of </w:t>
      </w:r>
      <w:r w:rsidR="00CC7C8F">
        <w:rPr>
          <w:rFonts w:ascii="Arial" w:hAnsi="Arial" w:cs="Arial"/>
          <w:sz w:val="22"/>
          <w:szCs w:val="22"/>
        </w:rPr>
        <w:t>Government</w:t>
      </w:r>
      <w:r w:rsidRPr="00EE5A81">
        <w:rPr>
          <w:rFonts w:ascii="Arial" w:hAnsi="Arial" w:cs="Arial"/>
          <w:sz w:val="22"/>
          <w:szCs w:val="22"/>
        </w:rPr>
        <w:t xml:space="preserve"> requirements related to procurement which </w:t>
      </w:r>
      <w:r w:rsidR="00FC7F8C">
        <w:rPr>
          <w:rFonts w:ascii="Arial" w:hAnsi="Arial" w:cs="Arial"/>
          <w:sz w:val="22"/>
          <w:szCs w:val="22"/>
        </w:rPr>
        <w:t>are often</w:t>
      </w:r>
      <w:r w:rsidRPr="00EE5A81">
        <w:rPr>
          <w:rFonts w:ascii="Arial" w:hAnsi="Arial" w:cs="Arial"/>
          <w:sz w:val="22"/>
          <w:szCs w:val="22"/>
        </w:rPr>
        <w:t xml:space="preserve"> difficult for companies to navigate. The procurement of construction services by </w:t>
      </w:r>
      <w:r w:rsidR="00481CAD">
        <w:rPr>
          <w:rFonts w:ascii="Arial" w:hAnsi="Arial" w:cs="Arial"/>
          <w:sz w:val="22"/>
          <w:szCs w:val="22"/>
        </w:rPr>
        <w:t xml:space="preserve">Australian Government </w:t>
      </w:r>
      <w:r w:rsidRPr="00EE5A81">
        <w:rPr>
          <w:rFonts w:ascii="Arial" w:hAnsi="Arial" w:cs="Arial"/>
          <w:sz w:val="22"/>
          <w:szCs w:val="22"/>
        </w:rPr>
        <w:t xml:space="preserve">departments and agencies is governed by the: </w:t>
      </w:r>
    </w:p>
    <w:p w:rsidR="00EE5A81" w:rsidRPr="00EE5A81" w:rsidRDefault="00EE5A81" w:rsidP="00EE5A81">
      <w:pPr>
        <w:rPr>
          <w:rFonts w:ascii="Arial" w:hAnsi="Arial" w:cs="Arial"/>
          <w:sz w:val="22"/>
          <w:szCs w:val="22"/>
        </w:rPr>
      </w:pPr>
    </w:p>
    <w:p w:rsidR="00EE5A81" w:rsidRPr="00EE5A81" w:rsidRDefault="00EE5A81" w:rsidP="005E46C2">
      <w:pPr>
        <w:numPr>
          <w:ilvl w:val="0"/>
          <w:numId w:val="5"/>
        </w:numPr>
        <w:contextualSpacing/>
        <w:rPr>
          <w:rFonts w:ascii="Arial" w:hAnsi="Arial" w:cs="Arial"/>
          <w:sz w:val="22"/>
          <w:szCs w:val="22"/>
        </w:rPr>
      </w:pPr>
      <w:r w:rsidRPr="003462E7">
        <w:rPr>
          <w:rStyle w:val="Emphasis"/>
        </w:rPr>
        <w:t>Financial Management and Accountability Act 1997</w:t>
      </w:r>
      <w:r w:rsidRPr="00EE5A81">
        <w:rPr>
          <w:rFonts w:ascii="Arial" w:hAnsi="Arial" w:cs="Arial"/>
          <w:sz w:val="22"/>
          <w:szCs w:val="22"/>
        </w:rPr>
        <w:t xml:space="preserve"> (FMA Act)</w:t>
      </w:r>
    </w:p>
    <w:p w:rsidR="00EE5A81" w:rsidRPr="00EE5A81" w:rsidRDefault="002F3FF6" w:rsidP="005E46C2">
      <w:pPr>
        <w:numPr>
          <w:ilvl w:val="0"/>
          <w:numId w:val="5"/>
        </w:numPr>
        <w:contextualSpacing/>
        <w:rPr>
          <w:rFonts w:ascii="Arial" w:hAnsi="Arial" w:cs="Arial"/>
          <w:sz w:val="22"/>
          <w:szCs w:val="22"/>
        </w:rPr>
      </w:pPr>
      <w:hyperlink r:id="rId19" w:history="1">
        <w:r w:rsidR="00EE5A81" w:rsidRPr="003462E7">
          <w:rPr>
            <w:rStyle w:val="Emphasis"/>
          </w:rPr>
          <w:t>Commonwealth Authorities and Companies Act 1997</w:t>
        </w:r>
      </w:hyperlink>
      <w:r w:rsidR="00EE5A81" w:rsidRPr="00EE5A81">
        <w:rPr>
          <w:rFonts w:ascii="Arial" w:hAnsi="Arial" w:cs="Arial"/>
          <w:i/>
          <w:sz w:val="22"/>
          <w:szCs w:val="22"/>
        </w:rPr>
        <w:t xml:space="preserve"> </w:t>
      </w:r>
      <w:r w:rsidR="00EE5A81" w:rsidRPr="00EE5A81">
        <w:rPr>
          <w:rFonts w:ascii="Arial" w:hAnsi="Arial" w:cs="Arial"/>
          <w:sz w:val="22"/>
          <w:szCs w:val="22"/>
        </w:rPr>
        <w:t>(CAC Act)</w:t>
      </w:r>
    </w:p>
    <w:p w:rsidR="00EE5A81" w:rsidRP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 FMA Act and the CAC Act will be replaced by the </w:t>
      </w:r>
      <w:r w:rsidRPr="003462E7">
        <w:rPr>
          <w:rStyle w:val="Emphasis"/>
        </w:rPr>
        <w:t>Public Governance, Performance and Accountability Act 2013</w:t>
      </w:r>
      <w:r w:rsidRPr="00EE5A81">
        <w:rPr>
          <w:rFonts w:ascii="Arial" w:hAnsi="Arial" w:cs="Arial"/>
          <w:sz w:val="22"/>
          <w:szCs w:val="22"/>
        </w:rPr>
        <w:t xml:space="preserve"> which commences on 1 July 2014.</w:t>
      </w:r>
    </w:p>
    <w:p w:rsidR="00EE5A81" w:rsidRPr="00EE5A81" w:rsidRDefault="00EE5A81" w:rsidP="00EE5A81">
      <w:pPr>
        <w:rPr>
          <w:rFonts w:ascii="Arial" w:hAnsi="Arial" w:cs="Arial"/>
          <w:sz w:val="22"/>
          <w:szCs w:val="22"/>
        </w:rPr>
      </w:pPr>
    </w:p>
    <w:p w:rsidR="00EE5A81" w:rsidRPr="00EE5A81" w:rsidRDefault="00A30840" w:rsidP="00EE5A81">
      <w:pPr>
        <w:rPr>
          <w:rFonts w:ascii="Arial" w:hAnsi="Arial" w:cs="Arial"/>
          <w:sz w:val="22"/>
          <w:szCs w:val="22"/>
        </w:rPr>
      </w:pPr>
      <w:r>
        <w:rPr>
          <w:rFonts w:ascii="Arial" w:hAnsi="Arial" w:cs="Arial"/>
          <w:sz w:val="22"/>
          <w:szCs w:val="22"/>
        </w:rPr>
        <w:t>A</w:t>
      </w:r>
      <w:r w:rsidR="00EE5A81" w:rsidRPr="00EE5A81">
        <w:rPr>
          <w:rFonts w:ascii="Arial" w:hAnsi="Arial" w:cs="Arial"/>
          <w:sz w:val="22"/>
          <w:szCs w:val="22"/>
        </w:rPr>
        <w:t xml:space="preserve">ll agencies covered by the FMA Act must comply (and where applicable, ensure suppliers comply) with the Commonwealth Procurement Rules (CPRs) and any other </w:t>
      </w:r>
      <w:r w:rsidR="007460F3">
        <w:rPr>
          <w:rFonts w:ascii="Arial" w:hAnsi="Arial" w:cs="Arial"/>
          <w:sz w:val="22"/>
          <w:szCs w:val="22"/>
        </w:rPr>
        <w:t xml:space="preserve">relevant </w:t>
      </w:r>
      <w:r w:rsidR="00EE5A81" w:rsidRPr="00EE5A81">
        <w:rPr>
          <w:rFonts w:ascii="Arial" w:hAnsi="Arial" w:cs="Arial"/>
          <w:sz w:val="22"/>
          <w:szCs w:val="22"/>
        </w:rPr>
        <w:t>Procurement Connected Policies (PCPs) issued by agencies</w:t>
      </w:r>
      <w:r w:rsidR="00EA3946">
        <w:rPr>
          <w:rFonts w:ascii="Arial" w:hAnsi="Arial" w:cs="Arial"/>
          <w:sz w:val="22"/>
          <w:szCs w:val="22"/>
        </w:rPr>
        <w:t xml:space="preserve"> </w:t>
      </w:r>
    </w:p>
    <w:p w:rsidR="00EE5A81" w:rsidRPr="00EE5A81" w:rsidRDefault="00EE5A81" w:rsidP="00EE5A81">
      <w:pPr>
        <w:rPr>
          <w:rFonts w:ascii="Arial" w:hAnsi="Arial" w:cs="Arial"/>
          <w:sz w:val="22"/>
          <w:szCs w:val="22"/>
        </w:rPr>
      </w:pPr>
    </w:p>
    <w:p w:rsidR="00EE5A81" w:rsidRPr="00EE5A81" w:rsidRDefault="00EE5A81" w:rsidP="00EE5A81">
      <w:pPr>
        <w:rPr>
          <w:rFonts w:ascii="Arial" w:hAnsi="Arial" w:cs="Arial"/>
          <w:sz w:val="22"/>
          <w:szCs w:val="22"/>
        </w:rPr>
      </w:pPr>
      <w:r w:rsidRPr="00EE5A81">
        <w:rPr>
          <w:rFonts w:ascii="Arial" w:hAnsi="Arial" w:cs="Arial"/>
          <w:sz w:val="22"/>
          <w:szCs w:val="22"/>
        </w:rPr>
        <w:t xml:space="preserve">The CPRs apply to the procurement of construction services, where the procurement is valued over $9 million. Similarly, some PCPs only apply to specific procurements and where the procurement value is above certain thresholds. </w:t>
      </w:r>
    </w:p>
    <w:p w:rsidR="00EE5A81" w:rsidRPr="00EE5A81" w:rsidRDefault="00EE5A81" w:rsidP="00EE5A81">
      <w:pPr>
        <w:rPr>
          <w:rFonts w:ascii="Arial" w:hAnsi="Arial" w:cs="Arial"/>
          <w:sz w:val="22"/>
          <w:szCs w:val="22"/>
        </w:rPr>
      </w:pPr>
    </w:p>
    <w:p w:rsidR="00EE5A81" w:rsidRDefault="00EE5A81" w:rsidP="00EE5A81">
      <w:pPr>
        <w:rPr>
          <w:rFonts w:ascii="Arial" w:hAnsi="Arial" w:cs="Arial"/>
          <w:sz w:val="22"/>
          <w:szCs w:val="22"/>
        </w:rPr>
      </w:pPr>
      <w:r w:rsidRPr="00EE5A81">
        <w:rPr>
          <w:rFonts w:ascii="Arial" w:hAnsi="Arial" w:cs="Arial"/>
          <w:sz w:val="22"/>
          <w:szCs w:val="22"/>
        </w:rPr>
        <w:t xml:space="preserve">In relation to the procurement of construction services by </w:t>
      </w:r>
      <w:r w:rsidR="00A30840">
        <w:rPr>
          <w:rFonts w:ascii="Arial" w:hAnsi="Arial" w:cs="Arial"/>
          <w:sz w:val="22"/>
          <w:szCs w:val="22"/>
        </w:rPr>
        <w:t>Australian Government</w:t>
      </w:r>
      <w:r w:rsidR="00A30840" w:rsidRPr="00EE5A81">
        <w:rPr>
          <w:rFonts w:ascii="Arial" w:hAnsi="Arial" w:cs="Arial"/>
          <w:sz w:val="22"/>
          <w:szCs w:val="22"/>
        </w:rPr>
        <w:t xml:space="preserve"> </w:t>
      </w:r>
      <w:r w:rsidRPr="00EE5A81">
        <w:rPr>
          <w:rFonts w:ascii="Arial" w:hAnsi="Arial" w:cs="Arial"/>
          <w:sz w:val="22"/>
          <w:szCs w:val="22"/>
        </w:rPr>
        <w:t xml:space="preserve">agencies, tenderers are required to demonstrate compliance with the </w:t>
      </w:r>
      <w:r w:rsidRPr="003462E7">
        <w:rPr>
          <w:rStyle w:val="Emphasis"/>
        </w:rPr>
        <w:t>Building Code 2013</w:t>
      </w:r>
      <w:r w:rsidRPr="00EE5A81">
        <w:rPr>
          <w:rFonts w:ascii="Arial" w:hAnsi="Arial" w:cs="Arial"/>
          <w:sz w:val="22"/>
          <w:szCs w:val="22"/>
        </w:rPr>
        <w:t xml:space="preserve"> and the Scheme</w:t>
      </w:r>
      <w:r w:rsidR="00A0448B">
        <w:rPr>
          <w:rFonts w:ascii="Arial" w:hAnsi="Arial" w:cs="Arial"/>
          <w:sz w:val="22"/>
          <w:szCs w:val="22"/>
        </w:rPr>
        <w:t>,</w:t>
      </w:r>
      <w:r w:rsidRPr="00EE5A81">
        <w:rPr>
          <w:rFonts w:ascii="Arial" w:hAnsi="Arial" w:cs="Arial"/>
          <w:sz w:val="22"/>
          <w:szCs w:val="22"/>
        </w:rPr>
        <w:t xml:space="preserve"> subject to relevant financial thresholds. </w:t>
      </w:r>
      <w:r w:rsidR="00D15D83">
        <w:rPr>
          <w:rFonts w:ascii="Arial" w:hAnsi="Arial" w:cs="Arial"/>
          <w:sz w:val="22"/>
          <w:szCs w:val="22"/>
        </w:rPr>
        <w:t>Australian Government</w:t>
      </w:r>
      <w:r w:rsidR="00A30840" w:rsidRPr="00EE5A81">
        <w:rPr>
          <w:rFonts w:ascii="Arial" w:hAnsi="Arial" w:cs="Arial"/>
          <w:sz w:val="22"/>
          <w:szCs w:val="22"/>
        </w:rPr>
        <w:t xml:space="preserve"> </w:t>
      </w:r>
      <w:r w:rsidRPr="00EE5A81">
        <w:rPr>
          <w:rFonts w:ascii="Arial" w:hAnsi="Arial" w:cs="Arial"/>
          <w:sz w:val="22"/>
          <w:szCs w:val="22"/>
        </w:rPr>
        <w:t xml:space="preserve">agencies are also encouraged to consider </w:t>
      </w:r>
      <w:r w:rsidR="00A30840" w:rsidRPr="00EE5A81">
        <w:rPr>
          <w:rFonts w:ascii="Arial" w:hAnsi="Arial" w:cs="Arial"/>
          <w:sz w:val="22"/>
          <w:szCs w:val="22"/>
        </w:rPr>
        <w:t xml:space="preserve">favourably </w:t>
      </w:r>
      <w:r w:rsidRPr="00EE5A81">
        <w:rPr>
          <w:rFonts w:ascii="Arial" w:hAnsi="Arial" w:cs="Arial"/>
          <w:sz w:val="22"/>
          <w:szCs w:val="22"/>
        </w:rPr>
        <w:t xml:space="preserve">those tenderers </w:t>
      </w:r>
      <w:r w:rsidR="007C2197">
        <w:rPr>
          <w:rFonts w:ascii="Arial" w:hAnsi="Arial" w:cs="Arial"/>
          <w:sz w:val="22"/>
          <w:szCs w:val="22"/>
        </w:rPr>
        <w:t>that</w:t>
      </w:r>
      <w:r w:rsidRPr="00EE5A81">
        <w:rPr>
          <w:rFonts w:ascii="Arial" w:hAnsi="Arial" w:cs="Arial"/>
          <w:sz w:val="22"/>
          <w:szCs w:val="22"/>
        </w:rPr>
        <w:t xml:space="preserve"> demonstrate commitment to supporting apprenticeships and education and training in the workplace. </w:t>
      </w:r>
    </w:p>
    <w:p w:rsidR="00E41FC9" w:rsidRPr="00EE5A81" w:rsidRDefault="00E41FC9" w:rsidP="00EE5A81">
      <w:pPr>
        <w:rPr>
          <w:rFonts w:ascii="Arial" w:hAnsi="Arial" w:cs="Arial"/>
          <w:sz w:val="22"/>
          <w:szCs w:val="22"/>
        </w:rPr>
      </w:pPr>
    </w:p>
    <w:p w:rsidR="00B761A0" w:rsidRDefault="00BA22B2" w:rsidP="00B761A0">
      <w:pPr>
        <w:rPr>
          <w:rFonts w:ascii="Arial" w:hAnsi="Arial" w:cs="Arial"/>
          <w:sz w:val="22"/>
          <w:szCs w:val="22"/>
        </w:rPr>
      </w:pPr>
      <w:r w:rsidRPr="00EE5A81">
        <w:rPr>
          <w:rFonts w:ascii="Arial" w:hAnsi="Arial" w:cs="Arial"/>
          <w:sz w:val="22"/>
          <w:szCs w:val="22"/>
        </w:rPr>
        <w:t xml:space="preserve">Feedback </w:t>
      </w:r>
      <w:r>
        <w:rPr>
          <w:rFonts w:ascii="Arial" w:hAnsi="Arial" w:cs="Arial"/>
          <w:sz w:val="22"/>
          <w:szCs w:val="22"/>
        </w:rPr>
        <w:t>was</w:t>
      </w:r>
      <w:r w:rsidRPr="00EE5A81">
        <w:rPr>
          <w:rFonts w:ascii="Arial" w:hAnsi="Arial" w:cs="Arial"/>
          <w:sz w:val="22"/>
          <w:szCs w:val="22"/>
        </w:rPr>
        <w:t xml:space="preserve"> sought about areas wh</w:t>
      </w:r>
      <w:r w:rsidR="00EA08CA">
        <w:rPr>
          <w:rFonts w:ascii="Arial" w:hAnsi="Arial" w:cs="Arial"/>
          <w:sz w:val="22"/>
          <w:szCs w:val="22"/>
        </w:rPr>
        <w:t>ere</w:t>
      </w:r>
      <w:r w:rsidRPr="00EE5A81">
        <w:rPr>
          <w:rFonts w:ascii="Arial" w:hAnsi="Arial" w:cs="Arial"/>
          <w:sz w:val="22"/>
          <w:szCs w:val="22"/>
        </w:rPr>
        <w:t xml:space="preserve"> the Scheme overlaps or duplicates </w:t>
      </w:r>
      <w:r>
        <w:rPr>
          <w:rFonts w:ascii="Arial" w:hAnsi="Arial" w:cs="Arial"/>
          <w:sz w:val="22"/>
          <w:szCs w:val="22"/>
        </w:rPr>
        <w:t>procurement requirements generally</w:t>
      </w:r>
      <w:r w:rsidRPr="00EE5A81">
        <w:rPr>
          <w:rFonts w:ascii="Arial" w:hAnsi="Arial" w:cs="Arial"/>
          <w:sz w:val="22"/>
          <w:szCs w:val="22"/>
        </w:rPr>
        <w:t xml:space="preserve">. </w:t>
      </w:r>
      <w:r w:rsidR="00B761A0" w:rsidRPr="00B761A0">
        <w:rPr>
          <w:rFonts w:ascii="Arial" w:hAnsi="Arial" w:cs="Arial"/>
          <w:sz w:val="22"/>
          <w:szCs w:val="22"/>
        </w:rPr>
        <w:t xml:space="preserve">The submissions included some general themes such as calls to align the Scheme’s requirements </w:t>
      </w:r>
      <w:r w:rsidR="000F0BED">
        <w:rPr>
          <w:rFonts w:ascii="Arial" w:hAnsi="Arial" w:cs="Arial"/>
          <w:sz w:val="22"/>
          <w:szCs w:val="22"/>
        </w:rPr>
        <w:t>with those</w:t>
      </w:r>
      <w:r w:rsidR="00B761A0" w:rsidRPr="00B761A0">
        <w:rPr>
          <w:rFonts w:ascii="Arial" w:hAnsi="Arial" w:cs="Arial"/>
          <w:sz w:val="22"/>
          <w:szCs w:val="22"/>
        </w:rPr>
        <w:t xml:space="preserve"> of the state and territory </w:t>
      </w:r>
      <w:r w:rsidR="00D85434">
        <w:rPr>
          <w:rFonts w:ascii="Arial" w:hAnsi="Arial" w:cs="Arial"/>
          <w:sz w:val="22"/>
          <w:szCs w:val="22"/>
        </w:rPr>
        <w:t>prequalification</w:t>
      </w:r>
      <w:r w:rsidR="00B761A0" w:rsidRPr="00B761A0">
        <w:rPr>
          <w:rFonts w:ascii="Arial" w:hAnsi="Arial" w:cs="Arial"/>
          <w:sz w:val="22"/>
          <w:szCs w:val="22"/>
        </w:rPr>
        <w:t xml:space="preserve"> schemes (</w:t>
      </w:r>
      <w:r w:rsidR="00FC7F8C">
        <w:rPr>
          <w:rFonts w:ascii="Arial" w:hAnsi="Arial" w:cs="Arial"/>
          <w:sz w:val="22"/>
          <w:szCs w:val="22"/>
        </w:rPr>
        <w:t>discussed in the previous section</w:t>
      </w:r>
      <w:r w:rsidR="00B761A0" w:rsidRPr="00B761A0">
        <w:rPr>
          <w:rFonts w:ascii="Arial" w:hAnsi="Arial" w:cs="Arial"/>
          <w:sz w:val="22"/>
          <w:szCs w:val="22"/>
        </w:rPr>
        <w:t xml:space="preserve">) and for the OFSC to improve </w:t>
      </w:r>
      <w:r w:rsidR="00A30840">
        <w:rPr>
          <w:rFonts w:ascii="Arial" w:hAnsi="Arial" w:cs="Arial"/>
          <w:sz w:val="22"/>
          <w:szCs w:val="22"/>
        </w:rPr>
        <w:t xml:space="preserve">its </w:t>
      </w:r>
      <w:r w:rsidR="00A30840" w:rsidRPr="00B761A0">
        <w:rPr>
          <w:rFonts w:ascii="Arial" w:hAnsi="Arial" w:cs="Arial"/>
          <w:sz w:val="22"/>
          <w:szCs w:val="22"/>
        </w:rPr>
        <w:t>education</w:t>
      </w:r>
      <w:r w:rsidR="00A30840">
        <w:rPr>
          <w:rFonts w:ascii="Arial" w:hAnsi="Arial" w:cs="Arial"/>
          <w:sz w:val="22"/>
          <w:szCs w:val="22"/>
        </w:rPr>
        <w:t xml:space="preserve"> of</w:t>
      </w:r>
      <w:r w:rsidR="00A30840" w:rsidRPr="00B761A0">
        <w:rPr>
          <w:rFonts w:ascii="Arial" w:hAnsi="Arial" w:cs="Arial"/>
          <w:sz w:val="22"/>
          <w:szCs w:val="22"/>
        </w:rPr>
        <w:t xml:space="preserve"> </w:t>
      </w:r>
      <w:r w:rsidR="00D15D83">
        <w:rPr>
          <w:rFonts w:ascii="Arial" w:hAnsi="Arial" w:cs="Arial"/>
          <w:sz w:val="22"/>
          <w:szCs w:val="22"/>
        </w:rPr>
        <w:t>Australian Government</w:t>
      </w:r>
      <w:r w:rsidR="00B761A0" w:rsidRPr="00B761A0">
        <w:rPr>
          <w:rFonts w:ascii="Arial" w:hAnsi="Arial" w:cs="Arial"/>
          <w:sz w:val="22"/>
          <w:szCs w:val="22"/>
        </w:rPr>
        <w:t xml:space="preserve"> agenc</w:t>
      </w:r>
      <w:r w:rsidR="00A30840">
        <w:rPr>
          <w:rFonts w:ascii="Arial" w:hAnsi="Arial" w:cs="Arial"/>
          <w:sz w:val="22"/>
          <w:szCs w:val="22"/>
        </w:rPr>
        <w:t>ies</w:t>
      </w:r>
      <w:r w:rsidR="00B761A0" w:rsidRPr="00B761A0">
        <w:rPr>
          <w:rFonts w:ascii="Arial" w:hAnsi="Arial" w:cs="Arial"/>
          <w:sz w:val="22"/>
          <w:szCs w:val="22"/>
        </w:rPr>
        <w:t xml:space="preserve"> on the Scheme’s requirements so that </w:t>
      </w:r>
      <w:r w:rsidR="00FC7F8C">
        <w:rPr>
          <w:rFonts w:ascii="Arial" w:hAnsi="Arial" w:cs="Arial"/>
          <w:sz w:val="22"/>
          <w:szCs w:val="22"/>
        </w:rPr>
        <w:t>agencies</w:t>
      </w:r>
      <w:r w:rsidR="00FC7F8C" w:rsidRPr="00B761A0">
        <w:rPr>
          <w:rFonts w:ascii="Arial" w:hAnsi="Arial" w:cs="Arial"/>
          <w:sz w:val="22"/>
          <w:szCs w:val="22"/>
        </w:rPr>
        <w:t xml:space="preserve"> </w:t>
      </w:r>
      <w:r w:rsidR="00B761A0" w:rsidRPr="00B761A0">
        <w:rPr>
          <w:rFonts w:ascii="Arial" w:hAnsi="Arial" w:cs="Arial"/>
          <w:sz w:val="22"/>
          <w:szCs w:val="22"/>
        </w:rPr>
        <w:t xml:space="preserve">are better placed to </w:t>
      </w:r>
      <w:r w:rsidR="00FC7F8C">
        <w:rPr>
          <w:rFonts w:ascii="Arial" w:hAnsi="Arial" w:cs="Arial"/>
          <w:sz w:val="22"/>
          <w:szCs w:val="22"/>
        </w:rPr>
        <w:t xml:space="preserve">provide early </w:t>
      </w:r>
      <w:r w:rsidR="00541044">
        <w:rPr>
          <w:rFonts w:ascii="Arial" w:hAnsi="Arial" w:cs="Arial"/>
          <w:sz w:val="22"/>
          <w:szCs w:val="22"/>
        </w:rPr>
        <w:t>advic</w:t>
      </w:r>
      <w:r w:rsidR="00B761A0" w:rsidRPr="00B761A0">
        <w:rPr>
          <w:rFonts w:ascii="Arial" w:hAnsi="Arial" w:cs="Arial"/>
          <w:sz w:val="22"/>
          <w:szCs w:val="22"/>
        </w:rPr>
        <w:t xml:space="preserve">e </w:t>
      </w:r>
      <w:r w:rsidR="00FC7F8C">
        <w:rPr>
          <w:rFonts w:ascii="Arial" w:hAnsi="Arial" w:cs="Arial"/>
          <w:sz w:val="22"/>
          <w:szCs w:val="22"/>
        </w:rPr>
        <w:t xml:space="preserve">to </w:t>
      </w:r>
      <w:r w:rsidR="00B761A0" w:rsidRPr="00B761A0">
        <w:rPr>
          <w:rFonts w:ascii="Arial" w:hAnsi="Arial" w:cs="Arial"/>
          <w:sz w:val="22"/>
          <w:szCs w:val="22"/>
        </w:rPr>
        <w:t>tenderers of their obligation</w:t>
      </w:r>
      <w:r w:rsidR="00FC7F8C">
        <w:rPr>
          <w:rFonts w:ascii="Arial" w:hAnsi="Arial" w:cs="Arial"/>
          <w:sz w:val="22"/>
          <w:szCs w:val="22"/>
        </w:rPr>
        <w:t xml:space="preserve"> to attain accreditation in order to be eligible to contract</w:t>
      </w:r>
      <w:r>
        <w:rPr>
          <w:rFonts w:ascii="Arial" w:hAnsi="Arial" w:cs="Arial"/>
          <w:sz w:val="22"/>
          <w:szCs w:val="22"/>
        </w:rPr>
        <w:t xml:space="preserve"> for building work</w:t>
      </w:r>
      <w:r w:rsidR="00B761A0" w:rsidRPr="00B761A0">
        <w:rPr>
          <w:rFonts w:ascii="Arial" w:hAnsi="Arial" w:cs="Arial"/>
          <w:sz w:val="22"/>
          <w:szCs w:val="22"/>
        </w:rPr>
        <w:t xml:space="preserve">. </w:t>
      </w:r>
    </w:p>
    <w:p w:rsidR="000861C6" w:rsidRDefault="000861C6" w:rsidP="00B761A0">
      <w:pPr>
        <w:rPr>
          <w:rFonts w:ascii="Arial" w:hAnsi="Arial" w:cs="Arial"/>
          <w:sz w:val="22"/>
          <w:szCs w:val="22"/>
        </w:rPr>
      </w:pPr>
    </w:p>
    <w:p w:rsidR="00F36D47" w:rsidRDefault="000861C6" w:rsidP="000861C6">
      <w:pPr>
        <w:rPr>
          <w:rFonts w:ascii="Arial" w:hAnsi="Arial" w:cs="Arial"/>
          <w:sz w:val="22"/>
          <w:szCs w:val="22"/>
        </w:rPr>
      </w:pPr>
      <w:r w:rsidRPr="00B761A0">
        <w:rPr>
          <w:rFonts w:ascii="Arial" w:hAnsi="Arial" w:cs="Arial"/>
          <w:sz w:val="22"/>
          <w:szCs w:val="22"/>
        </w:rPr>
        <w:t xml:space="preserve">MBA suggested that this question be posed to </w:t>
      </w:r>
      <w:r w:rsidR="00A30840">
        <w:rPr>
          <w:rFonts w:ascii="Arial" w:hAnsi="Arial" w:cs="Arial"/>
          <w:sz w:val="22"/>
          <w:szCs w:val="22"/>
        </w:rPr>
        <w:t>G</w:t>
      </w:r>
      <w:r w:rsidRPr="00B761A0">
        <w:rPr>
          <w:rFonts w:ascii="Arial" w:hAnsi="Arial" w:cs="Arial"/>
          <w:sz w:val="22"/>
          <w:szCs w:val="22"/>
        </w:rPr>
        <w:t xml:space="preserve">overnment agencies in the context of the </w:t>
      </w:r>
      <w:r w:rsidR="00BB4D2B">
        <w:rPr>
          <w:rFonts w:ascii="Arial" w:hAnsi="Arial" w:cs="Arial"/>
          <w:sz w:val="22"/>
          <w:szCs w:val="22"/>
        </w:rPr>
        <w:t>G</w:t>
      </w:r>
      <w:r w:rsidRPr="00B761A0">
        <w:rPr>
          <w:rFonts w:ascii="Arial" w:hAnsi="Arial" w:cs="Arial"/>
          <w:sz w:val="22"/>
          <w:szCs w:val="22"/>
        </w:rPr>
        <w:t xml:space="preserve">overnment’s priority </w:t>
      </w:r>
      <w:r w:rsidR="000F0BED">
        <w:rPr>
          <w:rFonts w:ascii="Arial" w:hAnsi="Arial" w:cs="Arial"/>
          <w:sz w:val="22"/>
          <w:szCs w:val="22"/>
        </w:rPr>
        <w:t>of</w:t>
      </w:r>
      <w:r w:rsidRPr="00B761A0">
        <w:rPr>
          <w:rFonts w:ascii="Arial" w:hAnsi="Arial" w:cs="Arial"/>
          <w:sz w:val="22"/>
          <w:szCs w:val="22"/>
        </w:rPr>
        <w:t xml:space="preserve"> reducing red tape.</w:t>
      </w:r>
      <w:r>
        <w:rPr>
          <w:rFonts w:ascii="Arial" w:hAnsi="Arial" w:cs="Arial"/>
          <w:sz w:val="22"/>
          <w:szCs w:val="22"/>
        </w:rPr>
        <w:t xml:space="preserve"> </w:t>
      </w:r>
      <w:r w:rsidRPr="00B761A0">
        <w:rPr>
          <w:rFonts w:ascii="Arial" w:hAnsi="Arial" w:cs="Arial"/>
          <w:sz w:val="22"/>
          <w:szCs w:val="22"/>
        </w:rPr>
        <w:t xml:space="preserve">ACCI suggested stakeholder consultation should be undertaken with regard to this area to further reduce </w:t>
      </w:r>
      <w:r w:rsidR="00BB4D2B" w:rsidRPr="00B761A0">
        <w:rPr>
          <w:rFonts w:ascii="Arial" w:hAnsi="Arial" w:cs="Arial"/>
          <w:sz w:val="22"/>
          <w:szCs w:val="22"/>
        </w:rPr>
        <w:t xml:space="preserve">costs related </w:t>
      </w:r>
      <w:r w:rsidR="00BB4D2B">
        <w:rPr>
          <w:rFonts w:ascii="Arial" w:hAnsi="Arial" w:cs="Arial"/>
          <w:sz w:val="22"/>
          <w:szCs w:val="22"/>
        </w:rPr>
        <w:t xml:space="preserve">to </w:t>
      </w:r>
      <w:r w:rsidRPr="00B761A0">
        <w:rPr>
          <w:rFonts w:ascii="Arial" w:hAnsi="Arial" w:cs="Arial"/>
          <w:sz w:val="22"/>
          <w:szCs w:val="22"/>
        </w:rPr>
        <w:t>procurement.</w:t>
      </w:r>
      <w:r>
        <w:rPr>
          <w:rFonts w:ascii="Arial" w:hAnsi="Arial" w:cs="Arial"/>
          <w:sz w:val="22"/>
          <w:szCs w:val="22"/>
        </w:rPr>
        <w:t xml:space="preserve"> </w:t>
      </w:r>
    </w:p>
    <w:p w:rsidR="00F36D47" w:rsidRDefault="00F36D47" w:rsidP="000861C6">
      <w:pPr>
        <w:rPr>
          <w:rFonts w:ascii="Arial" w:hAnsi="Arial" w:cs="Arial"/>
          <w:sz w:val="22"/>
          <w:szCs w:val="22"/>
        </w:rPr>
      </w:pPr>
    </w:p>
    <w:p w:rsidR="008F7E72" w:rsidRDefault="000861C6" w:rsidP="000861C6">
      <w:pPr>
        <w:rPr>
          <w:rFonts w:ascii="Arial" w:hAnsi="Arial" w:cs="Arial"/>
          <w:sz w:val="22"/>
          <w:szCs w:val="22"/>
          <w:highlight w:val="yellow"/>
        </w:rPr>
      </w:pPr>
      <w:r>
        <w:rPr>
          <w:rFonts w:ascii="Arial" w:hAnsi="Arial" w:cs="Arial"/>
          <w:sz w:val="22"/>
          <w:szCs w:val="22"/>
        </w:rPr>
        <w:t xml:space="preserve">A number of submissions noted the </w:t>
      </w:r>
      <w:r w:rsidR="006C35C0">
        <w:rPr>
          <w:rFonts w:ascii="Arial" w:hAnsi="Arial" w:cs="Arial"/>
          <w:sz w:val="22"/>
          <w:szCs w:val="22"/>
        </w:rPr>
        <w:t xml:space="preserve">amount and variation </w:t>
      </w:r>
      <w:r>
        <w:rPr>
          <w:rFonts w:ascii="Arial" w:hAnsi="Arial" w:cs="Arial"/>
          <w:sz w:val="22"/>
          <w:szCs w:val="22"/>
        </w:rPr>
        <w:t>of documentation required by funding agencies as part of the tender process, with suggestions that the provision of large amounts of documents be delayed until the company becomes one of those who ha</w:t>
      </w:r>
      <w:r w:rsidR="00AB5E29">
        <w:rPr>
          <w:rFonts w:ascii="Arial" w:hAnsi="Arial" w:cs="Arial"/>
          <w:sz w:val="22"/>
          <w:szCs w:val="22"/>
        </w:rPr>
        <w:t xml:space="preserve">ve </w:t>
      </w:r>
      <w:r>
        <w:rPr>
          <w:rFonts w:ascii="Arial" w:hAnsi="Arial" w:cs="Arial"/>
          <w:sz w:val="22"/>
          <w:szCs w:val="22"/>
        </w:rPr>
        <w:t>progressed beyond the initial stag</w:t>
      </w:r>
      <w:r w:rsidRPr="001D2AD3">
        <w:rPr>
          <w:rFonts w:ascii="Arial" w:hAnsi="Arial" w:cs="Arial"/>
          <w:sz w:val="22"/>
          <w:szCs w:val="22"/>
        </w:rPr>
        <w:t xml:space="preserve">e. </w:t>
      </w:r>
    </w:p>
    <w:p w:rsidR="008F7E72" w:rsidRDefault="008F7E72" w:rsidP="000861C6">
      <w:pPr>
        <w:rPr>
          <w:rFonts w:ascii="Arial" w:hAnsi="Arial" w:cs="Arial"/>
          <w:sz w:val="22"/>
          <w:szCs w:val="22"/>
          <w:highlight w:val="yellow"/>
        </w:rPr>
      </w:pPr>
    </w:p>
    <w:p w:rsidR="008F7E72" w:rsidRDefault="008F7E72" w:rsidP="000861C6">
      <w:pPr>
        <w:rPr>
          <w:rFonts w:ascii="Arial" w:hAnsi="Arial" w:cs="Arial"/>
          <w:sz w:val="22"/>
          <w:szCs w:val="22"/>
        </w:rPr>
      </w:pPr>
      <w:r w:rsidRPr="008F7E72">
        <w:rPr>
          <w:rFonts w:ascii="Arial" w:hAnsi="Arial" w:cs="Arial"/>
          <w:sz w:val="22"/>
          <w:szCs w:val="22"/>
        </w:rPr>
        <w:t>AGARG members agreed that it can be confusing for builders to work out what the requirements are to undertake</w:t>
      </w:r>
      <w:r w:rsidR="00FD2ED6">
        <w:rPr>
          <w:rFonts w:ascii="Arial" w:hAnsi="Arial" w:cs="Arial"/>
          <w:sz w:val="22"/>
          <w:szCs w:val="22"/>
        </w:rPr>
        <w:t xml:space="preserve"> </w:t>
      </w:r>
      <w:r w:rsidR="00D15D83">
        <w:rPr>
          <w:rFonts w:ascii="Arial" w:hAnsi="Arial" w:cs="Arial"/>
          <w:sz w:val="22"/>
          <w:szCs w:val="22"/>
        </w:rPr>
        <w:t>Commonwealth Government fund</w:t>
      </w:r>
      <w:r w:rsidRPr="008F7E72">
        <w:rPr>
          <w:rFonts w:ascii="Arial" w:hAnsi="Arial" w:cs="Arial"/>
          <w:sz w:val="22"/>
          <w:szCs w:val="22"/>
        </w:rPr>
        <w:t xml:space="preserve">ed building work. Several members acknowledged the efforts in recent years to clarify requirements with mixed results. One suggestion was that agencies articulate </w:t>
      </w:r>
      <w:r w:rsidR="00BB4D2B" w:rsidRPr="008F7E72">
        <w:rPr>
          <w:rFonts w:ascii="Arial" w:hAnsi="Arial" w:cs="Arial"/>
          <w:sz w:val="22"/>
          <w:szCs w:val="22"/>
        </w:rPr>
        <w:t xml:space="preserve">clearly </w:t>
      </w:r>
      <w:r w:rsidRPr="008F7E72">
        <w:rPr>
          <w:rFonts w:ascii="Arial" w:hAnsi="Arial" w:cs="Arial"/>
          <w:sz w:val="22"/>
          <w:szCs w:val="22"/>
        </w:rPr>
        <w:t xml:space="preserve">who in their agency is specifically responsible for a building project or projects. </w:t>
      </w:r>
    </w:p>
    <w:p w:rsidR="008F7E72" w:rsidRDefault="008F7E72" w:rsidP="000861C6">
      <w:pPr>
        <w:rPr>
          <w:rFonts w:ascii="Arial" w:hAnsi="Arial" w:cs="Arial"/>
          <w:sz w:val="22"/>
          <w:szCs w:val="22"/>
        </w:rPr>
      </w:pPr>
    </w:p>
    <w:p w:rsidR="00F36D47" w:rsidRDefault="008F7E72" w:rsidP="00F36D47">
      <w:pPr>
        <w:rPr>
          <w:rFonts w:ascii="Arial" w:hAnsi="Arial" w:cs="Arial"/>
          <w:sz w:val="22"/>
          <w:szCs w:val="22"/>
        </w:rPr>
      </w:pPr>
      <w:r>
        <w:rPr>
          <w:rFonts w:ascii="Arial" w:hAnsi="Arial" w:cs="Arial"/>
          <w:sz w:val="22"/>
          <w:szCs w:val="22"/>
        </w:rPr>
        <w:t xml:space="preserve">In </w:t>
      </w:r>
      <w:r w:rsidR="00BB4D2B">
        <w:rPr>
          <w:rFonts w:ascii="Arial" w:hAnsi="Arial" w:cs="Arial"/>
          <w:sz w:val="22"/>
          <w:szCs w:val="22"/>
        </w:rPr>
        <w:t>its</w:t>
      </w:r>
      <w:r>
        <w:rPr>
          <w:rFonts w:ascii="Arial" w:hAnsi="Arial" w:cs="Arial"/>
          <w:sz w:val="22"/>
          <w:szCs w:val="22"/>
        </w:rPr>
        <w:t xml:space="preserve"> submission, </w:t>
      </w:r>
      <w:r w:rsidR="00F36D47">
        <w:rPr>
          <w:rFonts w:ascii="Arial" w:hAnsi="Arial" w:cs="Arial"/>
          <w:sz w:val="22"/>
          <w:szCs w:val="22"/>
        </w:rPr>
        <w:t>Safe Work Australia noted that p</w:t>
      </w:r>
      <w:r w:rsidR="00F36D47" w:rsidRPr="00F36D47">
        <w:rPr>
          <w:rFonts w:ascii="Arial" w:hAnsi="Arial" w:cs="Arial"/>
          <w:sz w:val="22"/>
          <w:szCs w:val="22"/>
        </w:rPr>
        <w:t>rocurement-related costs and administration need to be carefully weighed against the costs of non-compliance with work</w:t>
      </w:r>
      <w:r w:rsidR="00F36D47">
        <w:rPr>
          <w:rFonts w:ascii="Arial" w:hAnsi="Arial" w:cs="Arial"/>
          <w:sz w:val="22"/>
          <w:szCs w:val="22"/>
        </w:rPr>
        <w:t xml:space="preserve"> health and safety requirements and that ‘w</w:t>
      </w:r>
      <w:r w:rsidR="00F36D47" w:rsidRPr="00F36D47">
        <w:rPr>
          <w:rFonts w:ascii="Arial" w:hAnsi="Arial" w:cs="Arial"/>
          <w:sz w:val="22"/>
          <w:szCs w:val="22"/>
        </w:rPr>
        <w:t xml:space="preserve">hole of government’ </w:t>
      </w:r>
      <w:r w:rsidR="00D85434">
        <w:rPr>
          <w:rFonts w:ascii="Arial" w:hAnsi="Arial" w:cs="Arial"/>
          <w:sz w:val="22"/>
          <w:szCs w:val="22"/>
        </w:rPr>
        <w:t>prequalification</w:t>
      </w:r>
      <w:r w:rsidR="00F36D47" w:rsidRPr="00F36D47">
        <w:rPr>
          <w:rFonts w:ascii="Arial" w:hAnsi="Arial" w:cs="Arial"/>
          <w:sz w:val="22"/>
          <w:szCs w:val="22"/>
        </w:rPr>
        <w:t xml:space="preserve"> and accreditation arrangements remove the incentive or need for individual department</w:t>
      </w:r>
      <w:r w:rsidR="00BB4D2B">
        <w:rPr>
          <w:rFonts w:ascii="Arial" w:hAnsi="Arial" w:cs="Arial"/>
          <w:sz w:val="22"/>
          <w:szCs w:val="22"/>
        </w:rPr>
        <w:t>s</w:t>
      </w:r>
      <w:r w:rsidR="00F36D47" w:rsidRPr="00F36D47">
        <w:rPr>
          <w:rFonts w:ascii="Arial" w:hAnsi="Arial" w:cs="Arial"/>
          <w:sz w:val="22"/>
          <w:szCs w:val="22"/>
        </w:rPr>
        <w:t xml:space="preserve"> or agencies to set up their own equivalent schemes. </w:t>
      </w:r>
    </w:p>
    <w:p w:rsidR="000861C6" w:rsidRDefault="000861C6" w:rsidP="00B761A0">
      <w:pPr>
        <w:rPr>
          <w:rFonts w:ascii="Arial" w:hAnsi="Arial" w:cs="Arial"/>
          <w:sz w:val="22"/>
          <w:szCs w:val="22"/>
        </w:rPr>
      </w:pPr>
    </w:p>
    <w:p w:rsidR="00F36D47" w:rsidRDefault="000F0BED">
      <w:pPr>
        <w:rPr>
          <w:rFonts w:ascii="Arial" w:hAnsi="Arial" w:cs="Arial"/>
          <w:sz w:val="22"/>
          <w:szCs w:val="22"/>
        </w:rPr>
      </w:pPr>
      <w:r>
        <w:rPr>
          <w:rFonts w:ascii="Arial" w:hAnsi="Arial" w:cs="Arial"/>
          <w:sz w:val="22"/>
          <w:szCs w:val="22"/>
        </w:rPr>
        <w:t xml:space="preserve">Safe Work Australia’s </w:t>
      </w:r>
      <w:r w:rsidR="00BA22B2">
        <w:rPr>
          <w:rFonts w:ascii="Arial" w:hAnsi="Arial" w:cs="Arial"/>
          <w:sz w:val="22"/>
          <w:szCs w:val="22"/>
        </w:rPr>
        <w:t xml:space="preserve">submission </w:t>
      </w:r>
      <w:r>
        <w:rPr>
          <w:rFonts w:ascii="Arial" w:hAnsi="Arial" w:cs="Arial"/>
          <w:sz w:val="22"/>
          <w:szCs w:val="22"/>
        </w:rPr>
        <w:t>suggested</w:t>
      </w:r>
      <w:r w:rsidR="00BA22B2">
        <w:rPr>
          <w:rFonts w:ascii="Arial" w:hAnsi="Arial" w:cs="Arial"/>
          <w:sz w:val="22"/>
          <w:szCs w:val="22"/>
        </w:rPr>
        <w:t xml:space="preserve"> that s</w:t>
      </w:r>
      <w:r w:rsidR="00B761A0" w:rsidRPr="00B761A0">
        <w:rPr>
          <w:rFonts w:ascii="Arial" w:hAnsi="Arial" w:cs="Arial"/>
          <w:sz w:val="22"/>
          <w:szCs w:val="22"/>
        </w:rPr>
        <w:t xml:space="preserve">treamlined ‘whole of government’ approaches to procurement </w:t>
      </w:r>
      <w:r w:rsidR="00F36D47">
        <w:rPr>
          <w:rFonts w:ascii="Arial" w:hAnsi="Arial" w:cs="Arial"/>
          <w:sz w:val="22"/>
          <w:szCs w:val="22"/>
        </w:rPr>
        <w:t>would</w:t>
      </w:r>
      <w:r w:rsidR="00B761A0" w:rsidRPr="00B761A0">
        <w:rPr>
          <w:rFonts w:ascii="Arial" w:hAnsi="Arial" w:cs="Arial"/>
          <w:sz w:val="22"/>
          <w:szCs w:val="22"/>
        </w:rPr>
        <w:t xml:space="preserve"> promote certainty about the </w:t>
      </w:r>
      <w:r w:rsidR="00AB5E29">
        <w:rPr>
          <w:rFonts w:ascii="Arial" w:hAnsi="Arial" w:cs="Arial"/>
          <w:sz w:val="22"/>
          <w:szCs w:val="22"/>
        </w:rPr>
        <w:t xml:space="preserve">procurement </w:t>
      </w:r>
      <w:r w:rsidR="00B761A0" w:rsidRPr="00B761A0">
        <w:rPr>
          <w:rFonts w:ascii="Arial" w:hAnsi="Arial" w:cs="Arial"/>
          <w:sz w:val="22"/>
          <w:szCs w:val="22"/>
        </w:rPr>
        <w:t>process (</w:t>
      </w:r>
      <w:r>
        <w:rPr>
          <w:rFonts w:ascii="Arial" w:hAnsi="Arial" w:cs="Arial"/>
          <w:sz w:val="22"/>
          <w:szCs w:val="22"/>
        </w:rPr>
        <w:t xml:space="preserve">i.e., </w:t>
      </w:r>
      <w:r w:rsidR="00B761A0" w:rsidRPr="00B761A0">
        <w:rPr>
          <w:rFonts w:ascii="Arial" w:hAnsi="Arial" w:cs="Arial"/>
          <w:sz w:val="22"/>
          <w:szCs w:val="22"/>
        </w:rPr>
        <w:t>what will be required, how tenders will be assessed and how contracts will be administered and audited) and reduce unnecessary red tape.</w:t>
      </w:r>
      <w:r w:rsidR="00F36D47">
        <w:rPr>
          <w:rFonts w:ascii="Arial" w:hAnsi="Arial" w:cs="Arial"/>
          <w:sz w:val="22"/>
          <w:szCs w:val="22"/>
        </w:rPr>
        <w:t xml:space="preserve"> </w:t>
      </w:r>
    </w:p>
    <w:p w:rsidR="00A40070" w:rsidRPr="00F36D47" w:rsidRDefault="00A40070" w:rsidP="00F36D47">
      <w:pPr>
        <w:rPr>
          <w:rFonts w:ascii="Arial" w:hAnsi="Arial" w:cs="Arial"/>
          <w:sz w:val="22"/>
          <w:szCs w:val="22"/>
        </w:rPr>
      </w:pPr>
    </w:p>
    <w:p w:rsidR="00A40070" w:rsidRDefault="00A40070" w:rsidP="00A40070">
      <w:pPr>
        <w:rPr>
          <w:rFonts w:ascii="Arial" w:hAnsi="Arial" w:cs="Arial"/>
          <w:sz w:val="22"/>
          <w:szCs w:val="22"/>
        </w:rPr>
      </w:pPr>
      <w:r>
        <w:rPr>
          <w:rFonts w:ascii="Arial" w:hAnsi="Arial" w:cs="Arial"/>
          <w:sz w:val="22"/>
          <w:szCs w:val="22"/>
        </w:rPr>
        <w:t xml:space="preserve">All </w:t>
      </w:r>
      <w:r w:rsidR="00BA22B2">
        <w:rPr>
          <w:rFonts w:ascii="Arial" w:hAnsi="Arial" w:cs="Arial"/>
          <w:sz w:val="22"/>
          <w:szCs w:val="22"/>
        </w:rPr>
        <w:t xml:space="preserve">AGARG </w:t>
      </w:r>
      <w:r>
        <w:rPr>
          <w:rFonts w:ascii="Arial" w:hAnsi="Arial" w:cs="Arial"/>
          <w:sz w:val="22"/>
          <w:szCs w:val="22"/>
        </w:rPr>
        <w:t xml:space="preserve">members </w:t>
      </w:r>
      <w:r w:rsidR="00BA22B2">
        <w:rPr>
          <w:rFonts w:ascii="Arial" w:hAnsi="Arial" w:cs="Arial"/>
          <w:sz w:val="22"/>
          <w:szCs w:val="22"/>
        </w:rPr>
        <w:t xml:space="preserve">as well as a broad range of submissions </w:t>
      </w:r>
      <w:r>
        <w:rPr>
          <w:rFonts w:ascii="Arial" w:hAnsi="Arial" w:cs="Arial"/>
          <w:sz w:val="22"/>
          <w:szCs w:val="22"/>
        </w:rPr>
        <w:t>agreed that th</w:t>
      </w:r>
      <w:r w:rsidR="00BA22B2">
        <w:rPr>
          <w:rFonts w:ascii="Arial" w:hAnsi="Arial" w:cs="Arial"/>
          <w:sz w:val="22"/>
          <w:szCs w:val="22"/>
        </w:rPr>
        <w:t>e</w:t>
      </w:r>
      <w:r>
        <w:rPr>
          <w:rFonts w:ascii="Arial" w:hAnsi="Arial" w:cs="Arial"/>
          <w:sz w:val="22"/>
          <w:szCs w:val="22"/>
        </w:rPr>
        <w:t xml:space="preserve"> issue </w:t>
      </w:r>
      <w:r w:rsidR="00BA22B2">
        <w:rPr>
          <w:rFonts w:ascii="Arial" w:hAnsi="Arial" w:cs="Arial"/>
          <w:sz w:val="22"/>
          <w:szCs w:val="22"/>
        </w:rPr>
        <w:t xml:space="preserve">of procurement requirements </w:t>
      </w:r>
      <w:r>
        <w:rPr>
          <w:rFonts w:ascii="Arial" w:hAnsi="Arial" w:cs="Arial"/>
          <w:sz w:val="22"/>
          <w:szCs w:val="22"/>
        </w:rPr>
        <w:t xml:space="preserve">would require further consultation </w:t>
      </w:r>
      <w:r w:rsidR="00A0448B">
        <w:rPr>
          <w:rFonts w:ascii="Arial" w:hAnsi="Arial" w:cs="Arial"/>
          <w:sz w:val="22"/>
          <w:szCs w:val="22"/>
        </w:rPr>
        <w:t>after</w:t>
      </w:r>
      <w:r>
        <w:rPr>
          <w:rFonts w:ascii="Arial" w:hAnsi="Arial" w:cs="Arial"/>
          <w:sz w:val="22"/>
          <w:szCs w:val="22"/>
        </w:rPr>
        <w:t xml:space="preserve"> the </w:t>
      </w:r>
      <w:r w:rsidR="000F0BED">
        <w:rPr>
          <w:rFonts w:ascii="Arial" w:hAnsi="Arial" w:cs="Arial"/>
          <w:sz w:val="22"/>
          <w:szCs w:val="22"/>
        </w:rPr>
        <w:t>R</w:t>
      </w:r>
      <w:r>
        <w:rPr>
          <w:rFonts w:ascii="Arial" w:hAnsi="Arial" w:cs="Arial"/>
          <w:sz w:val="22"/>
          <w:szCs w:val="22"/>
        </w:rPr>
        <w:t>eview and should involve a wide range of agencies and jurisdictions in the process</w:t>
      </w:r>
      <w:r w:rsidR="00F822DC">
        <w:rPr>
          <w:rFonts w:ascii="Arial" w:hAnsi="Arial" w:cs="Arial"/>
          <w:sz w:val="22"/>
          <w:szCs w:val="22"/>
        </w:rPr>
        <w:t>. Noting the limited scope and role of the OFSC in procurement generally, a recommendation on t</w:t>
      </w:r>
      <w:r w:rsidR="00D15D83">
        <w:rPr>
          <w:rFonts w:ascii="Arial" w:hAnsi="Arial" w:cs="Arial"/>
          <w:sz w:val="22"/>
          <w:szCs w:val="22"/>
        </w:rPr>
        <w:t>his has been made for whole of g</w:t>
      </w:r>
      <w:r w:rsidR="00F822DC">
        <w:rPr>
          <w:rFonts w:ascii="Arial" w:hAnsi="Arial" w:cs="Arial"/>
          <w:sz w:val="22"/>
          <w:szCs w:val="22"/>
        </w:rPr>
        <w:t>overnment consideration</w:t>
      </w:r>
      <w:r>
        <w:rPr>
          <w:rFonts w:ascii="Arial" w:hAnsi="Arial" w:cs="Arial"/>
          <w:sz w:val="22"/>
          <w:szCs w:val="22"/>
        </w:rPr>
        <w:t xml:space="preserve">. </w:t>
      </w:r>
    </w:p>
    <w:p w:rsidR="00F36D47" w:rsidRDefault="00F36D47" w:rsidP="00B761A0">
      <w:pPr>
        <w:rPr>
          <w:rFonts w:ascii="Arial" w:hAnsi="Arial" w:cs="Arial"/>
          <w:sz w:val="22"/>
          <w:szCs w:val="22"/>
        </w:rPr>
      </w:pPr>
    </w:p>
    <w:p w:rsidR="00E55511" w:rsidRDefault="00E55511" w:rsidP="00B761A0">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641E32CB" wp14:editId="758F8AC8">
                <wp:extent cx="5743575" cy="609600"/>
                <wp:effectExtent l="0" t="0" r="28575" b="1905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09600"/>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E5551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23</w:t>
                            </w:r>
                            <w:r w:rsidRPr="005E46C2">
                              <w:rPr>
                                <w:rFonts w:ascii="Arial" w:hAnsi="Arial" w:cs="Arial"/>
                                <w:sz w:val="22"/>
                                <w:szCs w:val="22"/>
                                <w:highlight w:val="lightGray"/>
                              </w:rPr>
                              <w:t>:</w:t>
                            </w:r>
                            <w:r>
                              <w:rPr>
                                <w:rFonts w:ascii="Arial" w:hAnsi="Arial" w:cs="Arial"/>
                                <w:sz w:val="22"/>
                                <w:szCs w:val="22"/>
                              </w:rPr>
                              <w:t xml:space="preserve"> The </w:t>
                            </w:r>
                            <w:r w:rsidRPr="009406F8">
                              <w:rPr>
                                <w:rFonts w:ascii="Arial" w:hAnsi="Arial" w:cs="Arial"/>
                                <w:sz w:val="22"/>
                                <w:szCs w:val="22"/>
                              </w:rPr>
                              <w:t xml:space="preserve">Government </w:t>
                            </w:r>
                            <w:r>
                              <w:rPr>
                                <w:rFonts w:ascii="Arial" w:hAnsi="Arial" w:cs="Arial"/>
                                <w:sz w:val="22"/>
                                <w:szCs w:val="22"/>
                              </w:rPr>
                              <w:t>considers ways in which there can be greater clarity across funding agencies around c</w:t>
                            </w:r>
                            <w:r w:rsidRPr="009406F8">
                              <w:rPr>
                                <w:rFonts w:ascii="Arial" w:hAnsi="Arial" w:cs="Arial"/>
                                <w:sz w:val="22"/>
                                <w:szCs w:val="22"/>
                              </w:rPr>
                              <w:t>onstruction industry</w:t>
                            </w:r>
                            <w:r>
                              <w:rPr>
                                <w:rFonts w:ascii="Arial" w:hAnsi="Arial" w:cs="Arial"/>
                                <w:sz w:val="22"/>
                                <w:szCs w:val="22"/>
                              </w:rPr>
                              <w:t xml:space="preserve"> procurement requirements.</w:t>
                            </w:r>
                            <w:r w:rsidRPr="009406F8">
                              <w:rPr>
                                <w:rFonts w:ascii="Arial" w:hAnsi="Arial" w:cs="Arial"/>
                                <w:sz w:val="22"/>
                                <w:szCs w:val="22"/>
                              </w:rPr>
                              <w:t xml:space="preserve"> </w:t>
                            </w:r>
                          </w:p>
                        </w:txbxContent>
                      </wps:txbx>
                      <wps:bodyPr rot="0" vert="horz" wrap="square" lIns="91440" tIns="45720" rIns="91440" bIns="45720" anchor="ctr" anchorCtr="0">
                        <a:noAutofit/>
                      </wps:bodyPr>
                    </wps:wsp>
                  </a:graphicData>
                </a:graphic>
              </wp:inline>
            </w:drawing>
          </mc:Choice>
          <mc:Fallback>
            <w:pict>
              <v:shape w14:anchorId="641E32CB" id="_x0000_s1048" type="#_x0000_t202" style="width:452.25pt;height:4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" fillcolor="#d8d8d8 [2732]">
                <v:textbox>
                  <w:txbxContent>
                    <w:p w:rsidR="00226B47" w:rsidRPr="00E55511" w:rsidRDefault="00226B47" w:rsidP="00E5551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23</w:t>
                      </w:r>
                      <w:r w:rsidRPr="005E46C2">
                        <w:rPr>
                          <w:rFonts w:ascii="Arial" w:hAnsi="Arial" w:cs="Arial"/>
                          <w:sz w:val="22"/>
                          <w:szCs w:val="22"/>
                          <w:highlight w:val="lightGray"/>
                        </w:rPr>
                        <w:t>:</w:t>
                      </w:r>
                      <w:r>
                        <w:rPr>
                          <w:rFonts w:ascii="Arial" w:hAnsi="Arial" w:cs="Arial"/>
                          <w:sz w:val="22"/>
                          <w:szCs w:val="22"/>
                        </w:rPr>
                        <w:t xml:space="preserve"> The </w:t>
                      </w:r>
                      <w:r w:rsidRPr="009406F8">
                        <w:rPr>
                          <w:rFonts w:ascii="Arial" w:hAnsi="Arial" w:cs="Arial"/>
                          <w:sz w:val="22"/>
                          <w:szCs w:val="22"/>
                        </w:rPr>
                        <w:t xml:space="preserve">Government </w:t>
                      </w:r>
                      <w:r>
                        <w:rPr>
                          <w:rFonts w:ascii="Arial" w:hAnsi="Arial" w:cs="Arial"/>
                          <w:sz w:val="22"/>
                          <w:szCs w:val="22"/>
                        </w:rPr>
                        <w:t>considers ways in which there can be greater clarity across funding agencies around c</w:t>
                      </w:r>
                      <w:r w:rsidRPr="009406F8">
                        <w:rPr>
                          <w:rFonts w:ascii="Arial" w:hAnsi="Arial" w:cs="Arial"/>
                          <w:sz w:val="22"/>
                          <w:szCs w:val="22"/>
                        </w:rPr>
                        <w:t>onstruction industry</w:t>
                      </w:r>
                      <w:r>
                        <w:rPr>
                          <w:rFonts w:ascii="Arial" w:hAnsi="Arial" w:cs="Arial"/>
                          <w:sz w:val="22"/>
                          <w:szCs w:val="22"/>
                        </w:rPr>
                        <w:t xml:space="preserve"> procurement requirements.</w:t>
                      </w:r>
                      <w:r w:rsidRPr="009406F8">
                        <w:rPr>
                          <w:rFonts w:ascii="Arial" w:hAnsi="Arial" w:cs="Arial"/>
                          <w:sz w:val="22"/>
                          <w:szCs w:val="22"/>
                        </w:rPr>
                        <w:t xml:space="preserve"> </w:t>
                      </w:r>
                    </w:p>
                  </w:txbxContent>
                </v:textbox>
                <w10:anchorlock/>
              </v:shape>
            </w:pict>
          </mc:Fallback>
        </mc:AlternateContent>
      </w:r>
    </w:p>
    <w:p w:rsidR="00AB5E29" w:rsidRPr="008525D8" w:rsidRDefault="00AB5E29" w:rsidP="00B761A0"/>
    <w:p w:rsidR="00414A01" w:rsidRPr="008525D8" w:rsidRDefault="00414A01">
      <w:bookmarkStart w:id="57" w:name="_Toc382816485"/>
    </w:p>
    <w:p w:rsidR="00A32A20" w:rsidRPr="00A32A20" w:rsidRDefault="00A32A20" w:rsidP="00B01E1D">
      <w:pPr>
        <w:pStyle w:val="Heading1"/>
      </w:pPr>
      <w:bookmarkStart w:id="58" w:name="_Toc390429536"/>
      <w:bookmarkEnd w:id="57"/>
      <w:r w:rsidRPr="00A32A20">
        <w:t>Subcontractors</w:t>
      </w:r>
      <w:bookmarkEnd w:id="58"/>
    </w:p>
    <w:p w:rsidR="00A32A20" w:rsidRDefault="00A32A20" w:rsidP="00A32A20">
      <w:pPr>
        <w:rPr>
          <w:rFonts w:ascii="Arial" w:hAnsi="Arial" w:cs="Arial"/>
          <w:sz w:val="22"/>
          <w:szCs w:val="22"/>
        </w:rPr>
      </w:pPr>
    </w:p>
    <w:p w:rsidR="00611C5A" w:rsidRPr="00611C5A" w:rsidRDefault="00611C5A" w:rsidP="00611C5A">
      <w:pPr>
        <w:rPr>
          <w:rFonts w:ascii="Arial" w:hAnsi="Arial" w:cs="Arial"/>
          <w:sz w:val="22"/>
          <w:szCs w:val="22"/>
        </w:rPr>
      </w:pPr>
      <w:r w:rsidRPr="00611C5A">
        <w:rPr>
          <w:rFonts w:ascii="Arial" w:hAnsi="Arial" w:cs="Arial"/>
          <w:sz w:val="22"/>
          <w:szCs w:val="22"/>
        </w:rPr>
        <w:t xml:space="preserve">The Scheme </w:t>
      </w:r>
      <w:r w:rsidR="000F1ABC" w:rsidRPr="00611C5A">
        <w:rPr>
          <w:rFonts w:ascii="Arial" w:hAnsi="Arial" w:cs="Arial"/>
          <w:sz w:val="22"/>
          <w:szCs w:val="22"/>
        </w:rPr>
        <w:t>focuses</w:t>
      </w:r>
      <w:r w:rsidRPr="00611C5A">
        <w:rPr>
          <w:rFonts w:ascii="Arial" w:hAnsi="Arial" w:cs="Arial"/>
          <w:sz w:val="22"/>
          <w:szCs w:val="22"/>
        </w:rPr>
        <w:t xml:space="preserve"> on a whole</w:t>
      </w:r>
      <w:r w:rsidR="003C361B">
        <w:rPr>
          <w:rFonts w:ascii="Arial" w:hAnsi="Arial" w:cs="Arial"/>
          <w:sz w:val="22"/>
          <w:szCs w:val="22"/>
        </w:rPr>
        <w:t>-</w:t>
      </w:r>
      <w:r w:rsidRPr="00611C5A">
        <w:rPr>
          <w:rFonts w:ascii="Arial" w:hAnsi="Arial" w:cs="Arial"/>
          <w:sz w:val="22"/>
          <w:szCs w:val="22"/>
        </w:rPr>
        <w:t>of</w:t>
      </w:r>
      <w:r w:rsidR="003C361B">
        <w:rPr>
          <w:rFonts w:ascii="Arial" w:hAnsi="Arial" w:cs="Arial"/>
          <w:sz w:val="22"/>
          <w:szCs w:val="22"/>
        </w:rPr>
        <w:t>-</w:t>
      </w:r>
      <w:r w:rsidRPr="00611C5A">
        <w:rPr>
          <w:rFonts w:ascii="Arial" w:hAnsi="Arial" w:cs="Arial"/>
          <w:sz w:val="22"/>
          <w:szCs w:val="22"/>
        </w:rPr>
        <w:t xml:space="preserve">project approach to safety and imposes requirements on principal contractors in relation to communication, consultation and management of </w:t>
      </w:r>
      <w:r w:rsidR="00F01F2A">
        <w:rPr>
          <w:rFonts w:ascii="Arial" w:hAnsi="Arial" w:cs="Arial"/>
          <w:sz w:val="22"/>
          <w:szCs w:val="22"/>
        </w:rPr>
        <w:t xml:space="preserve">their </w:t>
      </w:r>
      <w:r w:rsidRPr="00611C5A">
        <w:rPr>
          <w:rFonts w:ascii="Arial" w:hAnsi="Arial" w:cs="Arial"/>
          <w:sz w:val="22"/>
          <w:szCs w:val="22"/>
        </w:rPr>
        <w:t>subcontractor</w:t>
      </w:r>
      <w:r w:rsidR="00F01F2A">
        <w:rPr>
          <w:rFonts w:ascii="Arial" w:hAnsi="Arial" w:cs="Arial"/>
          <w:sz w:val="22"/>
          <w:szCs w:val="22"/>
        </w:rPr>
        <w:t>s’</w:t>
      </w:r>
      <w:r w:rsidRPr="00611C5A">
        <w:rPr>
          <w:rFonts w:ascii="Arial" w:hAnsi="Arial" w:cs="Arial"/>
          <w:sz w:val="22"/>
          <w:szCs w:val="22"/>
        </w:rPr>
        <w:t xml:space="preserve"> WHS.</w:t>
      </w:r>
      <w:r w:rsidR="004D2E88">
        <w:rPr>
          <w:rFonts w:ascii="Arial" w:hAnsi="Arial" w:cs="Arial"/>
          <w:sz w:val="22"/>
          <w:szCs w:val="22"/>
        </w:rPr>
        <w:t xml:space="preserve"> </w:t>
      </w:r>
      <w:r w:rsidR="00F01F2A" w:rsidRPr="002B5B1D">
        <w:rPr>
          <w:rFonts w:ascii="Arial" w:hAnsi="Arial" w:cs="Arial"/>
          <w:sz w:val="22"/>
          <w:szCs w:val="22"/>
        </w:rPr>
        <w:t>Princip</w:t>
      </w:r>
      <w:r w:rsidR="009C4A56">
        <w:rPr>
          <w:rFonts w:ascii="Arial" w:hAnsi="Arial" w:cs="Arial"/>
          <w:sz w:val="22"/>
          <w:szCs w:val="22"/>
        </w:rPr>
        <w:t>a</w:t>
      </w:r>
      <w:r w:rsidR="00F01F2A" w:rsidRPr="002B5B1D">
        <w:rPr>
          <w:rFonts w:ascii="Arial" w:hAnsi="Arial" w:cs="Arial"/>
          <w:sz w:val="22"/>
          <w:szCs w:val="22"/>
        </w:rPr>
        <w:t>l contractors have a legislat</w:t>
      </w:r>
      <w:r w:rsidR="00F01F2A">
        <w:rPr>
          <w:rFonts w:ascii="Arial" w:hAnsi="Arial" w:cs="Arial"/>
          <w:sz w:val="22"/>
          <w:szCs w:val="22"/>
        </w:rPr>
        <w:t>ed responsibility</w:t>
      </w:r>
      <w:r w:rsidR="00F01F2A" w:rsidRPr="002B5B1D">
        <w:rPr>
          <w:rFonts w:ascii="Arial" w:hAnsi="Arial" w:cs="Arial"/>
          <w:sz w:val="22"/>
          <w:szCs w:val="22"/>
        </w:rPr>
        <w:t xml:space="preserve"> to ensure compliance by</w:t>
      </w:r>
      <w:r w:rsidR="00F01F2A">
        <w:rPr>
          <w:rFonts w:ascii="Arial" w:hAnsi="Arial" w:cs="Arial"/>
          <w:sz w:val="22"/>
          <w:szCs w:val="22"/>
        </w:rPr>
        <w:t xml:space="preserve"> their </w:t>
      </w:r>
      <w:r w:rsidR="00F01F2A" w:rsidRPr="002B5B1D">
        <w:rPr>
          <w:rFonts w:ascii="Arial" w:hAnsi="Arial" w:cs="Arial"/>
          <w:sz w:val="22"/>
          <w:szCs w:val="22"/>
        </w:rPr>
        <w:t>sub-contractors</w:t>
      </w:r>
      <w:r w:rsidR="009C4A56">
        <w:rPr>
          <w:rFonts w:ascii="Arial" w:hAnsi="Arial" w:cs="Arial"/>
          <w:sz w:val="22"/>
          <w:szCs w:val="22"/>
        </w:rPr>
        <w:t xml:space="preserve"> with </w:t>
      </w:r>
      <w:r w:rsidR="00F01F2A" w:rsidRPr="000C0C22">
        <w:rPr>
          <w:rFonts w:ascii="Arial" w:hAnsi="Arial" w:cs="Arial"/>
          <w:sz w:val="22"/>
          <w:szCs w:val="22"/>
        </w:rPr>
        <w:t xml:space="preserve">the requirements of the </w:t>
      </w:r>
      <w:r w:rsidR="00F01F2A">
        <w:rPr>
          <w:rFonts w:ascii="Arial" w:hAnsi="Arial" w:cs="Arial"/>
          <w:sz w:val="22"/>
          <w:szCs w:val="22"/>
        </w:rPr>
        <w:t>p</w:t>
      </w:r>
      <w:r w:rsidR="00F01F2A" w:rsidRPr="000C0C22">
        <w:rPr>
          <w:rFonts w:ascii="Arial" w:hAnsi="Arial" w:cs="Arial"/>
          <w:sz w:val="22"/>
          <w:szCs w:val="22"/>
        </w:rPr>
        <w:t xml:space="preserve">rincipal </w:t>
      </w:r>
      <w:r w:rsidR="00F01F2A">
        <w:rPr>
          <w:rFonts w:ascii="Arial" w:hAnsi="Arial" w:cs="Arial"/>
          <w:sz w:val="22"/>
          <w:szCs w:val="22"/>
        </w:rPr>
        <w:t>c</w:t>
      </w:r>
      <w:r w:rsidR="00F01F2A" w:rsidRPr="000C0C22">
        <w:rPr>
          <w:rFonts w:ascii="Arial" w:hAnsi="Arial" w:cs="Arial"/>
          <w:sz w:val="22"/>
          <w:szCs w:val="22"/>
        </w:rPr>
        <w:t>ontractor in compl</w:t>
      </w:r>
      <w:r w:rsidR="00F01F2A">
        <w:rPr>
          <w:rFonts w:ascii="Arial" w:hAnsi="Arial" w:cs="Arial"/>
          <w:sz w:val="22"/>
          <w:szCs w:val="22"/>
        </w:rPr>
        <w:t>y</w:t>
      </w:r>
      <w:r w:rsidR="00F01F2A" w:rsidRPr="000C0C22">
        <w:rPr>
          <w:rFonts w:ascii="Arial" w:hAnsi="Arial" w:cs="Arial"/>
          <w:sz w:val="22"/>
          <w:szCs w:val="22"/>
        </w:rPr>
        <w:t>i</w:t>
      </w:r>
      <w:r w:rsidR="00F01F2A">
        <w:rPr>
          <w:rFonts w:ascii="Arial" w:hAnsi="Arial" w:cs="Arial"/>
          <w:sz w:val="22"/>
          <w:szCs w:val="22"/>
        </w:rPr>
        <w:t>ng</w:t>
      </w:r>
      <w:r w:rsidR="00F01F2A" w:rsidRPr="000C0C22">
        <w:rPr>
          <w:rFonts w:ascii="Arial" w:hAnsi="Arial" w:cs="Arial"/>
          <w:sz w:val="22"/>
          <w:szCs w:val="22"/>
        </w:rPr>
        <w:t xml:space="preserve"> with the Scheme</w:t>
      </w:r>
      <w:r w:rsidR="00F01F2A">
        <w:rPr>
          <w:rFonts w:ascii="Arial" w:hAnsi="Arial" w:cs="Arial"/>
          <w:sz w:val="22"/>
          <w:szCs w:val="22"/>
        </w:rPr>
        <w:t>’s</w:t>
      </w:r>
      <w:r w:rsidR="00F01F2A" w:rsidRPr="000C0C22">
        <w:rPr>
          <w:rFonts w:ascii="Arial" w:hAnsi="Arial" w:cs="Arial"/>
          <w:sz w:val="22"/>
          <w:szCs w:val="22"/>
        </w:rPr>
        <w:t xml:space="preserve"> criteria</w:t>
      </w:r>
      <w:r w:rsidR="00F01F2A">
        <w:rPr>
          <w:rFonts w:ascii="Arial" w:hAnsi="Arial" w:cs="Arial"/>
          <w:sz w:val="22"/>
          <w:szCs w:val="22"/>
        </w:rPr>
        <w:t xml:space="preserve">. </w:t>
      </w:r>
    </w:p>
    <w:p w:rsidR="00611C5A" w:rsidRPr="00611C5A" w:rsidRDefault="00611C5A" w:rsidP="00611C5A">
      <w:pPr>
        <w:rPr>
          <w:rFonts w:ascii="Arial" w:hAnsi="Arial" w:cs="Arial"/>
          <w:sz w:val="22"/>
          <w:szCs w:val="22"/>
        </w:rPr>
      </w:pPr>
    </w:p>
    <w:p w:rsidR="00611C5A" w:rsidRPr="00611C5A" w:rsidRDefault="00611C5A" w:rsidP="00611C5A">
      <w:pPr>
        <w:rPr>
          <w:rFonts w:ascii="Arial" w:hAnsi="Arial" w:cs="Arial"/>
          <w:sz w:val="22"/>
          <w:szCs w:val="22"/>
        </w:rPr>
      </w:pPr>
      <w:r w:rsidRPr="00611C5A">
        <w:rPr>
          <w:rFonts w:ascii="Arial" w:hAnsi="Arial" w:cs="Arial"/>
          <w:sz w:val="22"/>
          <w:szCs w:val="22"/>
        </w:rPr>
        <w:t xml:space="preserve">Accreditation is not a requirement for subcontractors and they are specifically excluded by the Scheme </w:t>
      </w:r>
      <w:r w:rsidR="00A0448B">
        <w:rPr>
          <w:rFonts w:ascii="Arial" w:hAnsi="Arial" w:cs="Arial"/>
          <w:sz w:val="22"/>
          <w:szCs w:val="22"/>
        </w:rPr>
        <w:t>r</w:t>
      </w:r>
      <w:r w:rsidRPr="00611C5A">
        <w:rPr>
          <w:rFonts w:ascii="Arial" w:hAnsi="Arial" w:cs="Arial"/>
          <w:sz w:val="22"/>
          <w:szCs w:val="22"/>
        </w:rPr>
        <w:t>egulations. However, a key element of the Scheme is improved safety through stakeholder management. Accordingly, a number of the criteria which apply to accredited companies create requirements relating to their interaction with subcontractors. This flow</w:t>
      </w:r>
      <w:r w:rsidR="003C361B">
        <w:rPr>
          <w:rFonts w:ascii="Arial" w:hAnsi="Arial" w:cs="Arial"/>
          <w:sz w:val="22"/>
          <w:szCs w:val="22"/>
        </w:rPr>
        <w:t>-</w:t>
      </w:r>
      <w:r w:rsidRPr="00611C5A">
        <w:rPr>
          <w:rFonts w:ascii="Arial" w:hAnsi="Arial" w:cs="Arial"/>
          <w:sz w:val="22"/>
          <w:szCs w:val="22"/>
        </w:rPr>
        <w:t xml:space="preserve">on to subcontractors has resulted in feedback from subcontractors about confusion or inconsistency in the expectations and requirements of different accredited contractors </w:t>
      </w:r>
      <w:r w:rsidR="003C361B">
        <w:rPr>
          <w:rFonts w:ascii="Arial" w:hAnsi="Arial" w:cs="Arial"/>
          <w:sz w:val="22"/>
          <w:szCs w:val="22"/>
        </w:rPr>
        <w:t>with whom</w:t>
      </w:r>
      <w:r w:rsidRPr="00611C5A">
        <w:rPr>
          <w:rFonts w:ascii="Arial" w:hAnsi="Arial" w:cs="Arial"/>
          <w:sz w:val="22"/>
          <w:szCs w:val="22"/>
        </w:rPr>
        <w:t xml:space="preserve"> they work. Some stakeholders have indicated that consideration should be given to ways to reduce the costs </w:t>
      </w:r>
      <w:r w:rsidR="00A0448B">
        <w:rPr>
          <w:rFonts w:ascii="Arial" w:hAnsi="Arial" w:cs="Arial"/>
          <w:sz w:val="22"/>
          <w:szCs w:val="22"/>
        </w:rPr>
        <w:t>to</w:t>
      </w:r>
      <w:r w:rsidRPr="00611C5A">
        <w:rPr>
          <w:rFonts w:ascii="Arial" w:hAnsi="Arial" w:cs="Arial"/>
          <w:sz w:val="22"/>
          <w:szCs w:val="22"/>
        </w:rPr>
        <w:t xml:space="preserve"> subcontractors working to accredited head contractors on Scheme projects.</w:t>
      </w:r>
    </w:p>
    <w:p w:rsidR="00611C5A" w:rsidRDefault="00611C5A" w:rsidP="00A32A20">
      <w:pPr>
        <w:rPr>
          <w:rFonts w:ascii="Arial" w:hAnsi="Arial" w:cs="Arial"/>
          <w:sz w:val="22"/>
          <w:szCs w:val="22"/>
        </w:rPr>
      </w:pPr>
    </w:p>
    <w:p w:rsidR="00DE2EA3" w:rsidRDefault="00DE2EA3">
      <w:pPr>
        <w:rPr>
          <w:rFonts w:ascii="Arial" w:hAnsi="Arial" w:cs="Arial"/>
          <w:sz w:val="22"/>
          <w:szCs w:val="22"/>
        </w:rPr>
      </w:pPr>
      <w:r>
        <w:rPr>
          <w:rFonts w:ascii="Arial" w:hAnsi="Arial" w:cs="Arial"/>
          <w:sz w:val="22"/>
          <w:szCs w:val="22"/>
        </w:rPr>
        <w:br w:type="page"/>
      </w:r>
    </w:p>
    <w:p w:rsidR="008A2043" w:rsidRDefault="008A2043" w:rsidP="00A32A20">
      <w:pPr>
        <w:rPr>
          <w:rFonts w:ascii="Arial" w:hAnsi="Arial" w:cs="Arial"/>
          <w:sz w:val="22"/>
          <w:szCs w:val="22"/>
        </w:rPr>
      </w:pPr>
      <w:r>
        <w:rPr>
          <w:rFonts w:ascii="Arial" w:hAnsi="Arial" w:cs="Arial"/>
          <w:sz w:val="22"/>
          <w:szCs w:val="22"/>
        </w:rPr>
        <w:t>A number of specific concerns for subcontractors were raised by organisations representing specialist subcontractors</w:t>
      </w:r>
      <w:r w:rsidR="00BD3849">
        <w:rPr>
          <w:rFonts w:ascii="Arial" w:hAnsi="Arial" w:cs="Arial"/>
          <w:sz w:val="22"/>
          <w:szCs w:val="22"/>
        </w:rPr>
        <w:t>,</w:t>
      </w:r>
      <w:r>
        <w:rPr>
          <w:rFonts w:ascii="Arial" w:hAnsi="Arial" w:cs="Arial"/>
          <w:sz w:val="22"/>
          <w:szCs w:val="22"/>
        </w:rPr>
        <w:t xml:space="preserve"> including AMCA and NECA. </w:t>
      </w:r>
      <w:r w:rsidR="00B761A0">
        <w:rPr>
          <w:rFonts w:ascii="Arial" w:hAnsi="Arial" w:cs="Arial"/>
          <w:sz w:val="22"/>
          <w:szCs w:val="22"/>
        </w:rPr>
        <w:t xml:space="preserve">A number of submissions noted that while the head contractor manages the contract and the project, 80 </w:t>
      </w:r>
      <w:r w:rsidR="003C68EC">
        <w:rPr>
          <w:rFonts w:ascii="Arial" w:hAnsi="Arial" w:cs="Arial"/>
          <w:sz w:val="22"/>
          <w:szCs w:val="22"/>
        </w:rPr>
        <w:t>t</w:t>
      </w:r>
      <w:r w:rsidR="00B761A0">
        <w:rPr>
          <w:rFonts w:ascii="Arial" w:hAnsi="Arial" w:cs="Arial"/>
          <w:sz w:val="22"/>
          <w:szCs w:val="22"/>
        </w:rPr>
        <w:t xml:space="preserve">o 90 per cent </w:t>
      </w:r>
      <w:r w:rsidR="000C0C22" w:rsidRPr="00611C5A">
        <w:rPr>
          <w:rFonts w:ascii="Arial" w:hAnsi="Arial" w:cs="Arial"/>
          <w:sz w:val="22"/>
          <w:szCs w:val="22"/>
        </w:rPr>
        <w:t xml:space="preserve">of the work is carried out by specialist subcontractors. </w:t>
      </w:r>
      <w:r w:rsidR="003C361B">
        <w:rPr>
          <w:rFonts w:ascii="Arial" w:hAnsi="Arial" w:cs="Arial"/>
          <w:sz w:val="22"/>
          <w:szCs w:val="22"/>
        </w:rPr>
        <w:t>T</w:t>
      </w:r>
      <w:r w:rsidR="003C361B" w:rsidRPr="00611C5A">
        <w:rPr>
          <w:rFonts w:ascii="Arial" w:hAnsi="Arial" w:cs="Arial"/>
          <w:sz w:val="22"/>
          <w:szCs w:val="22"/>
        </w:rPr>
        <w:t>herefore</w:t>
      </w:r>
      <w:r w:rsidR="003C361B">
        <w:rPr>
          <w:rFonts w:ascii="Arial" w:hAnsi="Arial" w:cs="Arial"/>
          <w:sz w:val="22"/>
          <w:szCs w:val="22"/>
        </w:rPr>
        <w:t>, m</w:t>
      </w:r>
      <w:r w:rsidR="000C0C22" w:rsidRPr="00611C5A">
        <w:rPr>
          <w:rFonts w:ascii="Arial" w:hAnsi="Arial" w:cs="Arial"/>
          <w:sz w:val="22"/>
          <w:szCs w:val="22"/>
        </w:rPr>
        <w:t xml:space="preserve">any specialist subcontractors employ more people than the "builder" and have </w:t>
      </w:r>
      <w:r w:rsidR="000C0C22">
        <w:rPr>
          <w:rFonts w:ascii="Arial" w:hAnsi="Arial" w:cs="Arial"/>
          <w:sz w:val="22"/>
          <w:szCs w:val="22"/>
        </w:rPr>
        <w:t xml:space="preserve">their own </w:t>
      </w:r>
      <w:r w:rsidR="00BD3849">
        <w:rPr>
          <w:rFonts w:ascii="Arial" w:hAnsi="Arial" w:cs="Arial"/>
          <w:sz w:val="22"/>
          <w:szCs w:val="22"/>
        </w:rPr>
        <w:t>W</w:t>
      </w:r>
      <w:r w:rsidR="000C0C22">
        <w:rPr>
          <w:rFonts w:ascii="Arial" w:hAnsi="Arial" w:cs="Arial"/>
          <w:sz w:val="22"/>
          <w:szCs w:val="22"/>
        </w:rPr>
        <w:t xml:space="preserve">HS systems. According to </w:t>
      </w:r>
      <w:r w:rsidR="007C2197">
        <w:rPr>
          <w:rFonts w:ascii="Arial" w:hAnsi="Arial" w:cs="Arial"/>
          <w:sz w:val="22"/>
          <w:szCs w:val="22"/>
        </w:rPr>
        <w:t>A</w:t>
      </w:r>
      <w:r w:rsidR="000C0C22">
        <w:rPr>
          <w:rFonts w:ascii="Arial" w:hAnsi="Arial" w:cs="Arial"/>
          <w:sz w:val="22"/>
          <w:szCs w:val="22"/>
        </w:rPr>
        <w:t xml:space="preserve">MCA, this </w:t>
      </w:r>
      <w:r w:rsidR="000C0C22" w:rsidRPr="00611C5A">
        <w:rPr>
          <w:rFonts w:ascii="Arial" w:hAnsi="Arial" w:cs="Arial"/>
          <w:sz w:val="22"/>
          <w:szCs w:val="22"/>
        </w:rPr>
        <w:t xml:space="preserve">can result in increased cost to the specialist subcontractor, confusion between systems, and </w:t>
      </w:r>
      <w:r w:rsidR="003C68EC">
        <w:rPr>
          <w:rFonts w:ascii="Arial" w:hAnsi="Arial" w:cs="Arial"/>
          <w:sz w:val="22"/>
          <w:szCs w:val="22"/>
        </w:rPr>
        <w:t xml:space="preserve">to </w:t>
      </w:r>
      <w:r w:rsidR="000C0C22" w:rsidRPr="00611C5A">
        <w:rPr>
          <w:rFonts w:ascii="Arial" w:hAnsi="Arial" w:cs="Arial"/>
          <w:sz w:val="22"/>
          <w:szCs w:val="22"/>
        </w:rPr>
        <w:t xml:space="preserve">disharmony </w:t>
      </w:r>
      <w:r w:rsidR="008F3909">
        <w:rPr>
          <w:rFonts w:ascii="Arial" w:hAnsi="Arial" w:cs="Arial"/>
          <w:sz w:val="22"/>
          <w:szCs w:val="22"/>
        </w:rPr>
        <w:t>on site</w:t>
      </w:r>
      <w:r w:rsidR="009F690D">
        <w:rPr>
          <w:rFonts w:ascii="Arial" w:hAnsi="Arial" w:cs="Arial"/>
          <w:sz w:val="22"/>
          <w:szCs w:val="22"/>
        </w:rPr>
        <w:t>.</w:t>
      </w:r>
      <w:r w:rsidR="00EA3946">
        <w:rPr>
          <w:rFonts w:ascii="Arial" w:hAnsi="Arial" w:cs="Arial"/>
          <w:sz w:val="22"/>
          <w:szCs w:val="22"/>
        </w:rPr>
        <w:t xml:space="preserve"> </w:t>
      </w:r>
    </w:p>
    <w:p w:rsidR="00B761A0" w:rsidRDefault="00B761A0" w:rsidP="00A32A20">
      <w:pPr>
        <w:rPr>
          <w:rFonts w:ascii="Arial" w:hAnsi="Arial" w:cs="Arial"/>
          <w:sz w:val="22"/>
          <w:szCs w:val="22"/>
        </w:rPr>
      </w:pPr>
    </w:p>
    <w:p w:rsidR="009F690D" w:rsidRPr="00B761A0" w:rsidRDefault="00B5461F" w:rsidP="009F690D">
      <w:pPr>
        <w:rPr>
          <w:rFonts w:ascii="Calibri" w:hAnsi="Calibri"/>
          <w:sz w:val="22"/>
          <w:szCs w:val="22"/>
          <w:lang w:eastAsia="en-US"/>
        </w:rPr>
      </w:pPr>
      <w:r w:rsidRPr="00BD3849">
        <w:rPr>
          <w:rFonts w:ascii="Arial" w:hAnsi="Arial" w:cs="Arial"/>
          <w:sz w:val="22"/>
          <w:szCs w:val="22"/>
          <w:lang w:eastAsia="en-US"/>
        </w:rPr>
        <w:t>A number of submissions acknowledged the difficu</w:t>
      </w:r>
      <w:r w:rsidR="00BD3849">
        <w:rPr>
          <w:rFonts w:ascii="Arial" w:hAnsi="Arial" w:cs="Arial"/>
          <w:sz w:val="22"/>
          <w:szCs w:val="22"/>
          <w:lang w:eastAsia="en-US"/>
        </w:rPr>
        <w:t>lt</w:t>
      </w:r>
      <w:r w:rsidR="003967D2">
        <w:rPr>
          <w:rFonts w:ascii="Arial" w:hAnsi="Arial" w:cs="Arial"/>
          <w:sz w:val="22"/>
          <w:szCs w:val="22"/>
          <w:lang w:eastAsia="en-US"/>
        </w:rPr>
        <w:t xml:space="preserve">ies faced by </w:t>
      </w:r>
      <w:r w:rsidR="003C361B">
        <w:rPr>
          <w:rFonts w:ascii="Arial" w:hAnsi="Arial" w:cs="Arial"/>
          <w:sz w:val="22"/>
          <w:szCs w:val="22"/>
          <w:lang w:eastAsia="en-US"/>
        </w:rPr>
        <w:t>p</w:t>
      </w:r>
      <w:r w:rsidR="003967D2">
        <w:rPr>
          <w:rFonts w:ascii="Arial" w:hAnsi="Arial" w:cs="Arial"/>
          <w:sz w:val="22"/>
          <w:szCs w:val="22"/>
          <w:lang w:eastAsia="en-US"/>
        </w:rPr>
        <w:t xml:space="preserve">rincipal </w:t>
      </w:r>
      <w:r w:rsidR="003C361B">
        <w:rPr>
          <w:rFonts w:ascii="Arial" w:hAnsi="Arial" w:cs="Arial"/>
          <w:sz w:val="22"/>
          <w:szCs w:val="22"/>
          <w:lang w:eastAsia="en-US"/>
        </w:rPr>
        <w:t>c</w:t>
      </w:r>
      <w:r w:rsidRPr="00BD3849">
        <w:rPr>
          <w:rFonts w:ascii="Arial" w:hAnsi="Arial" w:cs="Arial"/>
          <w:sz w:val="22"/>
          <w:szCs w:val="22"/>
          <w:lang w:eastAsia="en-US"/>
        </w:rPr>
        <w:t xml:space="preserve">ontractors in bringing subcontractors up to speed with </w:t>
      </w:r>
      <w:r w:rsidR="003C361B">
        <w:rPr>
          <w:rFonts w:ascii="Arial" w:hAnsi="Arial" w:cs="Arial"/>
          <w:sz w:val="22"/>
          <w:szCs w:val="22"/>
          <w:lang w:eastAsia="en-US"/>
        </w:rPr>
        <w:t xml:space="preserve">their approach to meeting </w:t>
      </w:r>
      <w:r w:rsidRPr="00BD3849">
        <w:rPr>
          <w:rFonts w:ascii="Arial" w:hAnsi="Arial" w:cs="Arial"/>
          <w:sz w:val="22"/>
          <w:szCs w:val="22"/>
          <w:lang w:eastAsia="en-US"/>
        </w:rPr>
        <w:t>Scheme requir</w:t>
      </w:r>
      <w:r w:rsidR="00BD3849">
        <w:rPr>
          <w:rFonts w:ascii="Arial" w:hAnsi="Arial" w:cs="Arial"/>
          <w:sz w:val="22"/>
          <w:szCs w:val="22"/>
          <w:lang w:eastAsia="en-US"/>
        </w:rPr>
        <w:t>e</w:t>
      </w:r>
      <w:r w:rsidRPr="00BD3849">
        <w:rPr>
          <w:rFonts w:ascii="Arial" w:hAnsi="Arial" w:cs="Arial"/>
          <w:sz w:val="22"/>
          <w:szCs w:val="22"/>
          <w:lang w:eastAsia="en-US"/>
        </w:rPr>
        <w:t>ments.</w:t>
      </w:r>
      <w:r w:rsidR="00BD3849">
        <w:rPr>
          <w:rFonts w:ascii="Arial" w:hAnsi="Arial" w:cs="Arial"/>
          <w:sz w:val="22"/>
          <w:szCs w:val="22"/>
          <w:lang w:eastAsia="en-US"/>
        </w:rPr>
        <w:t xml:space="preserve"> </w:t>
      </w:r>
      <w:r w:rsidR="003967D2">
        <w:rPr>
          <w:rFonts w:ascii="Arial" w:hAnsi="Arial" w:cs="Arial"/>
          <w:sz w:val="22"/>
          <w:szCs w:val="22"/>
          <w:lang w:eastAsia="en-US"/>
        </w:rPr>
        <w:t>S</w:t>
      </w:r>
      <w:r w:rsidRPr="00BD3849">
        <w:rPr>
          <w:rFonts w:ascii="Arial" w:hAnsi="Arial" w:cs="Arial"/>
          <w:sz w:val="22"/>
          <w:szCs w:val="22"/>
        </w:rPr>
        <w:t xml:space="preserve">ubmissions </w:t>
      </w:r>
      <w:r w:rsidR="003967D2">
        <w:rPr>
          <w:rFonts w:ascii="Arial" w:hAnsi="Arial" w:cs="Arial"/>
          <w:sz w:val="22"/>
          <w:szCs w:val="22"/>
        </w:rPr>
        <w:t xml:space="preserve">also </w:t>
      </w:r>
      <w:r w:rsidRPr="00BD3849">
        <w:rPr>
          <w:rFonts w:ascii="Arial" w:hAnsi="Arial" w:cs="Arial"/>
          <w:sz w:val="22"/>
          <w:szCs w:val="22"/>
        </w:rPr>
        <w:t>noted communication issues between various building parties and many suggested improved communication and information as a means by which understandi</w:t>
      </w:r>
      <w:r w:rsidR="003967D2">
        <w:rPr>
          <w:rFonts w:ascii="Arial" w:hAnsi="Arial" w:cs="Arial"/>
          <w:sz w:val="22"/>
          <w:szCs w:val="22"/>
        </w:rPr>
        <w:t>ng of the Scheme w</w:t>
      </w:r>
      <w:r w:rsidR="003C68EC">
        <w:rPr>
          <w:rFonts w:ascii="Arial" w:hAnsi="Arial" w:cs="Arial"/>
          <w:sz w:val="22"/>
          <w:szCs w:val="22"/>
        </w:rPr>
        <w:t>ould</w:t>
      </w:r>
      <w:r w:rsidR="003967D2">
        <w:rPr>
          <w:rFonts w:ascii="Arial" w:hAnsi="Arial" w:cs="Arial"/>
          <w:sz w:val="22"/>
          <w:szCs w:val="22"/>
        </w:rPr>
        <w:t xml:space="preserve"> assist </w:t>
      </w:r>
      <w:r w:rsidR="003C361B">
        <w:rPr>
          <w:rFonts w:ascii="Arial" w:hAnsi="Arial" w:cs="Arial"/>
          <w:sz w:val="22"/>
          <w:szCs w:val="22"/>
        </w:rPr>
        <w:t>p</w:t>
      </w:r>
      <w:r w:rsidR="003967D2">
        <w:rPr>
          <w:rFonts w:ascii="Arial" w:hAnsi="Arial" w:cs="Arial"/>
          <w:sz w:val="22"/>
          <w:szCs w:val="22"/>
        </w:rPr>
        <w:t xml:space="preserve">rincipal </w:t>
      </w:r>
      <w:r w:rsidR="003C361B">
        <w:rPr>
          <w:rFonts w:ascii="Arial" w:hAnsi="Arial" w:cs="Arial"/>
          <w:sz w:val="22"/>
          <w:szCs w:val="22"/>
        </w:rPr>
        <w:t>c</w:t>
      </w:r>
      <w:r w:rsidRPr="00BD3849">
        <w:rPr>
          <w:rFonts w:ascii="Arial" w:hAnsi="Arial" w:cs="Arial"/>
          <w:sz w:val="22"/>
          <w:szCs w:val="22"/>
        </w:rPr>
        <w:t xml:space="preserve">ontractors explaining their obligations under the Scheme. Criteria clearly addressing compliance required from subcontractors would also assist. </w:t>
      </w:r>
      <w:r w:rsidRPr="00B761A0">
        <w:rPr>
          <w:rFonts w:ascii="Arial" w:hAnsi="Arial" w:cs="Arial"/>
          <w:sz w:val="22"/>
          <w:szCs w:val="22"/>
          <w:lang w:eastAsia="en-US"/>
        </w:rPr>
        <w:t xml:space="preserve">Most </w:t>
      </w:r>
      <w:r w:rsidR="009F690D" w:rsidRPr="00BD3849">
        <w:rPr>
          <w:rFonts w:ascii="Arial" w:hAnsi="Arial" w:cs="Arial"/>
          <w:sz w:val="22"/>
          <w:szCs w:val="22"/>
          <w:lang w:eastAsia="en-US"/>
        </w:rPr>
        <w:t xml:space="preserve">submissions </w:t>
      </w:r>
      <w:r w:rsidR="004D1D11">
        <w:rPr>
          <w:rFonts w:ascii="Arial" w:hAnsi="Arial" w:cs="Arial"/>
          <w:sz w:val="22"/>
          <w:szCs w:val="22"/>
          <w:lang w:eastAsia="en-US"/>
        </w:rPr>
        <w:t>spoke</w:t>
      </w:r>
      <w:r w:rsidRPr="00B761A0">
        <w:rPr>
          <w:rFonts w:ascii="Arial" w:hAnsi="Arial" w:cs="Arial"/>
          <w:sz w:val="22"/>
          <w:szCs w:val="22"/>
          <w:lang w:eastAsia="en-US"/>
        </w:rPr>
        <w:t xml:space="preserve"> to the minimisation of </w:t>
      </w:r>
      <w:r w:rsidR="004D1D11">
        <w:rPr>
          <w:rFonts w:ascii="Arial" w:hAnsi="Arial" w:cs="Arial"/>
          <w:sz w:val="22"/>
          <w:szCs w:val="22"/>
          <w:lang w:eastAsia="en-US"/>
        </w:rPr>
        <w:t xml:space="preserve">a </w:t>
      </w:r>
      <w:r w:rsidR="004D1D11" w:rsidRPr="00B761A0">
        <w:rPr>
          <w:rFonts w:ascii="Arial" w:hAnsi="Arial" w:cs="Arial"/>
          <w:sz w:val="22"/>
          <w:szCs w:val="22"/>
          <w:lang w:eastAsia="en-US"/>
        </w:rPr>
        <w:t xml:space="preserve">focus </w:t>
      </w:r>
      <w:r w:rsidR="004D1D11">
        <w:rPr>
          <w:rFonts w:ascii="Arial" w:hAnsi="Arial" w:cs="Arial"/>
          <w:sz w:val="22"/>
          <w:szCs w:val="22"/>
          <w:lang w:eastAsia="en-US"/>
        </w:rPr>
        <w:t xml:space="preserve">on </w:t>
      </w:r>
      <w:r w:rsidRPr="00B761A0">
        <w:rPr>
          <w:rFonts w:ascii="Arial" w:hAnsi="Arial" w:cs="Arial"/>
          <w:sz w:val="22"/>
          <w:szCs w:val="22"/>
          <w:lang w:eastAsia="en-US"/>
        </w:rPr>
        <w:t xml:space="preserve">paperwork in the accreditation process </w:t>
      </w:r>
      <w:r w:rsidR="004D1D11">
        <w:rPr>
          <w:rFonts w:ascii="Arial" w:hAnsi="Arial" w:cs="Arial"/>
          <w:sz w:val="22"/>
          <w:szCs w:val="22"/>
          <w:lang w:eastAsia="en-US"/>
        </w:rPr>
        <w:t>that</w:t>
      </w:r>
      <w:r w:rsidRPr="00B761A0">
        <w:rPr>
          <w:rFonts w:ascii="Arial" w:hAnsi="Arial" w:cs="Arial"/>
          <w:sz w:val="22"/>
          <w:szCs w:val="22"/>
          <w:lang w:eastAsia="en-US"/>
        </w:rPr>
        <w:t xml:space="preserve"> would have a positive effect downstream </w:t>
      </w:r>
      <w:r w:rsidR="004D1D11">
        <w:rPr>
          <w:rFonts w:ascii="Arial" w:hAnsi="Arial" w:cs="Arial"/>
          <w:sz w:val="22"/>
          <w:szCs w:val="22"/>
          <w:lang w:eastAsia="en-US"/>
        </w:rPr>
        <w:t>on</w:t>
      </w:r>
      <w:r w:rsidRPr="00B761A0">
        <w:rPr>
          <w:rFonts w:ascii="Arial" w:hAnsi="Arial" w:cs="Arial"/>
          <w:sz w:val="22"/>
          <w:szCs w:val="22"/>
          <w:lang w:eastAsia="en-US"/>
        </w:rPr>
        <w:t xml:space="preserve"> subcontractors.</w:t>
      </w:r>
      <w:r w:rsidR="009F690D" w:rsidRPr="00BD3849">
        <w:rPr>
          <w:rFonts w:ascii="Arial" w:hAnsi="Arial" w:cs="Arial"/>
          <w:sz w:val="22"/>
          <w:szCs w:val="22"/>
          <w:lang w:eastAsia="en-US"/>
        </w:rPr>
        <w:t xml:space="preserve"> </w:t>
      </w:r>
    </w:p>
    <w:p w:rsidR="009F690D" w:rsidRDefault="009F690D" w:rsidP="00B5461F">
      <w:pPr>
        <w:rPr>
          <w:rFonts w:ascii="Calibri" w:hAnsi="Calibri"/>
          <w:sz w:val="22"/>
          <w:szCs w:val="22"/>
          <w:lang w:eastAsia="en-US"/>
        </w:rPr>
      </w:pPr>
    </w:p>
    <w:p w:rsidR="000C5859" w:rsidRPr="003967D2" w:rsidRDefault="000C5859" w:rsidP="000C5859">
      <w:pPr>
        <w:rPr>
          <w:rFonts w:ascii="Arial" w:hAnsi="Arial" w:cs="Arial"/>
          <w:sz w:val="22"/>
          <w:szCs w:val="22"/>
          <w:lang w:eastAsia="en-US"/>
        </w:rPr>
      </w:pPr>
      <w:r w:rsidRPr="00B761A0">
        <w:rPr>
          <w:rFonts w:ascii="Arial" w:hAnsi="Arial" w:cs="Arial"/>
          <w:sz w:val="22"/>
          <w:szCs w:val="22"/>
          <w:lang w:eastAsia="en-US"/>
        </w:rPr>
        <w:t>The issue of subcontractors being required to provide different documentation for different sites was raised</w:t>
      </w:r>
      <w:r w:rsidR="004D1D11" w:rsidRPr="004D1D11">
        <w:rPr>
          <w:rFonts w:ascii="Arial" w:hAnsi="Arial" w:cs="Arial"/>
          <w:sz w:val="22"/>
          <w:szCs w:val="22"/>
          <w:lang w:eastAsia="en-US"/>
        </w:rPr>
        <w:t xml:space="preserve"> </w:t>
      </w:r>
      <w:r w:rsidR="004D1D11" w:rsidRPr="00B761A0">
        <w:rPr>
          <w:rFonts w:ascii="Arial" w:hAnsi="Arial" w:cs="Arial"/>
          <w:sz w:val="22"/>
          <w:szCs w:val="22"/>
          <w:lang w:eastAsia="en-US"/>
        </w:rPr>
        <w:t>consistently</w:t>
      </w:r>
      <w:r w:rsidRPr="00B761A0">
        <w:rPr>
          <w:rFonts w:ascii="Arial" w:hAnsi="Arial" w:cs="Arial"/>
          <w:sz w:val="22"/>
          <w:szCs w:val="22"/>
          <w:lang w:eastAsia="en-US"/>
        </w:rPr>
        <w:t xml:space="preserve">. </w:t>
      </w:r>
      <w:r w:rsidRPr="003967D2">
        <w:rPr>
          <w:rFonts w:ascii="Arial" w:hAnsi="Arial" w:cs="Arial"/>
          <w:sz w:val="22"/>
          <w:szCs w:val="22"/>
          <w:lang w:eastAsia="en-US"/>
        </w:rPr>
        <w:t xml:space="preserve">Some submissions noted the frustration of </w:t>
      </w:r>
      <w:r>
        <w:rPr>
          <w:rFonts w:ascii="Arial" w:hAnsi="Arial" w:cs="Arial"/>
          <w:sz w:val="22"/>
          <w:szCs w:val="22"/>
          <w:lang w:eastAsia="en-US"/>
        </w:rPr>
        <w:t>companies</w:t>
      </w:r>
      <w:r w:rsidRPr="003967D2">
        <w:rPr>
          <w:rFonts w:ascii="Arial" w:hAnsi="Arial" w:cs="Arial"/>
          <w:sz w:val="22"/>
          <w:szCs w:val="22"/>
          <w:lang w:eastAsia="en-US"/>
        </w:rPr>
        <w:t xml:space="preserve"> accredited under the Scheme in their own right having to work to multiple systems across multiple sites</w:t>
      </w:r>
      <w:r>
        <w:rPr>
          <w:rFonts w:ascii="Arial" w:hAnsi="Arial" w:cs="Arial"/>
          <w:sz w:val="22"/>
          <w:szCs w:val="22"/>
          <w:lang w:eastAsia="en-US"/>
        </w:rPr>
        <w:t xml:space="preserve"> where they are not the principal contractor</w:t>
      </w:r>
      <w:r w:rsidRPr="003967D2">
        <w:rPr>
          <w:rFonts w:ascii="Arial" w:hAnsi="Arial" w:cs="Arial"/>
          <w:sz w:val="22"/>
          <w:szCs w:val="22"/>
          <w:lang w:eastAsia="en-US"/>
        </w:rPr>
        <w:t xml:space="preserve">. </w:t>
      </w:r>
    </w:p>
    <w:p w:rsidR="000C5859" w:rsidRDefault="000C5859" w:rsidP="000C5859">
      <w:pPr>
        <w:rPr>
          <w:rFonts w:ascii="Calibri" w:hAnsi="Calibri"/>
          <w:sz w:val="22"/>
          <w:szCs w:val="22"/>
          <w:lang w:eastAsia="en-US"/>
        </w:rPr>
      </w:pPr>
    </w:p>
    <w:p w:rsidR="000C5859" w:rsidRPr="003967D2" w:rsidRDefault="000C5859" w:rsidP="000C5859">
      <w:pPr>
        <w:rPr>
          <w:rFonts w:ascii="Arial" w:hAnsi="Arial" w:cs="Arial"/>
          <w:sz w:val="22"/>
          <w:szCs w:val="22"/>
          <w:lang w:eastAsia="en-US"/>
        </w:rPr>
      </w:pPr>
      <w:r w:rsidRPr="00B761A0">
        <w:rPr>
          <w:rFonts w:ascii="Arial" w:hAnsi="Arial" w:cs="Arial"/>
          <w:sz w:val="22"/>
          <w:szCs w:val="22"/>
          <w:lang w:eastAsia="en-US"/>
        </w:rPr>
        <w:t xml:space="preserve">Accreditation for subcontractors was </w:t>
      </w:r>
      <w:r w:rsidR="004D1D11">
        <w:rPr>
          <w:rFonts w:ascii="Arial" w:hAnsi="Arial" w:cs="Arial"/>
          <w:sz w:val="22"/>
          <w:szCs w:val="22"/>
          <w:lang w:eastAsia="en-US"/>
        </w:rPr>
        <w:t>suggested</w:t>
      </w:r>
      <w:r w:rsidRPr="00B761A0">
        <w:rPr>
          <w:rFonts w:ascii="Arial" w:hAnsi="Arial" w:cs="Arial"/>
          <w:sz w:val="22"/>
          <w:szCs w:val="22"/>
          <w:lang w:eastAsia="en-US"/>
        </w:rPr>
        <w:t xml:space="preserve"> by a </w:t>
      </w:r>
      <w:r w:rsidR="004D1D11">
        <w:rPr>
          <w:rFonts w:ascii="Arial" w:hAnsi="Arial" w:cs="Arial"/>
          <w:sz w:val="22"/>
          <w:szCs w:val="22"/>
          <w:lang w:eastAsia="en-US"/>
        </w:rPr>
        <w:t>small</w:t>
      </w:r>
      <w:r w:rsidRPr="00B761A0">
        <w:rPr>
          <w:rFonts w:ascii="Arial" w:hAnsi="Arial" w:cs="Arial"/>
          <w:sz w:val="22"/>
          <w:szCs w:val="22"/>
          <w:lang w:eastAsia="en-US"/>
        </w:rPr>
        <w:t xml:space="preserve"> number </w:t>
      </w:r>
      <w:r w:rsidR="00A0448B">
        <w:rPr>
          <w:rFonts w:ascii="Arial" w:hAnsi="Arial" w:cs="Arial"/>
          <w:sz w:val="22"/>
          <w:szCs w:val="22"/>
          <w:lang w:eastAsia="en-US"/>
        </w:rPr>
        <w:t xml:space="preserve">of </w:t>
      </w:r>
      <w:r w:rsidRPr="00B761A0">
        <w:rPr>
          <w:rFonts w:ascii="Arial" w:hAnsi="Arial" w:cs="Arial"/>
          <w:sz w:val="22"/>
          <w:szCs w:val="22"/>
          <w:lang w:eastAsia="en-US"/>
        </w:rPr>
        <w:t>accredited companies, and this was countered by a similar number who indicated subcontractors should not be the domain of the OFSC or the Scheme, or that accreditation in its current format is not desirable for subcontractors (ACA, MBA and accredited companies).</w:t>
      </w:r>
    </w:p>
    <w:p w:rsidR="004D1D11" w:rsidRDefault="004D1D11" w:rsidP="000C5859">
      <w:pPr>
        <w:rPr>
          <w:rFonts w:ascii="Arial" w:hAnsi="Arial" w:cs="Arial"/>
          <w:sz w:val="22"/>
          <w:szCs w:val="22"/>
        </w:rPr>
      </w:pPr>
    </w:p>
    <w:p w:rsidR="000C5859" w:rsidRDefault="000C5859" w:rsidP="00B5461F">
      <w:pPr>
        <w:rPr>
          <w:rFonts w:ascii="Arial" w:hAnsi="Arial" w:cs="Arial"/>
          <w:sz w:val="22"/>
          <w:szCs w:val="22"/>
        </w:rPr>
      </w:pPr>
      <w:r>
        <w:rPr>
          <w:rFonts w:ascii="Arial" w:hAnsi="Arial" w:cs="Arial"/>
          <w:sz w:val="22"/>
          <w:szCs w:val="22"/>
        </w:rPr>
        <w:t>While t</w:t>
      </w:r>
      <w:r w:rsidRPr="002B5B1D">
        <w:rPr>
          <w:rFonts w:ascii="Arial" w:hAnsi="Arial" w:cs="Arial"/>
          <w:sz w:val="22"/>
          <w:szCs w:val="22"/>
        </w:rPr>
        <w:t xml:space="preserve">he interaction between principal contractors and subcontractors is </w:t>
      </w:r>
      <w:r>
        <w:rPr>
          <w:rFonts w:ascii="Arial" w:hAnsi="Arial" w:cs="Arial"/>
          <w:sz w:val="22"/>
          <w:szCs w:val="22"/>
        </w:rPr>
        <w:t xml:space="preserve">a contractual issue and </w:t>
      </w:r>
      <w:r w:rsidRPr="002B5B1D">
        <w:rPr>
          <w:rFonts w:ascii="Arial" w:hAnsi="Arial" w:cs="Arial"/>
          <w:sz w:val="22"/>
          <w:szCs w:val="22"/>
        </w:rPr>
        <w:t xml:space="preserve">not regarded as a matter </w:t>
      </w:r>
      <w:r w:rsidR="003C68EC">
        <w:rPr>
          <w:rFonts w:ascii="Arial" w:hAnsi="Arial" w:cs="Arial"/>
          <w:sz w:val="22"/>
          <w:szCs w:val="22"/>
        </w:rPr>
        <w:t>in which</w:t>
      </w:r>
      <w:r w:rsidRPr="002B5B1D">
        <w:rPr>
          <w:rFonts w:ascii="Arial" w:hAnsi="Arial" w:cs="Arial"/>
          <w:sz w:val="22"/>
          <w:szCs w:val="22"/>
        </w:rPr>
        <w:t xml:space="preserve"> the OFSC should be involved</w:t>
      </w:r>
      <w:r>
        <w:rPr>
          <w:rFonts w:ascii="Arial" w:hAnsi="Arial" w:cs="Arial"/>
          <w:sz w:val="22"/>
          <w:szCs w:val="22"/>
        </w:rPr>
        <w:t>, there is scope for the OFSC to facilitate development of materials to assist principal contractors and their subcontractors meet Scheme requirements in ways that minimise confusion and seek to add a level of consistency</w:t>
      </w:r>
      <w:r w:rsidRPr="002B5B1D">
        <w:rPr>
          <w:rFonts w:ascii="Arial" w:hAnsi="Arial" w:cs="Arial"/>
          <w:sz w:val="22"/>
          <w:szCs w:val="22"/>
        </w:rPr>
        <w:t>.</w:t>
      </w:r>
      <w:r>
        <w:rPr>
          <w:rFonts w:ascii="Arial" w:hAnsi="Arial" w:cs="Arial"/>
          <w:sz w:val="22"/>
          <w:szCs w:val="22"/>
        </w:rPr>
        <w:t xml:space="preserve"> </w:t>
      </w:r>
    </w:p>
    <w:p w:rsidR="00F01F2A" w:rsidRDefault="00F01F2A" w:rsidP="00B5461F">
      <w:pPr>
        <w:rPr>
          <w:rFonts w:ascii="Calibri" w:hAnsi="Calibri"/>
          <w:sz w:val="22"/>
          <w:szCs w:val="22"/>
          <w:lang w:eastAsia="en-US"/>
        </w:rPr>
      </w:pPr>
    </w:p>
    <w:p w:rsidR="005C4851" w:rsidRDefault="005C4851" w:rsidP="002611FD">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1ECC1039" wp14:editId="15970E09">
                <wp:extent cx="5743575" cy="581757"/>
                <wp:effectExtent l="0" t="0" r="28575" b="2794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581757"/>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5C485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24</w:t>
                            </w:r>
                            <w:r w:rsidRPr="005E46C2">
                              <w:rPr>
                                <w:rFonts w:ascii="Arial" w:hAnsi="Arial" w:cs="Arial"/>
                                <w:sz w:val="22"/>
                                <w:szCs w:val="22"/>
                                <w:highlight w:val="lightGray"/>
                              </w:rPr>
                              <w:t>:</w:t>
                            </w:r>
                            <w:r>
                              <w:rPr>
                                <w:rFonts w:ascii="Arial" w:hAnsi="Arial" w:cs="Arial"/>
                                <w:sz w:val="22"/>
                                <w:szCs w:val="22"/>
                              </w:rPr>
                              <w:t xml:space="preserve"> </w:t>
                            </w:r>
                            <w:r w:rsidRPr="005C4851">
                              <w:rPr>
                                <w:rFonts w:ascii="Arial" w:hAnsi="Arial" w:cs="Arial"/>
                                <w:sz w:val="22"/>
                                <w:szCs w:val="22"/>
                              </w:rPr>
                              <w:t>The OFSC facilitates the development of information to assist Scheme</w:t>
                            </w:r>
                            <w:r>
                              <w:rPr>
                                <w:rFonts w:ascii="Arial" w:hAnsi="Arial" w:cs="Arial"/>
                                <w:sz w:val="22"/>
                                <w:szCs w:val="22"/>
                              </w:rPr>
                              <w:t>-</w:t>
                            </w:r>
                            <w:r w:rsidRPr="005C4851">
                              <w:rPr>
                                <w:rFonts w:ascii="Arial" w:hAnsi="Arial" w:cs="Arial"/>
                                <w:sz w:val="22"/>
                                <w:szCs w:val="22"/>
                              </w:rPr>
                              <w:t xml:space="preserve">accredited principal contractors </w:t>
                            </w:r>
                            <w:r>
                              <w:rPr>
                                <w:rFonts w:ascii="Arial" w:hAnsi="Arial" w:cs="Arial"/>
                                <w:sz w:val="22"/>
                                <w:szCs w:val="22"/>
                              </w:rPr>
                              <w:t xml:space="preserve">to </w:t>
                            </w:r>
                            <w:r w:rsidRPr="005C4851">
                              <w:rPr>
                                <w:rFonts w:ascii="Arial" w:hAnsi="Arial" w:cs="Arial"/>
                                <w:sz w:val="22"/>
                                <w:szCs w:val="22"/>
                              </w:rPr>
                              <w:t>provide consistent communication with subcontractors in relation to the subcontractor management elements of the Scheme.</w:t>
                            </w:r>
                          </w:p>
                        </w:txbxContent>
                      </wps:txbx>
                      <wps:bodyPr rot="0" vert="horz" wrap="square" lIns="91440" tIns="45720" rIns="91440" bIns="45720" anchor="ctr" anchorCtr="0">
                        <a:noAutofit/>
                      </wps:bodyPr>
                    </wps:wsp>
                  </a:graphicData>
                </a:graphic>
              </wp:inline>
            </w:drawing>
          </mc:Choice>
          <mc:Fallback>
            <w:pict>
              <v:shape w14:anchorId="1ECC1039" id="_x0000_s1049" type="#_x0000_t202" style="width:452.25pt;height:45.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" fillcolor="#d8d8d8 [2732]">
                <v:textbox>
                  <w:txbxContent>
                    <w:p w:rsidR="00226B47" w:rsidRPr="00E55511" w:rsidRDefault="00226B47" w:rsidP="005C485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24</w:t>
                      </w:r>
                      <w:r w:rsidRPr="005E46C2">
                        <w:rPr>
                          <w:rFonts w:ascii="Arial" w:hAnsi="Arial" w:cs="Arial"/>
                          <w:sz w:val="22"/>
                          <w:szCs w:val="22"/>
                          <w:highlight w:val="lightGray"/>
                        </w:rPr>
                        <w:t>:</w:t>
                      </w:r>
                      <w:r>
                        <w:rPr>
                          <w:rFonts w:ascii="Arial" w:hAnsi="Arial" w:cs="Arial"/>
                          <w:sz w:val="22"/>
                          <w:szCs w:val="22"/>
                        </w:rPr>
                        <w:t xml:space="preserve"> </w:t>
                      </w:r>
                      <w:r w:rsidRPr="005C4851">
                        <w:rPr>
                          <w:rFonts w:ascii="Arial" w:hAnsi="Arial" w:cs="Arial"/>
                          <w:sz w:val="22"/>
                          <w:szCs w:val="22"/>
                        </w:rPr>
                        <w:t>The OFSC facilitates the development of information to assist Scheme</w:t>
                      </w:r>
                      <w:r>
                        <w:rPr>
                          <w:rFonts w:ascii="Arial" w:hAnsi="Arial" w:cs="Arial"/>
                          <w:sz w:val="22"/>
                          <w:szCs w:val="22"/>
                        </w:rPr>
                        <w:t>-</w:t>
                      </w:r>
                      <w:r w:rsidRPr="005C4851">
                        <w:rPr>
                          <w:rFonts w:ascii="Arial" w:hAnsi="Arial" w:cs="Arial"/>
                          <w:sz w:val="22"/>
                          <w:szCs w:val="22"/>
                        </w:rPr>
                        <w:t xml:space="preserve">accredited principal contractors </w:t>
                      </w:r>
                      <w:r>
                        <w:rPr>
                          <w:rFonts w:ascii="Arial" w:hAnsi="Arial" w:cs="Arial"/>
                          <w:sz w:val="22"/>
                          <w:szCs w:val="22"/>
                        </w:rPr>
                        <w:t xml:space="preserve">to </w:t>
                      </w:r>
                      <w:r w:rsidRPr="005C4851">
                        <w:rPr>
                          <w:rFonts w:ascii="Arial" w:hAnsi="Arial" w:cs="Arial"/>
                          <w:sz w:val="22"/>
                          <w:szCs w:val="22"/>
                        </w:rPr>
                        <w:t>provide consistent communication with subcontractors in relation to the subcontractor management elements of the Scheme.</w:t>
                      </w:r>
                    </w:p>
                  </w:txbxContent>
                </v:textbox>
                <w10:anchorlock/>
              </v:shape>
            </w:pict>
          </mc:Fallback>
        </mc:AlternateContent>
      </w:r>
    </w:p>
    <w:p w:rsidR="0034205D" w:rsidRDefault="0034205D" w:rsidP="008525D8"/>
    <w:p w:rsidR="0034205D" w:rsidRDefault="0034205D" w:rsidP="008525D8"/>
    <w:p w:rsidR="00974DA9" w:rsidRPr="001D2AD3" w:rsidRDefault="00974DA9" w:rsidP="00B01E1D">
      <w:pPr>
        <w:pStyle w:val="Heading1"/>
      </w:pPr>
      <w:bookmarkStart w:id="59" w:name="_Toc390429537"/>
      <w:r w:rsidRPr="001D2AD3">
        <w:t>International companies</w:t>
      </w:r>
      <w:bookmarkEnd w:id="59"/>
    </w:p>
    <w:p w:rsidR="00974DA9" w:rsidRDefault="00974DA9" w:rsidP="00974DA9">
      <w:pPr>
        <w:rPr>
          <w:rFonts w:ascii="Arial" w:hAnsi="Arial" w:cs="Arial"/>
          <w:b/>
          <w:sz w:val="22"/>
          <w:szCs w:val="22"/>
        </w:rPr>
      </w:pPr>
    </w:p>
    <w:p w:rsidR="00974DA9" w:rsidRDefault="00974DA9" w:rsidP="00974DA9">
      <w:pPr>
        <w:rPr>
          <w:rFonts w:ascii="Arial" w:hAnsi="Arial" w:cs="Arial"/>
          <w:sz w:val="22"/>
          <w:szCs w:val="22"/>
        </w:rPr>
      </w:pPr>
      <w:r>
        <w:rPr>
          <w:rFonts w:ascii="Arial" w:hAnsi="Arial" w:cs="Arial"/>
          <w:sz w:val="22"/>
          <w:szCs w:val="22"/>
        </w:rPr>
        <w:t xml:space="preserve">Accreditation under the Scheme is open to international companies in the same way as </w:t>
      </w:r>
      <w:r w:rsidR="004D1D11">
        <w:rPr>
          <w:rFonts w:ascii="Arial" w:hAnsi="Arial" w:cs="Arial"/>
          <w:sz w:val="22"/>
          <w:szCs w:val="22"/>
        </w:rPr>
        <w:t xml:space="preserve">it is </w:t>
      </w:r>
      <w:r>
        <w:rPr>
          <w:rFonts w:ascii="Arial" w:hAnsi="Arial" w:cs="Arial"/>
          <w:sz w:val="22"/>
          <w:szCs w:val="22"/>
        </w:rPr>
        <w:t xml:space="preserve">for domestic companies. International companies can sometimes perceive that they face additional barriers in becoming accredited under the Scheme, most notably in their ability to provide a site either in Australia or overseas where their WHSMS is in place and whether that system will meet Australian legislative requirements. </w:t>
      </w:r>
    </w:p>
    <w:p w:rsidR="00974DA9" w:rsidRDefault="00974DA9" w:rsidP="00974DA9">
      <w:pPr>
        <w:rPr>
          <w:rFonts w:ascii="Arial" w:hAnsi="Arial" w:cs="Arial"/>
          <w:sz w:val="22"/>
          <w:szCs w:val="22"/>
        </w:rPr>
      </w:pPr>
    </w:p>
    <w:p w:rsidR="004D1D11" w:rsidRDefault="00974DA9" w:rsidP="00974DA9">
      <w:pPr>
        <w:rPr>
          <w:rFonts w:ascii="Arial" w:hAnsi="Arial" w:cs="Arial"/>
          <w:sz w:val="22"/>
          <w:szCs w:val="22"/>
        </w:rPr>
      </w:pPr>
      <w:r>
        <w:rPr>
          <w:rFonts w:ascii="Arial" w:hAnsi="Arial" w:cs="Arial"/>
          <w:sz w:val="22"/>
          <w:szCs w:val="22"/>
        </w:rPr>
        <w:t>The rece</w:t>
      </w:r>
      <w:r w:rsidRPr="00F02D9F">
        <w:rPr>
          <w:rFonts w:ascii="Arial" w:hAnsi="Arial" w:cs="Arial"/>
          <w:sz w:val="22"/>
          <w:szCs w:val="22"/>
        </w:rPr>
        <w:t xml:space="preserve">nt </w:t>
      </w:r>
      <w:r w:rsidR="00F02D9F" w:rsidRPr="00F02D9F">
        <w:rPr>
          <w:rFonts w:ascii="Arial" w:hAnsi="Arial" w:cs="Arial"/>
          <w:sz w:val="22"/>
          <w:szCs w:val="22"/>
        </w:rPr>
        <w:t xml:space="preserve">Productivity Commission Draft Report into Public Infrastructure Volume 2, March 2014 </w:t>
      </w:r>
      <w:r w:rsidRPr="00F02D9F">
        <w:rPr>
          <w:rFonts w:ascii="Arial" w:hAnsi="Arial" w:cs="Arial"/>
          <w:sz w:val="22"/>
          <w:szCs w:val="22"/>
        </w:rPr>
        <w:t>rais</w:t>
      </w:r>
      <w:r>
        <w:rPr>
          <w:rFonts w:ascii="Arial" w:hAnsi="Arial" w:cs="Arial"/>
          <w:sz w:val="22"/>
          <w:szCs w:val="22"/>
        </w:rPr>
        <w:t>ed concerns that the</w:t>
      </w:r>
    </w:p>
    <w:p w:rsidR="009C6201" w:rsidRDefault="009C6201" w:rsidP="00974DA9">
      <w:pPr>
        <w:rPr>
          <w:rFonts w:ascii="Arial" w:hAnsi="Arial" w:cs="Arial"/>
          <w:sz w:val="22"/>
          <w:szCs w:val="22"/>
        </w:rPr>
      </w:pPr>
    </w:p>
    <w:p w:rsidR="004D1D11" w:rsidRDefault="00974DA9" w:rsidP="00FB1C4F">
      <w:pPr>
        <w:ind w:left="567"/>
        <w:rPr>
          <w:rFonts w:ascii="Arial" w:hAnsi="Arial" w:cs="Arial"/>
          <w:sz w:val="22"/>
          <w:szCs w:val="22"/>
        </w:rPr>
      </w:pPr>
      <w:r>
        <w:rPr>
          <w:rFonts w:ascii="Arial" w:hAnsi="Arial" w:cs="Arial"/>
          <w:sz w:val="22"/>
          <w:szCs w:val="22"/>
        </w:rPr>
        <w:t>“</w:t>
      </w:r>
      <w:r w:rsidRPr="00513444">
        <w:rPr>
          <w:rFonts w:ascii="Arial" w:hAnsi="Arial" w:cs="Arial"/>
          <w:i/>
          <w:sz w:val="22"/>
          <w:szCs w:val="22"/>
        </w:rPr>
        <w:t>FSC requirements may deter foreign construction firms from entering the Australian market, in turn reducing the level of competition</w:t>
      </w:r>
      <w:r>
        <w:rPr>
          <w:rFonts w:ascii="Arial" w:hAnsi="Arial" w:cs="Arial"/>
          <w:i/>
          <w:sz w:val="22"/>
          <w:szCs w:val="22"/>
        </w:rPr>
        <w:t>”</w:t>
      </w:r>
      <w:r>
        <w:rPr>
          <w:rFonts w:ascii="Arial" w:hAnsi="Arial" w:cs="Arial"/>
          <w:sz w:val="22"/>
          <w:szCs w:val="22"/>
        </w:rPr>
        <w:t xml:space="preserve">. </w:t>
      </w:r>
    </w:p>
    <w:p w:rsidR="004D1D11" w:rsidRDefault="004D1D11" w:rsidP="00974DA9">
      <w:pPr>
        <w:rPr>
          <w:rFonts w:ascii="Arial" w:hAnsi="Arial" w:cs="Arial"/>
          <w:sz w:val="22"/>
          <w:szCs w:val="22"/>
        </w:rPr>
      </w:pPr>
    </w:p>
    <w:p w:rsidR="00E51997" w:rsidRDefault="00E51997">
      <w:pPr>
        <w:rPr>
          <w:rFonts w:ascii="Arial" w:hAnsi="Arial" w:cs="Arial"/>
          <w:sz w:val="22"/>
          <w:szCs w:val="22"/>
        </w:rPr>
      </w:pPr>
      <w:r>
        <w:rPr>
          <w:rFonts w:ascii="Arial" w:hAnsi="Arial" w:cs="Arial"/>
          <w:sz w:val="22"/>
          <w:szCs w:val="22"/>
        </w:rPr>
        <w:br w:type="page"/>
      </w:r>
    </w:p>
    <w:p w:rsidR="004D1D11" w:rsidRDefault="00974DA9" w:rsidP="00974DA9">
      <w:pPr>
        <w:rPr>
          <w:rFonts w:ascii="Arial" w:hAnsi="Arial" w:cs="Arial"/>
          <w:sz w:val="22"/>
          <w:szCs w:val="22"/>
        </w:rPr>
      </w:pPr>
      <w:r>
        <w:rPr>
          <w:rFonts w:ascii="Arial" w:hAnsi="Arial" w:cs="Arial"/>
          <w:sz w:val="22"/>
          <w:szCs w:val="22"/>
        </w:rPr>
        <w:t xml:space="preserve">The report further noted that </w:t>
      </w:r>
    </w:p>
    <w:p w:rsidR="009C6201" w:rsidRDefault="009C6201" w:rsidP="00974DA9">
      <w:pPr>
        <w:rPr>
          <w:rFonts w:ascii="Arial" w:hAnsi="Arial" w:cs="Arial"/>
          <w:sz w:val="22"/>
          <w:szCs w:val="22"/>
        </w:rPr>
      </w:pPr>
    </w:p>
    <w:p w:rsidR="00974DA9" w:rsidRDefault="00974DA9" w:rsidP="00FB1C4F">
      <w:pPr>
        <w:ind w:left="567"/>
        <w:rPr>
          <w:rFonts w:ascii="Arial" w:hAnsi="Arial" w:cs="Arial"/>
          <w:sz w:val="22"/>
          <w:szCs w:val="22"/>
        </w:rPr>
      </w:pPr>
      <w:r w:rsidRPr="00513444">
        <w:rPr>
          <w:rFonts w:ascii="Arial" w:hAnsi="Arial" w:cs="Arial"/>
          <w:i/>
          <w:sz w:val="22"/>
          <w:szCs w:val="22"/>
        </w:rPr>
        <w:t>“</w:t>
      </w:r>
      <w:r w:rsidR="009C6201">
        <w:rPr>
          <w:rFonts w:ascii="Arial" w:hAnsi="Arial" w:cs="Arial"/>
          <w:i/>
          <w:sz w:val="22"/>
          <w:szCs w:val="22"/>
        </w:rPr>
        <w:t>A</w:t>
      </w:r>
      <w:r w:rsidRPr="00513444">
        <w:rPr>
          <w:rFonts w:ascii="Arial" w:hAnsi="Arial" w:cs="Arial"/>
          <w:i/>
          <w:sz w:val="22"/>
          <w:szCs w:val="22"/>
        </w:rPr>
        <w:t xml:space="preserve"> large proportion of international firms who apply for accreditation ultimately obtain it. However little is known about how many foreign firms, faced with the prospect of accreditation, have declined to apply</w:t>
      </w:r>
      <w:r>
        <w:rPr>
          <w:rFonts w:ascii="Arial" w:hAnsi="Arial" w:cs="Arial"/>
          <w:sz w:val="22"/>
          <w:szCs w:val="22"/>
        </w:rPr>
        <w:t>”.</w:t>
      </w:r>
      <w:r w:rsidR="00EA3946">
        <w:rPr>
          <w:rFonts w:ascii="Arial" w:hAnsi="Arial" w:cs="Arial"/>
          <w:sz w:val="22"/>
          <w:szCs w:val="22"/>
        </w:rPr>
        <w:t xml:space="preserve"> </w:t>
      </w:r>
    </w:p>
    <w:p w:rsidR="00974DA9" w:rsidRDefault="00974DA9" w:rsidP="00974DA9">
      <w:pPr>
        <w:rPr>
          <w:rFonts w:ascii="Arial" w:hAnsi="Arial" w:cs="Arial"/>
          <w:sz w:val="22"/>
          <w:szCs w:val="22"/>
        </w:rPr>
      </w:pPr>
    </w:p>
    <w:p w:rsidR="00974DA9" w:rsidRDefault="00974DA9" w:rsidP="00974DA9">
      <w:pPr>
        <w:rPr>
          <w:rFonts w:ascii="Arial" w:hAnsi="Arial" w:cs="Arial"/>
          <w:sz w:val="22"/>
          <w:szCs w:val="22"/>
        </w:rPr>
      </w:pPr>
      <w:r>
        <w:rPr>
          <w:rFonts w:ascii="Arial" w:hAnsi="Arial" w:cs="Arial"/>
          <w:sz w:val="22"/>
          <w:szCs w:val="22"/>
        </w:rPr>
        <w:t>Recommendation 1</w:t>
      </w:r>
      <w:r w:rsidR="007119B1">
        <w:rPr>
          <w:rFonts w:ascii="Arial" w:hAnsi="Arial" w:cs="Arial"/>
          <w:sz w:val="22"/>
          <w:szCs w:val="22"/>
        </w:rPr>
        <w:t>5</w:t>
      </w:r>
      <w:r>
        <w:rPr>
          <w:rFonts w:ascii="Arial" w:hAnsi="Arial" w:cs="Arial"/>
          <w:sz w:val="22"/>
          <w:szCs w:val="22"/>
        </w:rPr>
        <w:t>.1 of the Commission</w:t>
      </w:r>
      <w:r w:rsidR="00F02D9F">
        <w:rPr>
          <w:rFonts w:ascii="Arial" w:hAnsi="Arial" w:cs="Arial"/>
          <w:sz w:val="22"/>
          <w:szCs w:val="22"/>
        </w:rPr>
        <w:t>’s</w:t>
      </w:r>
      <w:r>
        <w:rPr>
          <w:rFonts w:ascii="Arial" w:hAnsi="Arial" w:cs="Arial"/>
          <w:sz w:val="22"/>
          <w:szCs w:val="22"/>
        </w:rPr>
        <w:t xml:space="preserve"> </w:t>
      </w:r>
      <w:r w:rsidR="00FA60D9">
        <w:rPr>
          <w:rFonts w:ascii="Arial" w:hAnsi="Arial" w:cs="Arial"/>
          <w:sz w:val="22"/>
          <w:szCs w:val="22"/>
        </w:rPr>
        <w:t xml:space="preserve">draft </w:t>
      </w:r>
      <w:r>
        <w:rPr>
          <w:rFonts w:ascii="Arial" w:hAnsi="Arial" w:cs="Arial"/>
          <w:sz w:val="22"/>
          <w:szCs w:val="22"/>
        </w:rPr>
        <w:t>report</w:t>
      </w:r>
      <w:r w:rsidR="00F02D9F">
        <w:rPr>
          <w:rStyle w:val="FootnoteReference"/>
          <w:rFonts w:ascii="Arial" w:hAnsi="Arial" w:cs="Arial"/>
          <w:sz w:val="22"/>
          <w:szCs w:val="22"/>
        </w:rPr>
        <w:footnoteReference w:id="9"/>
      </w:r>
      <w:r>
        <w:rPr>
          <w:rFonts w:ascii="Arial" w:hAnsi="Arial" w:cs="Arial"/>
          <w:sz w:val="22"/>
          <w:szCs w:val="22"/>
        </w:rPr>
        <w:t xml:space="preserve"> recommends that this Review examine options such as ‘recognition’ and ‘provisional accreditation’, with a view to the implementation of measures to improve access to </w:t>
      </w:r>
      <w:r w:rsidR="000F1ABC">
        <w:rPr>
          <w:rFonts w:ascii="Arial" w:hAnsi="Arial" w:cs="Arial"/>
          <w:sz w:val="22"/>
          <w:szCs w:val="22"/>
        </w:rPr>
        <w:t xml:space="preserve">Commonwealth </w:t>
      </w:r>
      <w:r w:rsidR="004D1D11">
        <w:rPr>
          <w:rFonts w:ascii="Arial" w:hAnsi="Arial" w:cs="Arial"/>
          <w:sz w:val="22"/>
          <w:szCs w:val="22"/>
        </w:rPr>
        <w:t>Government</w:t>
      </w:r>
      <w:r w:rsidR="000F1ABC">
        <w:rPr>
          <w:rFonts w:ascii="Arial" w:hAnsi="Arial" w:cs="Arial"/>
          <w:sz w:val="22"/>
          <w:szCs w:val="22"/>
        </w:rPr>
        <w:t xml:space="preserve"> </w:t>
      </w:r>
      <w:r>
        <w:rPr>
          <w:rFonts w:ascii="Arial" w:hAnsi="Arial" w:cs="Arial"/>
          <w:sz w:val="22"/>
          <w:szCs w:val="22"/>
        </w:rPr>
        <w:t xml:space="preserve">funded projects for firms not presently operating in Australia. </w:t>
      </w:r>
    </w:p>
    <w:p w:rsidR="00974DA9" w:rsidRDefault="00974DA9" w:rsidP="00974DA9">
      <w:pPr>
        <w:rPr>
          <w:rFonts w:ascii="Arial" w:hAnsi="Arial" w:cs="Arial"/>
          <w:sz w:val="22"/>
          <w:szCs w:val="22"/>
        </w:rPr>
      </w:pPr>
    </w:p>
    <w:p w:rsidR="006F1EF2" w:rsidRDefault="00F81E5C" w:rsidP="006F1EF2">
      <w:pPr>
        <w:rPr>
          <w:rFonts w:ascii="Arial" w:hAnsi="Arial" w:cs="Arial"/>
          <w:sz w:val="22"/>
          <w:szCs w:val="22"/>
        </w:rPr>
      </w:pPr>
      <w:r>
        <w:rPr>
          <w:rFonts w:ascii="Arial" w:hAnsi="Arial" w:cs="Arial"/>
          <w:sz w:val="22"/>
          <w:szCs w:val="22"/>
        </w:rPr>
        <w:t xml:space="preserve">As with the previous discussion on mutual recognition with state and territory </w:t>
      </w:r>
      <w:r w:rsidR="00D85434">
        <w:rPr>
          <w:rFonts w:ascii="Arial" w:hAnsi="Arial" w:cs="Arial"/>
          <w:sz w:val="22"/>
          <w:szCs w:val="22"/>
        </w:rPr>
        <w:t>prequalification</w:t>
      </w:r>
      <w:r>
        <w:rPr>
          <w:rFonts w:ascii="Arial" w:hAnsi="Arial" w:cs="Arial"/>
          <w:sz w:val="22"/>
          <w:szCs w:val="22"/>
        </w:rPr>
        <w:t xml:space="preserve"> schemes, the issue of mutual recognition with international schemes is equally problematic, as there is no scheme that has been sourced that contains the same breath of requirements audited to the same standard. </w:t>
      </w:r>
      <w:r w:rsidR="006F1EF2">
        <w:rPr>
          <w:rFonts w:ascii="Arial" w:hAnsi="Arial" w:cs="Arial"/>
          <w:sz w:val="22"/>
          <w:szCs w:val="22"/>
        </w:rPr>
        <w:t xml:space="preserve">This view has been reinforced by two recently accredited international companies who have </w:t>
      </w:r>
      <w:r w:rsidR="006F1EF2" w:rsidRPr="004E55FE">
        <w:rPr>
          <w:rFonts w:ascii="Arial" w:hAnsi="Arial" w:cs="Arial"/>
          <w:sz w:val="22"/>
          <w:szCs w:val="22"/>
        </w:rPr>
        <w:t xml:space="preserve">indicated that they have adopted </w:t>
      </w:r>
      <w:r w:rsidR="007C2197">
        <w:rPr>
          <w:rFonts w:ascii="Arial" w:hAnsi="Arial" w:cs="Arial"/>
          <w:sz w:val="22"/>
          <w:szCs w:val="22"/>
        </w:rPr>
        <w:t>their accredited system globally</w:t>
      </w:r>
      <w:r w:rsidR="00A90830">
        <w:rPr>
          <w:rFonts w:ascii="Arial" w:hAnsi="Arial" w:cs="Arial"/>
          <w:sz w:val="22"/>
          <w:szCs w:val="22"/>
        </w:rPr>
        <w:t>,</w:t>
      </w:r>
      <w:r w:rsidR="006F1EF2" w:rsidRPr="004E55FE">
        <w:rPr>
          <w:rFonts w:ascii="Arial" w:hAnsi="Arial" w:cs="Arial"/>
          <w:sz w:val="22"/>
          <w:szCs w:val="22"/>
        </w:rPr>
        <w:t xml:space="preserve"> </w:t>
      </w:r>
      <w:r w:rsidR="006F1EF2">
        <w:rPr>
          <w:rFonts w:ascii="Arial" w:hAnsi="Arial" w:cs="Arial"/>
          <w:sz w:val="22"/>
          <w:szCs w:val="22"/>
        </w:rPr>
        <w:t xml:space="preserve">such was the benefit they have gained by meeting Scheme requirements. </w:t>
      </w:r>
    </w:p>
    <w:p w:rsidR="007119B1" w:rsidRDefault="007119B1" w:rsidP="00974DA9">
      <w:pPr>
        <w:rPr>
          <w:rFonts w:ascii="Arial" w:hAnsi="Arial" w:cs="Arial"/>
          <w:sz w:val="22"/>
          <w:szCs w:val="22"/>
        </w:rPr>
      </w:pPr>
    </w:p>
    <w:p w:rsidR="00F81E5C" w:rsidRDefault="00F81E5C" w:rsidP="00974DA9">
      <w:pPr>
        <w:rPr>
          <w:rFonts w:ascii="Arial" w:hAnsi="Arial" w:cs="Arial"/>
          <w:sz w:val="22"/>
          <w:szCs w:val="22"/>
        </w:rPr>
      </w:pPr>
      <w:r>
        <w:rPr>
          <w:rFonts w:ascii="Arial" w:hAnsi="Arial" w:cs="Arial"/>
          <w:sz w:val="22"/>
          <w:szCs w:val="22"/>
        </w:rPr>
        <w:t>While it is desirable for foreign companies to establish and invest in Australia, this Review recommends that this not be achieved to the detriment of safety standards currently required for all companies do</w:t>
      </w:r>
      <w:r w:rsidR="007119B1">
        <w:rPr>
          <w:rFonts w:ascii="Arial" w:hAnsi="Arial" w:cs="Arial"/>
          <w:sz w:val="22"/>
          <w:szCs w:val="22"/>
        </w:rPr>
        <w:t xml:space="preserve">ing </w:t>
      </w:r>
      <w:r w:rsidR="00D15D83">
        <w:rPr>
          <w:rFonts w:ascii="Arial" w:hAnsi="Arial" w:cs="Arial"/>
          <w:sz w:val="22"/>
          <w:szCs w:val="22"/>
        </w:rPr>
        <w:t xml:space="preserve">Commonwealth </w:t>
      </w:r>
      <w:r>
        <w:rPr>
          <w:rFonts w:ascii="Arial" w:hAnsi="Arial" w:cs="Arial"/>
          <w:sz w:val="22"/>
          <w:szCs w:val="22"/>
        </w:rPr>
        <w:t xml:space="preserve">Government </w:t>
      </w:r>
      <w:r w:rsidR="00D15D83">
        <w:rPr>
          <w:rFonts w:ascii="Arial" w:hAnsi="Arial" w:cs="Arial"/>
          <w:sz w:val="22"/>
          <w:szCs w:val="22"/>
        </w:rPr>
        <w:t xml:space="preserve">funded </w:t>
      </w:r>
      <w:r>
        <w:rPr>
          <w:rFonts w:ascii="Arial" w:hAnsi="Arial" w:cs="Arial"/>
          <w:sz w:val="22"/>
          <w:szCs w:val="22"/>
        </w:rPr>
        <w:t>work</w:t>
      </w:r>
      <w:r w:rsidR="007C2197">
        <w:rPr>
          <w:rFonts w:ascii="Arial" w:hAnsi="Arial" w:cs="Arial"/>
          <w:sz w:val="22"/>
          <w:szCs w:val="22"/>
        </w:rPr>
        <w:t xml:space="preserve"> or at the expense of competitive neutrality</w:t>
      </w:r>
      <w:r>
        <w:rPr>
          <w:rFonts w:ascii="Arial" w:hAnsi="Arial" w:cs="Arial"/>
          <w:sz w:val="22"/>
          <w:szCs w:val="22"/>
        </w:rPr>
        <w:t>. Thus, in lieu of mutual recognition</w:t>
      </w:r>
      <w:r w:rsidR="007C2197">
        <w:rPr>
          <w:rFonts w:ascii="Arial" w:hAnsi="Arial" w:cs="Arial"/>
          <w:sz w:val="22"/>
          <w:szCs w:val="22"/>
        </w:rPr>
        <w:t xml:space="preserve"> or provisional accreditation</w:t>
      </w:r>
      <w:r>
        <w:rPr>
          <w:rFonts w:ascii="Arial" w:hAnsi="Arial" w:cs="Arial"/>
          <w:sz w:val="22"/>
          <w:szCs w:val="22"/>
        </w:rPr>
        <w:t>, the accreditation process itself as it relates to international companies has been examined below to see if there are barriers within the current system that can be addressed.</w:t>
      </w:r>
    </w:p>
    <w:p w:rsidR="00F81E5C" w:rsidRDefault="00F81E5C" w:rsidP="00974DA9">
      <w:pPr>
        <w:rPr>
          <w:rFonts w:ascii="Arial" w:hAnsi="Arial" w:cs="Arial"/>
          <w:sz w:val="22"/>
          <w:szCs w:val="22"/>
        </w:rPr>
      </w:pPr>
    </w:p>
    <w:p w:rsidR="00974DA9" w:rsidRPr="004E55FE" w:rsidRDefault="0067617F" w:rsidP="00974DA9">
      <w:pPr>
        <w:rPr>
          <w:rFonts w:ascii="Arial" w:hAnsi="Arial" w:cs="Arial"/>
          <w:sz w:val="22"/>
          <w:szCs w:val="22"/>
        </w:rPr>
      </w:pPr>
      <w:r>
        <w:rPr>
          <w:rFonts w:ascii="Arial" w:hAnsi="Arial" w:cs="Arial"/>
          <w:sz w:val="22"/>
          <w:szCs w:val="22"/>
        </w:rPr>
        <w:t xml:space="preserve">Fifteen </w:t>
      </w:r>
      <w:r w:rsidR="00974DA9" w:rsidRPr="004E55FE">
        <w:rPr>
          <w:rFonts w:ascii="Arial" w:hAnsi="Arial" w:cs="Arial"/>
          <w:sz w:val="22"/>
          <w:szCs w:val="22"/>
        </w:rPr>
        <w:t xml:space="preserve">international </w:t>
      </w:r>
      <w:r w:rsidR="004D1D11">
        <w:rPr>
          <w:rFonts w:ascii="Arial" w:hAnsi="Arial" w:cs="Arial"/>
          <w:sz w:val="22"/>
          <w:szCs w:val="22"/>
        </w:rPr>
        <w:t>companies</w:t>
      </w:r>
      <w:r w:rsidR="00974DA9" w:rsidRPr="004E55FE">
        <w:rPr>
          <w:rFonts w:ascii="Arial" w:hAnsi="Arial" w:cs="Arial"/>
          <w:sz w:val="22"/>
          <w:szCs w:val="22"/>
        </w:rPr>
        <w:t xml:space="preserve"> have applied for accreditation under the Scheme</w:t>
      </w:r>
      <w:r w:rsidR="00974DA9">
        <w:rPr>
          <w:rFonts w:ascii="Arial" w:hAnsi="Arial" w:cs="Arial"/>
          <w:sz w:val="22"/>
          <w:szCs w:val="22"/>
        </w:rPr>
        <w:t xml:space="preserve">. </w:t>
      </w:r>
      <w:r w:rsidR="00072568">
        <w:rPr>
          <w:rFonts w:ascii="Arial" w:hAnsi="Arial" w:cs="Arial"/>
          <w:sz w:val="22"/>
          <w:szCs w:val="22"/>
        </w:rPr>
        <w:t>Eight</w:t>
      </w:r>
      <w:r w:rsidR="00974DA9">
        <w:rPr>
          <w:rFonts w:ascii="Arial" w:hAnsi="Arial" w:cs="Arial"/>
          <w:sz w:val="22"/>
          <w:szCs w:val="22"/>
        </w:rPr>
        <w:t xml:space="preserve"> companies have been accredited with a further </w:t>
      </w:r>
      <w:r w:rsidR="00F02D9F">
        <w:rPr>
          <w:rFonts w:ascii="Arial" w:hAnsi="Arial" w:cs="Arial"/>
          <w:sz w:val="22"/>
          <w:szCs w:val="22"/>
        </w:rPr>
        <w:t>four actively working through the process</w:t>
      </w:r>
      <w:r w:rsidR="00974DA9">
        <w:rPr>
          <w:rFonts w:ascii="Arial" w:hAnsi="Arial" w:cs="Arial"/>
          <w:sz w:val="22"/>
          <w:szCs w:val="22"/>
        </w:rPr>
        <w:t>. One firm wh</w:t>
      </w:r>
      <w:r w:rsidR="004D1D11">
        <w:rPr>
          <w:rFonts w:ascii="Arial" w:hAnsi="Arial" w:cs="Arial"/>
          <w:sz w:val="22"/>
          <w:szCs w:val="22"/>
        </w:rPr>
        <w:t>ich</w:t>
      </w:r>
      <w:r w:rsidR="00974DA9">
        <w:rPr>
          <w:rFonts w:ascii="Arial" w:hAnsi="Arial" w:cs="Arial"/>
          <w:sz w:val="22"/>
          <w:szCs w:val="22"/>
        </w:rPr>
        <w:t xml:space="preserve"> applied for accreditation has not continued with the accreditation process. The remaining two companies have entered into joint venture arrangements under regulation 24(1)(h) (discussed below).</w:t>
      </w:r>
      <w:r w:rsidR="00EA3946">
        <w:rPr>
          <w:rFonts w:ascii="Arial" w:hAnsi="Arial" w:cs="Arial"/>
          <w:sz w:val="22"/>
          <w:szCs w:val="22"/>
        </w:rPr>
        <w:t xml:space="preserve"> </w:t>
      </w:r>
    </w:p>
    <w:p w:rsidR="00974DA9" w:rsidRPr="004E55FE" w:rsidRDefault="00974DA9" w:rsidP="00974DA9">
      <w:pPr>
        <w:rPr>
          <w:rFonts w:ascii="Arial" w:hAnsi="Arial" w:cs="Arial"/>
          <w:sz w:val="22"/>
          <w:szCs w:val="22"/>
        </w:rPr>
      </w:pPr>
    </w:p>
    <w:p w:rsidR="00974DA9" w:rsidRPr="004E55FE" w:rsidRDefault="00974DA9" w:rsidP="00974DA9">
      <w:pPr>
        <w:rPr>
          <w:rFonts w:ascii="Arial" w:hAnsi="Arial" w:cs="Arial"/>
          <w:sz w:val="22"/>
          <w:szCs w:val="22"/>
        </w:rPr>
      </w:pPr>
      <w:r w:rsidRPr="004E55FE">
        <w:rPr>
          <w:rFonts w:ascii="Arial" w:hAnsi="Arial" w:cs="Arial"/>
          <w:sz w:val="22"/>
          <w:szCs w:val="22"/>
        </w:rPr>
        <w:t>The OFSC h</w:t>
      </w:r>
      <w:r>
        <w:rPr>
          <w:rFonts w:ascii="Arial" w:hAnsi="Arial" w:cs="Arial"/>
          <w:sz w:val="22"/>
          <w:szCs w:val="22"/>
        </w:rPr>
        <w:t xml:space="preserve">as conducted </w:t>
      </w:r>
      <w:r w:rsidR="00F822DC">
        <w:rPr>
          <w:rFonts w:ascii="Arial" w:hAnsi="Arial" w:cs="Arial"/>
          <w:sz w:val="22"/>
          <w:szCs w:val="22"/>
        </w:rPr>
        <w:t>five</w:t>
      </w:r>
      <w:r w:rsidR="00F822DC" w:rsidRPr="004E55FE">
        <w:rPr>
          <w:rFonts w:ascii="Arial" w:hAnsi="Arial" w:cs="Arial"/>
          <w:sz w:val="22"/>
          <w:szCs w:val="22"/>
        </w:rPr>
        <w:t xml:space="preserve"> </w:t>
      </w:r>
      <w:r w:rsidRPr="004E55FE">
        <w:rPr>
          <w:rFonts w:ascii="Arial" w:hAnsi="Arial" w:cs="Arial"/>
          <w:sz w:val="22"/>
          <w:szCs w:val="22"/>
        </w:rPr>
        <w:t>audits on international projects where companies have not had a project available in Australia for audit.</w:t>
      </w:r>
    </w:p>
    <w:p w:rsidR="00974DA9" w:rsidRPr="004E55FE" w:rsidRDefault="00974DA9" w:rsidP="00974DA9">
      <w:pPr>
        <w:rPr>
          <w:rFonts w:ascii="Arial" w:hAnsi="Arial" w:cs="Arial"/>
          <w:sz w:val="22"/>
          <w:szCs w:val="22"/>
        </w:rPr>
      </w:pPr>
    </w:p>
    <w:p w:rsidR="00974DA9" w:rsidRPr="004E55FE" w:rsidRDefault="00974DA9" w:rsidP="00974DA9">
      <w:pPr>
        <w:rPr>
          <w:rFonts w:ascii="Arial" w:hAnsi="Arial" w:cs="Arial"/>
          <w:sz w:val="22"/>
          <w:szCs w:val="22"/>
        </w:rPr>
      </w:pPr>
      <w:r w:rsidRPr="004E55FE">
        <w:rPr>
          <w:rFonts w:ascii="Arial" w:hAnsi="Arial" w:cs="Arial"/>
          <w:sz w:val="22"/>
          <w:szCs w:val="22"/>
        </w:rPr>
        <w:t xml:space="preserve">The average timeframe for all </w:t>
      </w:r>
      <w:r>
        <w:rPr>
          <w:rFonts w:ascii="Arial" w:hAnsi="Arial" w:cs="Arial"/>
          <w:sz w:val="22"/>
          <w:szCs w:val="22"/>
        </w:rPr>
        <w:t xml:space="preserve">companies to get accredited is </w:t>
      </w:r>
      <w:r w:rsidR="005E6C02">
        <w:rPr>
          <w:rFonts w:ascii="Arial" w:hAnsi="Arial" w:cs="Arial"/>
          <w:sz w:val="22"/>
          <w:szCs w:val="22"/>
        </w:rPr>
        <w:t>six</w:t>
      </w:r>
      <w:r w:rsidR="005E6C02" w:rsidRPr="004E55FE">
        <w:rPr>
          <w:rFonts w:ascii="Arial" w:hAnsi="Arial" w:cs="Arial"/>
          <w:sz w:val="22"/>
          <w:szCs w:val="22"/>
        </w:rPr>
        <w:t xml:space="preserve"> </w:t>
      </w:r>
      <w:r w:rsidRPr="004E55FE">
        <w:rPr>
          <w:rFonts w:ascii="Arial" w:hAnsi="Arial" w:cs="Arial"/>
          <w:sz w:val="22"/>
          <w:szCs w:val="22"/>
        </w:rPr>
        <w:t>months</w:t>
      </w:r>
      <w:r w:rsidR="000F1ABC">
        <w:rPr>
          <w:rFonts w:ascii="Arial" w:hAnsi="Arial" w:cs="Arial"/>
          <w:sz w:val="22"/>
          <w:szCs w:val="22"/>
        </w:rPr>
        <w:t>.</w:t>
      </w:r>
      <w:r w:rsidRPr="004E55FE">
        <w:rPr>
          <w:rFonts w:ascii="Arial" w:hAnsi="Arial" w:cs="Arial"/>
          <w:sz w:val="22"/>
          <w:szCs w:val="22"/>
        </w:rPr>
        <w:t xml:space="preserve"> </w:t>
      </w:r>
      <w:r w:rsidR="004D1D11">
        <w:rPr>
          <w:rFonts w:ascii="Arial" w:hAnsi="Arial" w:cs="Arial"/>
          <w:sz w:val="22"/>
          <w:szCs w:val="22"/>
        </w:rPr>
        <w:t>Ho</w:t>
      </w:r>
      <w:r w:rsidRPr="004E55FE">
        <w:rPr>
          <w:rFonts w:ascii="Arial" w:hAnsi="Arial" w:cs="Arial"/>
          <w:sz w:val="22"/>
          <w:szCs w:val="22"/>
        </w:rPr>
        <w:t>wever this timeframe is largely dependent on the maturity of a company’s WHS management system, their preparation for audit, and their project availability. For all applicants, early contact with the OFSC is advised, and this is particularly the case for international companies.</w:t>
      </w:r>
    </w:p>
    <w:p w:rsidR="00974DA9" w:rsidRPr="004E55FE" w:rsidRDefault="00974DA9" w:rsidP="00974DA9">
      <w:pPr>
        <w:rPr>
          <w:rFonts w:ascii="Arial" w:hAnsi="Arial" w:cs="Arial"/>
          <w:sz w:val="22"/>
          <w:szCs w:val="22"/>
        </w:rPr>
      </w:pPr>
    </w:p>
    <w:p w:rsidR="00974DA9" w:rsidRPr="004E55FE" w:rsidRDefault="00974DA9" w:rsidP="00974DA9">
      <w:pPr>
        <w:rPr>
          <w:rFonts w:ascii="Arial" w:hAnsi="Arial" w:cs="Arial"/>
          <w:sz w:val="22"/>
          <w:szCs w:val="22"/>
        </w:rPr>
      </w:pPr>
      <w:r w:rsidRPr="004E55FE">
        <w:rPr>
          <w:rFonts w:ascii="Arial" w:hAnsi="Arial" w:cs="Arial"/>
          <w:sz w:val="22"/>
          <w:szCs w:val="22"/>
        </w:rPr>
        <w:t xml:space="preserve">For international firms, one of two things will happen </w:t>
      </w:r>
      <w:r>
        <w:rPr>
          <w:rFonts w:ascii="Arial" w:hAnsi="Arial" w:cs="Arial"/>
          <w:sz w:val="22"/>
          <w:szCs w:val="22"/>
        </w:rPr>
        <w:t xml:space="preserve">once their application for accreditation has been assessed for completeness. </w:t>
      </w:r>
      <w:r w:rsidRPr="004E55FE">
        <w:rPr>
          <w:rFonts w:ascii="Arial" w:hAnsi="Arial" w:cs="Arial"/>
          <w:sz w:val="22"/>
          <w:szCs w:val="22"/>
        </w:rPr>
        <w:t>If the company has provided project site(s) for audit in Australia, an on</w:t>
      </w:r>
      <w:r w:rsidR="000F1ABC">
        <w:rPr>
          <w:rFonts w:ascii="Arial" w:hAnsi="Arial" w:cs="Arial"/>
          <w:sz w:val="22"/>
          <w:szCs w:val="22"/>
        </w:rPr>
        <w:t>-</w:t>
      </w:r>
      <w:r w:rsidRPr="004E55FE">
        <w:rPr>
          <w:rFonts w:ascii="Arial" w:hAnsi="Arial" w:cs="Arial"/>
          <w:sz w:val="22"/>
          <w:szCs w:val="22"/>
        </w:rPr>
        <w:t>site audit is scheduled. Depending on project activity and FSO availability, this can be organised to occur with</w:t>
      </w:r>
      <w:r w:rsidR="007C2197">
        <w:rPr>
          <w:rFonts w:ascii="Arial" w:hAnsi="Arial" w:cs="Arial"/>
          <w:sz w:val="22"/>
          <w:szCs w:val="22"/>
        </w:rPr>
        <w:t>in</w:t>
      </w:r>
      <w:r w:rsidRPr="004E55FE">
        <w:rPr>
          <w:rFonts w:ascii="Arial" w:hAnsi="Arial" w:cs="Arial"/>
          <w:sz w:val="22"/>
          <w:szCs w:val="22"/>
        </w:rPr>
        <w:t xml:space="preserve"> only a few weeks.</w:t>
      </w:r>
    </w:p>
    <w:p w:rsidR="00974DA9" w:rsidRPr="004E55FE" w:rsidRDefault="00974DA9" w:rsidP="00974DA9">
      <w:pPr>
        <w:rPr>
          <w:rFonts w:ascii="Arial" w:hAnsi="Arial" w:cs="Arial"/>
          <w:sz w:val="22"/>
          <w:szCs w:val="22"/>
        </w:rPr>
      </w:pPr>
    </w:p>
    <w:p w:rsidR="00974DA9" w:rsidRPr="004E55FE" w:rsidRDefault="00974DA9" w:rsidP="00974DA9">
      <w:pPr>
        <w:rPr>
          <w:rFonts w:ascii="Arial" w:hAnsi="Arial" w:cs="Arial"/>
          <w:sz w:val="22"/>
          <w:szCs w:val="22"/>
        </w:rPr>
      </w:pPr>
      <w:r w:rsidRPr="004E55FE">
        <w:rPr>
          <w:rFonts w:ascii="Arial" w:hAnsi="Arial" w:cs="Arial"/>
          <w:sz w:val="22"/>
          <w:szCs w:val="22"/>
        </w:rPr>
        <w:t>For international firms without an Australian</w:t>
      </w:r>
      <w:r w:rsidR="00D85434">
        <w:rPr>
          <w:rFonts w:ascii="Arial" w:hAnsi="Arial" w:cs="Arial"/>
          <w:sz w:val="22"/>
          <w:szCs w:val="22"/>
        </w:rPr>
        <w:t>-</w:t>
      </w:r>
      <w:r w:rsidRPr="004E55FE">
        <w:rPr>
          <w:rFonts w:ascii="Arial" w:hAnsi="Arial" w:cs="Arial"/>
          <w:sz w:val="22"/>
          <w:szCs w:val="22"/>
        </w:rPr>
        <w:t>based project site for audit, a desktop audit is conducted at the company’s Australian head office. This can also be organised within a matter of a few weeks, and is conducted to identify system gaps prior to the consideration of conducting an on</w:t>
      </w:r>
      <w:r w:rsidR="000F1ABC">
        <w:rPr>
          <w:rFonts w:ascii="Arial" w:hAnsi="Arial" w:cs="Arial"/>
          <w:sz w:val="22"/>
          <w:szCs w:val="22"/>
        </w:rPr>
        <w:t>-</w:t>
      </w:r>
      <w:r w:rsidRPr="004E55FE">
        <w:rPr>
          <w:rFonts w:ascii="Arial" w:hAnsi="Arial" w:cs="Arial"/>
          <w:sz w:val="22"/>
          <w:szCs w:val="22"/>
        </w:rPr>
        <w:t>site audit on an overseas project. Once the company’s system is at a point where an international audit has a good chance of being successful, an international audit is organised. Once again, timeframes are largely dependent on the company and FSO availability.</w:t>
      </w:r>
    </w:p>
    <w:p w:rsidR="00974DA9" w:rsidRDefault="00895341" w:rsidP="00974DA9">
      <w:pPr>
        <w:rPr>
          <w:rFonts w:ascii="Arial" w:hAnsi="Arial" w:cs="Arial"/>
          <w:sz w:val="22"/>
          <w:szCs w:val="22"/>
        </w:rPr>
      </w:pPr>
      <w:r>
        <w:rPr>
          <w:rFonts w:ascii="Arial" w:hAnsi="Arial" w:cs="Arial"/>
          <w:sz w:val="22"/>
          <w:szCs w:val="22"/>
        </w:rPr>
        <w:t>T</w:t>
      </w:r>
      <w:r w:rsidR="00974DA9" w:rsidRPr="004E55FE">
        <w:rPr>
          <w:rFonts w:ascii="Arial" w:hAnsi="Arial" w:cs="Arial"/>
          <w:sz w:val="22"/>
          <w:szCs w:val="22"/>
        </w:rPr>
        <w:t xml:space="preserve">he time taken to gain accreditation is due </w:t>
      </w:r>
      <w:r w:rsidRPr="004E55FE">
        <w:rPr>
          <w:rFonts w:ascii="Arial" w:hAnsi="Arial" w:cs="Arial"/>
          <w:sz w:val="22"/>
          <w:szCs w:val="22"/>
        </w:rPr>
        <w:t xml:space="preserve">mostly </w:t>
      </w:r>
      <w:r w:rsidR="00974DA9" w:rsidRPr="004E55FE">
        <w:rPr>
          <w:rFonts w:ascii="Arial" w:hAnsi="Arial" w:cs="Arial"/>
          <w:sz w:val="22"/>
          <w:szCs w:val="22"/>
        </w:rPr>
        <w:t xml:space="preserve">to the preparedness of the company applying, the nature of </w:t>
      </w:r>
      <w:r w:rsidR="007C2197">
        <w:rPr>
          <w:rFonts w:ascii="Arial" w:hAnsi="Arial" w:cs="Arial"/>
          <w:sz w:val="22"/>
          <w:szCs w:val="22"/>
        </w:rPr>
        <w:t>its</w:t>
      </w:r>
      <w:r w:rsidR="00974DA9" w:rsidRPr="004E55FE">
        <w:rPr>
          <w:rFonts w:ascii="Arial" w:hAnsi="Arial" w:cs="Arial"/>
          <w:sz w:val="22"/>
          <w:szCs w:val="22"/>
        </w:rPr>
        <w:t xml:space="preserve"> WHS management system and how readily it can be demonstrated on a project, project availability, the expertise of </w:t>
      </w:r>
      <w:r w:rsidR="007C2197">
        <w:rPr>
          <w:rFonts w:ascii="Arial" w:hAnsi="Arial" w:cs="Arial"/>
          <w:sz w:val="22"/>
          <w:szCs w:val="22"/>
        </w:rPr>
        <w:t xml:space="preserve">company </w:t>
      </w:r>
      <w:r w:rsidR="00974DA9" w:rsidRPr="004E55FE">
        <w:rPr>
          <w:rFonts w:ascii="Arial" w:hAnsi="Arial" w:cs="Arial"/>
          <w:sz w:val="22"/>
          <w:szCs w:val="22"/>
        </w:rPr>
        <w:t xml:space="preserve">personnel and the timeframes </w:t>
      </w:r>
      <w:r w:rsidR="007C2197">
        <w:rPr>
          <w:rFonts w:ascii="Arial" w:hAnsi="Arial" w:cs="Arial"/>
          <w:sz w:val="22"/>
          <w:szCs w:val="22"/>
        </w:rPr>
        <w:t>within which they</w:t>
      </w:r>
      <w:r w:rsidR="00974DA9" w:rsidRPr="004E55FE">
        <w:rPr>
          <w:rFonts w:ascii="Arial" w:hAnsi="Arial" w:cs="Arial"/>
          <w:sz w:val="22"/>
          <w:szCs w:val="22"/>
        </w:rPr>
        <w:t xml:space="preserve"> wish to work. For international firms, some have taken less than the </w:t>
      </w:r>
      <w:r w:rsidR="00F81E5C">
        <w:rPr>
          <w:rFonts w:ascii="Arial" w:hAnsi="Arial" w:cs="Arial"/>
          <w:sz w:val="22"/>
          <w:szCs w:val="22"/>
        </w:rPr>
        <w:t>six</w:t>
      </w:r>
      <w:r w:rsidR="00974DA9" w:rsidRPr="004E55FE">
        <w:rPr>
          <w:rFonts w:ascii="Arial" w:hAnsi="Arial" w:cs="Arial"/>
          <w:sz w:val="22"/>
          <w:szCs w:val="22"/>
        </w:rPr>
        <w:t xml:space="preserve"> month average and some have taken more.</w:t>
      </w:r>
      <w:r w:rsidR="00EA3946">
        <w:rPr>
          <w:rFonts w:ascii="Arial" w:hAnsi="Arial" w:cs="Arial"/>
          <w:sz w:val="22"/>
          <w:szCs w:val="22"/>
        </w:rPr>
        <w:t xml:space="preserve"> </w:t>
      </w:r>
    </w:p>
    <w:p w:rsidR="00FB1C4F" w:rsidRDefault="00974DA9" w:rsidP="00974DA9">
      <w:pPr>
        <w:rPr>
          <w:rFonts w:ascii="Arial" w:hAnsi="Arial" w:cs="Arial"/>
          <w:sz w:val="22"/>
          <w:szCs w:val="22"/>
        </w:rPr>
      </w:pPr>
      <w:r>
        <w:rPr>
          <w:rFonts w:ascii="Arial" w:hAnsi="Arial" w:cs="Arial"/>
          <w:sz w:val="22"/>
          <w:szCs w:val="22"/>
        </w:rPr>
        <w:t xml:space="preserve">In 2012, an amendment was made to the Scheme regulations that provide an exemption for international companies to work in joint venture arrangements with an accredited builder. </w:t>
      </w:r>
    </w:p>
    <w:p w:rsidR="00FB1C4F" w:rsidRDefault="00FB1C4F" w:rsidP="00974DA9">
      <w:pPr>
        <w:rPr>
          <w:rFonts w:ascii="Arial" w:hAnsi="Arial" w:cs="Arial"/>
          <w:sz w:val="22"/>
          <w:szCs w:val="22"/>
        </w:rPr>
      </w:pPr>
    </w:p>
    <w:p w:rsidR="00222474" w:rsidRDefault="00974DA9" w:rsidP="00974DA9">
      <w:pPr>
        <w:rPr>
          <w:rFonts w:ascii="Arial" w:hAnsi="Arial" w:cs="Arial"/>
          <w:sz w:val="22"/>
          <w:szCs w:val="22"/>
        </w:rPr>
      </w:pPr>
      <w:r w:rsidRPr="004E55FE">
        <w:rPr>
          <w:rFonts w:ascii="Arial" w:hAnsi="Arial" w:cs="Arial"/>
          <w:sz w:val="22"/>
          <w:szCs w:val="22"/>
        </w:rPr>
        <w:t>Under Regulation 24(1)(h) an unaccredited builder, as part of a joint venture or alliance arrangement with an accredited builder, may enter into contracts for Scheme projects on a limited basis</w:t>
      </w:r>
      <w:r w:rsidR="007C2197">
        <w:rPr>
          <w:rFonts w:ascii="Arial" w:hAnsi="Arial" w:cs="Arial"/>
          <w:sz w:val="22"/>
          <w:szCs w:val="22"/>
        </w:rPr>
        <w:t>,</w:t>
      </w:r>
      <w:r w:rsidRPr="004E55FE">
        <w:rPr>
          <w:rFonts w:ascii="Arial" w:hAnsi="Arial" w:cs="Arial"/>
          <w:sz w:val="22"/>
          <w:szCs w:val="22"/>
        </w:rPr>
        <w:t xml:space="preserve"> subject to specific requirements being satisfied. This regulation applies only to international companies. </w:t>
      </w:r>
    </w:p>
    <w:p w:rsidR="00222474" w:rsidRDefault="00222474" w:rsidP="00974DA9">
      <w:pPr>
        <w:rPr>
          <w:rFonts w:ascii="Arial" w:hAnsi="Arial" w:cs="Arial"/>
          <w:sz w:val="22"/>
          <w:szCs w:val="22"/>
        </w:rPr>
      </w:pPr>
    </w:p>
    <w:p w:rsidR="00FB1C4F" w:rsidRDefault="00974DA9" w:rsidP="00974DA9">
      <w:pPr>
        <w:rPr>
          <w:rFonts w:ascii="Arial" w:hAnsi="Arial" w:cs="Arial"/>
          <w:sz w:val="22"/>
          <w:szCs w:val="22"/>
        </w:rPr>
      </w:pPr>
      <w:r>
        <w:rPr>
          <w:rFonts w:ascii="Arial" w:hAnsi="Arial" w:cs="Arial"/>
          <w:sz w:val="22"/>
          <w:szCs w:val="22"/>
        </w:rPr>
        <w:t>A</w:t>
      </w:r>
      <w:r w:rsidRPr="004E55FE">
        <w:rPr>
          <w:rFonts w:ascii="Arial" w:hAnsi="Arial" w:cs="Arial"/>
          <w:sz w:val="22"/>
          <w:szCs w:val="22"/>
        </w:rPr>
        <w:t xml:space="preserve">ll of the requirements under </w:t>
      </w:r>
      <w:r w:rsidR="000F0BED">
        <w:rPr>
          <w:rFonts w:ascii="Arial" w:hAnsi="Arial" w:cs="Arial"/>
          <w:sz w:val="22"/>
          <w:szCs w:val="22"/>
        </w:rPr>
        <w:t xml:space="preserve">regulation </w:t>
      </w:r>
      <w:r w:rsidRPr="004E55FE">
        <w:rPr>
          <w:rFonts w:ascii="Arial" w:hAnsi="Arial" w:cs="Arial"/>
          <w:sz w:val="22"/>
          <w:szCs w:val="22"/>
        </w:rPr>
        <w:t xml:space="preserve">24(1)(h) must be met in order for an exemption to be an option, including </w:t>
      </w:r>
    </w:p>
    <w:p w:rsidR="00C60F32" w:rsidRDefault="00C60F32" w:rsidP="00974DA9">
      <w:pPr>
        <w:rPr>
          <w:rFonts w:ascii="Arial" w:hAnsi="Arial" w:cs="Arial"/>
          <w:sz w:val="22"/>
          <w:szCs w:val="22"/>
        </w:rPr>
      </w:pPr>
    </w:p>
    <w:p w:rsidR="00FB1C4F" w:rsidRDefault="00974DA9" w:rsidP="008C1B31">
      <w:pPr>
        <w:pStyle w:val="ListParagraph"/>
        <w:numPr>
          <w:ilvl w:val="0"/>
          <w:numId w:val="10"/>
        </w:numPr>
        <w:ind w:left="567" w:hanging="283"/>
        <w:rPr>
          <w:rFonts w:ascii="Arial" w:hAnsi="Arial" w:cs="Arial"/>
        </w:rPr>
      </w:pPr>
      <w:r w:rsidRPr="00FB1C4F">
        <w:rPr>
          <w:rFonts w:ascii="Arial" w:hAnsi="Arial" w:cs="Arial"/>
        </w:rPr>
        <w:t>the company is</w:t>
      </w:r>
      <w:r w:rsidR="00895341" w:rsidRPr="00FB1C4F">
        <w:rPr>
          <w:rFonts w:ascii="Arial" w:hAnsi="Arial" w:cs="Arial"/>
        </w:rPr>
        <w:t xml:space="preserve"> </w:t>
      </w:r>
      <w:r w:rsidRPr="00FB1C4F">
        <w:rPr>
          <w:rFonts w:ascii="Arial" w:hAnsi="Arial" w:cs="Arial"/>
        </w:rPr>
        <w:t>n</w:t>
      </w:r>
      <w:r w:rsidR="00895341" w:rsidRPr="00FB1C4F">
        <w:rPr>
          <w:rFonts w:ascii="Arial" w:hAnsi="Arial" w:cs="Arial"/>
        </w:rPr>
        <w:t>o</w:t>
      </w:r>
      <w:r w:rsidRPr="00FB1C4F">
        <w:rPr>
          <w:rFonts w:ascii="Arial" w:hAnsi="Arial" w:cs="Arial"/>
        </w:rPr>
        <w:t xml:space="preserve">t currently operating in Australia as a principal contractor, </w:t>
      </w:r>
    </w:p>
    <w:p w:rsidR="00FB1C4F" w:rsidRDefault="00974DA9" w:rsidP="008C1B31">
      <w:pPr>
        <w:pStyle w:val="ListParagraph"/>
        <w:numPr>
          <w:ilvl w:val="0"/>
          <w:numId w:val="10"/>
        </w:numPr>
        <w:ind w:left="567" w:hanging="283"/>
        <w:rPr>
          <w:rFonts w:ascii="Arial" w:hAnsi="Arial" w:cs="Arial"/>
        </w:rPr>
      </w:pPr>
      <w:r w:rsidRPr="00FB1C4F">
        <w:rPr>
          <w:rFonts w:ascii="Arial" w:hAnsi="Arial" w:cs="Arial"/>
        </w:rPr>
        <w:t xml:space="preserve">the company has to have applied for accreditation to the Scheme and </w:t>
      </w:r>
    </w:p>
    <w:p w:rsidR="00FB1C4F" w:rsidRDefault="00974DA9" w:rsidP="008C1B31">
      <w:pPr>
        <w:pStyle w:val="ListParagraph"/>
        <w:numPr>
          <w:ilvl w:val="0"/>
          <w:numId w:val="10"/>
        </w:numPr>
        <w:ind w:left="567" w:hanging="283"/>
        <w:rPr>
          <w:rFonts w:ascii="Arial" w:hAnsi="Arial" w:cs="Arial"/>
        </w:rPr>
      </w:pPr>
      <w:r w:rsidRPr="00FB1C4F">
        <w:rPr>
          <w:rFonts w:ascii="Arial" w:hAnsi="Arial" w:cs="Arial"/>
        </w:rPr>
        <w:t>an application for exemption is made to the OFSC prior to any contracts being awarded.</w:t>
      </w:r>
    </w:p>
    <w:p w:rsidR="00974DA9" w:rsidRPr="00FB1C4F" w:rsidRDefault="00974DA9" w:rsidP="00FB1C4F">
      <w:pPr>
        <w:rPr>
          <w:rFonts w:ascii="Arial" w:hAnsi="Arial" w:cs="Arial"/>
          <w:sz w:val="22"/>
          <w:szCs w:val="22"/>
        </w:rPr>
      </w:pPr>
      <w:r w:rsidRPr="00FB1C4F">
        <w:rPr>
          <w:rFonts w:ascii="Arial" w:hAnsi="Arial" w:cs="Arial"/>
          <w:sz w:val="22"/>
          <w:szCs w:val="22"/>
        </w:rPr>
        <w:t xml:space="preserve">The arrangements under </w:t>
      </w:r>
      <w:r w:rsidR="00A27E82">
        <w:rPr>
          <w:rFonts w:ascii="Arial" w:hAnsi="Arial" w:cs="Arial"/>
          <w:sz w:val="22"/>
          <w:szCs w:val="22"/>
        </w:rPr>
        <w:t>r</w:t>
      </w:r>
      <w:r w:rsidRPr="00FB1C4F">
        <w:rPr>
          <w:rFonts w:ascii="Arial" w:hAnsi="Arial" w:cs="Arial"/>
          <w:sz w:val="22"/>
          <w:szCs w:val="22"/>
        </w:rPr>
        <w:t>egulation 24(1)(h) have been successful in enabling skilled and innovative international companies to participate in Australia’s infrastructure market, with the requirement that they must operate under the accredited compan</w:t>
      </w:r>
      <w:r w:rsidR="00895341" w:rsidRPr="00FB1C4F">
        <w:rPr>
          <w:rFonts w:ascii="Arial" w:hAnsi="Arial" w:cs="Arial"/>
          <w:sz w:val="22"/>
          <w:szCs w:val="22"/>
        </w:rPr>
        <w:t>y’s</w:t>
      </w:r>
      <w:r w:rsidRPr="00FB1C4F">
        <w:rPr>
          <w:rFonts w:ascii="Arial" w:hAnsi="Arial" w:cs="Arial"/>
          <w:sz w:val="22"/>
          <w:szCs w:val="22"/>
        </w:rPr>
        <w:t xml:space="preserve"> WHSMS as a means of maintaining safety standards.</w:t>
      </w:r>
    </w:p>
    <w:p w:rsidR="00974DA9" w:rsidRPr="008879B1" w:rsidRDefault="00974DA9" w:rsidP="00974DA9">
      <w:pPr>
        <w:rPr>
          <w:rFonts w:ascii="Arial" w:hAnsi="Arial" w:cs="Arial"/>
          <w:sz w:val="22"/>
          <w:szCs w:val="22"/>
        </w:rPr>
      </w:pPr>
    </w:p>
    <w:p w:rsidR="007119B1" w:rsidRDefault="00974DA9" w:rsidP="00974DA9">
      <w:pPr>
        <w:rPr>
          <w:rFonts w:ascii="Arial" w:hAnsi="Arial" w:cs="Arial"/>
          <w:sz w:val="22"/>
          <w:szCs w:val="22"/>
        </w:rPr>
      </w:pPr>
      <w:r>
        <w:rPr>
          <w:rFonts w:ascii="Arial" w:hAnsi="Arial" w:cs="Arial"/>
          <w:sz w:val="22"/>
          <w:szCs w:val="22"/>
        </w:rPr>
        <w:t xml:space="preserve">The experience of the OFSC is that international companies have no more difficulties meeting Scheme requirements than local companies. </w:t>
      </w:r>
      <w:r w:rsidR="00D23BB5">
        <w:rPr>
          <w:rFonts w:ascii="Arial" w:hAnsi="Arial" w:cs="Arial"/>
          <w:sz w:val="22"/>
          <w:szCs w:val="22"/>
        </w:rPr>
        <w:t>On average</w:t>
      </w:r>
      <w:r w:rsidR="00895341">
        <w:rPr>
          <w:rFonts w:ascii="Arial" w:hAnsi="Arial" w:cs="Arial"/>
          <w:sz w:val="22"/>
          <w:szCs w:val="22"/>
        </w:rPr>
        <w:t>,</w:t>
      </w:r>
      <w:r w:rsidR="00D23BB5">
        <w:rPr>
          <w:rFonts w:ascii="Arial" w:hAnsi="Arial" w:cs="Arial"/>
          <w:sz w:val="22"/>
          <w:szCs w:val="22"/>
        </w:rPr>
        <w:t xml:space="preserve"> international companies require the same number of audit days to achieve accreditation as first time </w:t>
      </w:r>
      <w:r w:rsidR="00222474">
        <w:rPr>
          <w:rFonts w:ascii="Arial" w:hAnsi="Arial" w:cs="Arial"/>
          <w:sz w:val="22"/>
          <w:szCs w:val="22"/>
        </w:rPr>
        <w:t xml:space="preserve">local </w:t>
      </w:r>
      <w:r w:rsidR="00D23BB5">
        <w:rPr>
          <w:rFonts w:ascii="Arial" w:hAnsi="Arial" w:cs="Arial"/>
          <w:sz w:val="22"/>
          <w:szCs w:val="22"/>
        </w:rPr>
        <w:t>applicants, and most have completed the process in comparable timeframes</w:t>
      </w:r>
      <w:r w:rsidR="00222474">
        <w:rPr>
          <w:rFonts w:ascii="Arial" w:hAnsi="Arial" w:cs="Arial"/>
          <w:sz w:val="22"/>
          <w:szCs w:val="22"/>
        </w:rPr>
        <w:t xml:space="preserve"> fo</w:t>
      </w:r>
      <w:r w:rsidR="00D23BB5">
        <w:rPr>
          <w:rFonts w:ascii="Arial" w:hAnsi="Arial" w:cs="Arial"/>
          <w:sz w:val="22"/>
          <w:szCs w:val="22"/>
        </w:rPr>
        <w:t xml:space="preserve">r new applicants to achieve accreditation. </w:t>
      </w:r>
    </w:p>
    <w:p w:rsidR="007119B1" w:rsidRDefault="007119B1" w:rsidP="00974DA9">
      <w:pPr>
        <w:rPr>
          <w:rFonts w:ascii="Arial" w:hAnsi="Arial" w:cs="Arial"/>
          <w:sz w:val="22"/>
          <w:szCs w:val="22"/>
        </w:rPr>
      </w:pPr>
    </w:p>
    <w:p w:rsidR="007119B1" w:rsidRDefault="00A90830" w:rsidP="00974DA9">
      <w:pPr>
        <w:rPr>
          <w:rFonts w:ascii="Arial" w:hAnsi="Arial" w:cs="Arial"/>
          <w:sz w:val="22"/>
          <w:szCs w:val="22"/>
        </w:rPr>
      </w:pPr>
      <w:r>
        <w:rPr>
          <w:rFonts w:ascii="Arial" w:hAnsi="Arial" w:cs="Arial"/>
          <w:sz w:val="22"/>
          <w:szCs w:val="22"/>
        </w:rPr>
        <w:t xml:space="preserve">A number of Advisory Panel members also noted the need for competitive neutrality for all companies – both domestic and international - and were not supportive of any move that could be seen as advantaging one group of companies over another in the competition for </w:t>
      </w:r>
      <w:r w:rsidR="00D15D83">
        <w:rPr>
          <w:rFonts w:ascii="Arial" w:hAnsi="Arial" w:cs="Arial"/>
          <w:sz w:val="22"/>
          <w:szCs w:val="22"/>
        </w:rPr>
        <w:t xml:space="preserve">Commonwealth </w:t>
      </w:r>
      <w:r>
        <w:rPr>
          <w:rFonts w:ascii="Arial" w:hAnsi="Arial" w:cs="Arial"/>
          <w:sz w:val="22"/>
          <w:szCs w:val="22"/>
        </w:rPr>
        <w:t xml:space="preserve">Government funded building work. </w:t>
      </w:r>
    </w:p>
    <w:p w:rsidR="007119B1" w:rsidRDefault="007119B1" w:rsidP="00974DA9">
      <w:pPr>
        <w:rPr>
          <w:rFonts w:ascii="Arial" w:hAnsi="Arial" w:cs="Arial"/>
          <w:sz w:val="22"/>
          <w:szCs w:val="22"/>
        </w:rPr>
      </w:pPr>
    </w:p>
    <w:p w:rsidR="00974DA9" w:rsidRDefault="00974DA9" w:rsidP="00974DA9">
      <w:pPr>
        <w:rPr>
          <w:rFonts w:ascii="Arial" w:hAnsi="Arial" w:cs="Arial"/>
          <w:sz w:val="22"/>
          <w:szCs w:val="22"/>
        </w:rPr>
      </w:pPr>
      <w:r>
        <w:rPr>
          <w:rFonts w:ascii="Arial" w:hAnsi="Arial" w:cs="Arial"/>
          <w:sz w:val="22"/>
          <w:szCs w:val="22"/>
        </w:rPr>
        <w:t>The OFSC has prepared fact sheets in consultation with Austrade and the Department of Infrastructure to address some of the concerns raised by international companies.</w:t>
      </w:r>
    </w:p>
    <w:p w:rsidR="00974DA9" w:rsidRDefault="00974DA9" w:rsidP="00974DA9">
      <w:pPr>
        <w:rPr>
          <w:rFonts w:ascii="Arial" w:hAnsi="Arial" w:cs="Arial"/>
          <w:sz w:val="22"/>
          <w:szCs w:val="22"/>
        </w:rPr>
      </w:pPr>
    </w:p>
    <w:p w:rsidR="005C4851" w:rsidRDefault="005C4851" w:rsidP="00465F83">
      <w:pPr>
        <w:rPr>
          <w:rFonts w:ascii="Arial" w:hAnsi="Arial" w:cs="Arial"/>
          <w:sz w:val="22"/>
          <w:szCs w:val="22"/>
        </w:rPr>
      </w:pPr>
      <w:r w:rsidRPr="005C2E4D">
        <w:rPr>
          <w:rFonts w:ascii="Arial" w:hAnsi="Arial" w:cs="Arial"/>
          <w:noProof/>
          <w:sz w:val="22"/>
          <w:szCs w:val="22"/>
        </w:rPr>
        <mc:AlternateContent>
          <mc:Choice Requires="wps">
            <w:drawing>
              <wp:inline distT="0" distB="0" distL="0" distR="0" wp14:anchorId="5F023301" wp14:editId="726B8EFE">
                <wp:extent cx="5743575" cy="800100"/>
                <wp:effectExtent l="0" t="0" r="28575" b="19050"/>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00100"/>
                        </a:xfrm>
                        <a:prstGeom prst="rect">
                          <a:avLst/>
                        </a:prstGeom>
                        <a:solidFill>
                          <a:schemeClr val="bg1">
                            <a:lumMod val="85000"/>
                          </a:schemeClr>
                        </a:solidFill>
                        <a:ln w="9525">
                          <a:solidFill>
                            <a:srgbClr val="000000"/>
                          </a:solidFill>
                          <a:miter lim="800000"/>
                          <a:headEnd/>
                          <a:tailEnd/>
                        </a:ln>
                      </wps:spPr>
                      <wps:txbx>
                        <w:txbxContent>
                          <w:p w:rsidR="00226B47" w:rsidRPr="00E55511" w:rsidRDefault="00226B47" w:rsidP="005C485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25</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OFSC discuss</w:t>
                            </w:r>
                            <w:r>
                              <w:rPr>
                                <w:rFonts w:ascii="Arial" w:hAnsi="Arial" w:cs="Arial"/>
                                <w:sz w:val="22"/>
                                <w:szCs w:val="22"/>
                              </w:rPr>
                              <w:t>es</w:t>
                            </w:r>
                            <w:r w:rsidRPr="009406F8">
                              <w:rPr>
                                <w:rFonts w:ascii="Arial" w:hAnsi="Arial" w:cs="Arial"/>
                                <w:sz w:val="22"/>
                                <w:szCs w:val="22"/>
                              </w:rPr>
                              <w:t xml:space="preserve"> with Austrade and the Department of Infrastructure (and other relevant agencies) whether further changes should be made to the Scheme’s arrangements for international companies</w:t>
                            </w:r>
                            <w:r>
                              <w:rPr>
                                <w:rFonts w:ascii="Arial" w:hAnsi="Arial" w:cs="Arial"/>
                                <w:sz w:val="22"/>
                                <w:szCs w:val="22"/>
                              </w:rPr>
                              <w:t>, while ensuring competitive neutrality for local companies.</w:t>
                            </w:r>
                          </w:p>
                        </w:txbxContent>
                      </wps:txbx>
                      <wps:bodyPr rot="0" vert="horz" wrap="square" lIns="91440" tIns="45720" rIns="91440" bIns="45720" anchor="ctr" anchorCtr="0">
                        <a:noAutofit/>
                      </wps:bodyPr>
                    </wps:wsp>
                  </a:graphicData>
                </a:graphic>
              </wp:inline>
            </w:drawing>
          </mc:Choice>
          <mc:Fallback>
            <w:pict>
              <v:shape w14:anchorId="5F023301" id="_x0000_s1050" type="#_x0000_t202" style="width:452.25pt;height:6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" fillcolor="#d8d8d8 [2732]">
                <v:textbox>
                  <w:txbxContent>
                    <w:p w:rsidR="00226B47" w:rsidRPr="00E55511" w:rsidRDefault="00226B47" w:rsidP="005C4851">
                      <w:pPr>
                        <w:rPr>
                          <w:rFonts w:ascii="Arial" w:hAnsi="Arial" w:cs="Arial"/>
                          <w:sz w:val="22"/>
                          <w:szCs w:val="22"/>
                        </w:rPr>
                      </w:pPr>
                      <w:r w:rsidRPr="005C2E4D">
                        <w:rPr>
                          <w:rFonts w:ascii="Arial" w:hAnsi="Arial" w:cs="Arial"/>
                          <w:b/>
                          <w:sz w:val="22"/>
                          <w:szCs w:val="22"/>
                          <w:highlight w:val="lightGray"/>
                        </w:rPr>
                        <w:t xml:space="preserve">Recommendation </w:t>
                      </w:r>
                      <w:r>
                        <w:rPr>
                          <w:rFonts w:ascii="Arial" w:hAnsi="Arial" w:cs="Arial"/>
                          <w:b/>
                          <w:sz w:val="22"/>
                          <w:szCs w:val="22"/>
                          <w:highlight w:val="lightGray"/>
                        </w:rPr>
                        <w:t>25</w:t>
                      </w:r>
                      <w:r w:rsidRPr="005E46C2">
                        <w:rPr>
                          <w:rFonts w:ascii="Arial" w:hAnsi="Arial" w:cs="Arial"/>
                          <w:sz w:val="22"/>
                          <w:szCs w:val="22"/>
                          <w:highlight w:val="lightGray"/>
                        </w:rPr>
                        <w:t>:</w:t>
                      </w:r>
                      <w:r>
                        <w:rPr>
                          <w:rFonts w:ascii="Arial" w:hAnsi="Arial" w:cs="Arial"/>
                          <w:sz w:val="22"/>
                          <w:szCs w:val="22"/>
                        </w:rPr>
                        <w:t xml:space="preserve"> </w:t>
                      </w:r>
                      <w:r w:rsidRPr="009406F8">
                        <w:rPr>
                          <w:rFonts w:ascii="Arial" w:hAnsi="Arial" w:cs="Arial"/>
                          <w:sz w:val="22"/>
                          <w:szCs w:val="22"/>
                        </w:rPr>
                        <w:t>The OFSC discuss</w:t>
                      </w:r>
                      <w:r>
                        <w:rPr>
                          <w:rFonts w:ascii="Arial" w:hAnsi="Arial" w:cs="Arial"/>
                          <w:sz w:val="22"/>
                          <w:szCs w:val="22"/>
                        </w:rPr>
                        <w:t>es</w:t>
                      </w:r>
                      <w:r w:rsidRPr="009406F8">
                        <w:rPr>
                          <w:rFonts w:ascii="Arial" w:hAnsi="Arial" w:cs="Arial"/>
                          <w:sz w:val="22"/>
                          <w:szCs w:val="22"/>
                        </w:rPr>
                        <w:t xml:space="preserve"> with Austrade and the Department of Infrastructure (and other relevant agencies) whether further changes should be made to the Scheme’s arrangements for international companies</w:t>
                      </w:r>
                      <w:r>
                        <w:rPr>
                          <w:rFonts w:ascii="Arial" w:hAnsi="Arial" w:cs="Arial"/>
                          <w:sz w:val="22"/>
                          <w:szCs w:val="22"/>
                        </w:rPr>
                        <w:t>, while ensuring competitive neutrality for local companies.</w:t>
                      </w:r>
                    </w:p>
                  </w:txbxContent>
                </v:textbox>
                <w10:anchorlock/>
              </v:shape>
            </w:pict>
          </mc:Fallback>
        </mc:AlternateContent>
      </w:r>
    </w:p>
    <w:p w:rsidR="005C4851" w:rsidRDefault="005C4851" w:rsidP="00465F83">
      <w:pPr>
        <w:rPr>
          <w:rFonts w:ascii="Arial" w:hAnsi="Arial" w:cs="Arial"/>
          <w:sz w:val="22"/>
          <w:szCs w:val="22"/>
        </w:rPr>
      </w:pPr>
    </w:p>
    <w:p w:rsidR="0090460E" w:rsidRDefault="0090460E">
      <w:pPr>
        <w:rPr>
          <w:rFonts w:ascii="Arial" w:hAnsi="Arial" w:cs="Arial"/>
          <w:sz w:val="22"/>
          <w:szCs w:val="22"/>
        </w:rPr>
      </w:pPr>
      <w:r>
        <w:rPr>
          <w:rFonts w:ascii="Arial" w:hAnsi="Arial" w:cs="Arial"/>
          <w:sz w:val="22"/>
          <w:szCs w:val="22"/>
        </w:rPr>
        <w:br w:type="page"/>
      </w:r>
    </w:p>
    <w:p w:rsidR="00E30AE1" w:rsidRDefault="00E30AE1" w:rsidP="00B01E1D">
      <w:pPr>
        <w:pStyle w:val="Heading1"/>
        <w:sectPr w:rsidR="00E30AE1" w:rsidSect="00A60F1C">
          <w:headerReference w:type="default" r:id="rId20"/>
          <w:footerReference w:type="default" r:id="rId21"/>
          <w:pgSz w:w="11906" w:h="16838" w:code="9"/>
          <w:pgMar w:top="1418" w:right="1134" w:bottom="993" w:left="1418" w:header="567" w:footer="567" w:gutter="0"/>
          <w:cols w:space="708"/>
          <w:docGrid w:linePitch="360"/>
        </w:sectPr>
      </w:pPr>
    </w:p>
    <w:p w:rsidR="00F32CB5" w:rsidRDefault="00F32CB5" w:rsidP="00B01E1D">
      <w:pPr>
        <w:pStyle w:val="Heading1"/>
      </w:pPr>
      <w:bookmarkStart w:id="60" w:name="_Toc390429538"/>
      <w:r>
        <w:t>Appendices</w:t>
      </w:r>
      <w:bookmarkEnd w:id="60"/>
    </w:p>
    <w:p w:rsidR="00F32CB5" w:rsidRDefault="00F32CB5" w:rsidP="00B01E1D">
      <w:pPr>
        <w:pStyle w:val="Heading1"/>
      </w:pPr>
    </w:p>
    <w:p w:rsidR="001B0349" w:rsidRPr="001B0349" w:rsidRDefault="001B0349" w:rsidP="003005B9">
      <w:pPr>
        <w:pStyle w:val="Heading2"/>
      </w:pPr>
      <w:bookmarkStart w:id="61" w:name="_Toc390429539"/>
      <w:r>
        <w:t>Australian Government Building and Construction OHS Accreditation Scheme</w:t>
      </w:r>
      <w:r w:rsidR="00F32CB5">
        <w:t xml:space="preserve"> - h</w:t>
      </w:r>
      <w:r w:rsidRPr="001B0349">
        <w:t>ow does the Scheme operate?</w:t>
      </w:r>
      <w:bookmarkEnd w:id="61"/>
    </w:p>
    <w:p w:rsidR="001B0349" w:rsidRDefault="001B0349" w:rsidP="001B0349">
      <w:pPr>
        <w:rPr>
          <w:rFonts w:ascii="Arial" w:hAnsi="Arial" w:cs="Arial"/>
          <w:sz w:val="22"/>
          <w:szCs w:val="22"/>
        </w:rPr>
      </w:pPr>
    </w:p>
    <w:p w:rsidR="001B0349" w:rsidRPr="001B0349" w:rsidRDefault="001B0349" w:rsidP="00A60F1C">
      <w:pPr>
        <w:pStyle w:val="Heading3"/>
      </w:pPr>
      <w:r w:rsidRPr="001B0349">
        <w:t>Legislative basis</w:t>
      </w:r>
    </w:p>
    <w:p w:rsidR="001B0349" w:rsidRDefault="001B0349" w:rsidP="001B0349">
      <w:pPr>
        <w:rPr>
          <w:rFonts w:ascii="Arial" w:hAnsi="Arial" w:cs="Arial"/>
          <w:sz w:val="22"/>
          <w:szCs w:val="22"/>
        </w:rPr>
      </w:pPr>
    </w:p>
    <w:p w:rsidR="001B0349" w:rsidRPr="00964EBF" w:rsidRDefault="001B0349" w:rsidP="001B0349">
      <w:pPr>
        <w:rPr>
          <w:rFonts w:ascii="Arial" w:hAnsi="Arial" w:cs="Arial"/>
          <w:sz w:val="22"/>
          <w:szCs w:val="22"/>
        </w:rPr>
      </w:pPr>
      <w:r w:rsidRPr="00964EBF">
        <w:rPr>
          <w:rFonts w:ascii="Arial" w:hAnsi="Arial" w:cs="Arial"/>
          <w:sz w:val="22"/>
          <w:szCs w:val="22"/>
        </w:rPr>
        <w:t>The</w:t>
      </w:r>
      <w:r w:rsidR="00222474">
        <w:rPr>
          <w:rFonts w:ascii="Arial" w:hAnsi="Arial" w:cs="Arial"/>
          <w:sz w:val="22"/>
          <w:szCs w:val="22"/>
        </w:rPr>
        <w:t xml:space="preserve"> </w:t>
      </w:r>
      <w:r>
        <w:rPr>
          <w:rFonts w:ascii="Arial" w:hAnsi="Arial" w:cs="Arial"/>
          <w:sz w:val="22"/>
          <w:szCs w:val="22"/>
        </w:rPr>
        <w:t xml:space="preserve">FSC </w:t>
      </w:r>
      <w:r w:rsidRPr="00964EBF">
        <w:rPr>
          <w:rFonts w:ascii="Arial" w:hAnsi="Arial" w:cs="Arial"/>
          <w:sz w:val="22"/>
          <w:szCs w:val="22"/>
        </w:rPr>
        <w:t xml:space="preserve">and the Scheme are established under section 35 of the </w:t>
      </w:r>
      <w:r w:rsidRPr="00432EF5">
        <w:rPr>
          <w:rStyle w:val="Emphasis"/>
        </w:rPr>
        <w:t>Fair Work (Building Industry) Act 2012</w:t>
      </w:r>
      <w:r w:rsidRPr="00964EBF">
        <w:rPr>
          <w:rFonts w:ascii="Arial" w:hAnsi="Arial" w:cs="Arial"/>
          <w:sz w:val="22"/>
          <w:szCs w:val="22"/>
        </w:rPr>
        <w:t xml:space="preserve"> (the FWBI Act). The Scheme is supported by the </w:t>
      </w:r>
      <w:r w:rsidRPr="00432EF5">
        <w:rPr>
          <w:rStyle w:val="Emphasis"/>
        </w:rPr>
        <w:t>Fair Work (Building Industry – Accreditation Scheme) Regulations 2005</w:t>
      </w:r>
      <w:r w:rsidRPr="00964EBF">
        <w:rPr>
          <w:rFonts w:ascii="Arial" w:hAnsi="Arial" w:cs="Arial"/>
          <w:sz w:val="22"/>
          <w:szCs w:val="22"/>
        </w:rPr>
        <w:t xml:space="preserve"> (Scheme Regulations). The Scheme is maintained in the </w:t>
      </w:r>
      <w:r w:rsidRPr="00432EF5">
        <w:rPr>
          <w:rStyle w:val="Emphasis"/>
        </w:rPr>
        <w:t>Building and Construction Industry (Improving Productivity) Bill 2013</w:t>
      </w:r>
      <w:r w:rsidRPr="00964EBF">
        <w:rPr>
          <w:rFonts w:ascii="Arial" w:hAnsi="Arial" w:cs="Arial"/>
          <w:i/>
          <w:sz w:val="22"/>
          <w:szCs w:val="22"/>
        </w:rPr>
        <w:t xml:space="preserve"> </w:t>
      </w:r>
      <w:r w:rsidRPr="00964EBF">
        <w:rPr>
          <w:rFonts w:ascii="Arial" w:hAnsi="Arial" w:cs="Arial"/>
          <w:sz w:val="22"/>
          <w:szCs w:val="22"/>
        </w:rPr>
        <w:t xml:space="preserve">which is currently before the Australian Parliament. </w:t>
      </w:r>
    </w:p>
    <w:p w:rsidR="001B0349" w:rsidRPr="00964EBF" w:rsidRDefault="001B0349" w:rsidP="001B0349">
      <w:pPr>
        <w:rPr>
          <w:rFonts w:ascii="Arial" w:hAnsi="Arial" w:cs="Arial"/>
          <w:sz w:val="22"/>
          <w:szCs w:val="22"/>
        </w:rPr>
      </w:pPr>
    </w:p>
    <w:p w:rsidR="001B0349" w:rsidRPr="001B0349" w:rsidRDefault="001B0349" w:rsidP="00A60F1C">
      <w:pPr>
        <w:pStyle w:val="Heading3"/>
      </w:pPr>
      <w:r w:rsidRPr="001B0349">
        <w:t>Rationale</w:t>
      </w:r>
    </w:p>
    <w:p w:rsidR="001B0349" w:rsidRDefault="001B0349" w:rsidP="001B0349">
      <w:pPr>
        <w:rPr>
          <w:rFonts w:ascii="Arial" w:hAnsi="Arial" w:cs="Arial"/>
          <w:sz w:val="22"/>
          <w:szCs w:val="22"/>
        </w:rPr>
      </w:pPr>
    </w:p>
    <w:p w:rsidR="001B0349" w:rsidRDefault="001B0349" w:rsidP="001B0349">
      <w:pPr>
        <w:rPr>
          <w:rFonts w:ascii="Arial" w:hAnsi="Arial" w:cs="Arial"/>
          <w:sz w:val="22"/>
          <w:szCs w:val="22"/>
        </w:rPr>
      </w:pPr>
      <w:r w:rsidRPr="00964EBF">
        <w:rPr>
          <w:rFonts w:ascii="Arial" w:hAnsi="Arial" w:cs="Arial"/>
          <w:sz w:val="22"/>
          <w:szCs w:val="22"/>
        </w:rPr>
        <w:t xml:space="preserve">The objective of the FSC is to use the influence of the </w:t>
      </w:r>
      <w:r w:rsidR="00CC7C8F">
        <w:rPr>
          <w:rFonts w:ascii="Arial" w:hAnsi="Arial" w:cs="Arial"/>
          <w:sz w:val="22"/>
          <w:szCs w:val="22"/>
        </w:rPr>
        <w:t>Government</w:t>
      </w:r>
      <w:r w:rsidRPr="00964EBF">
        <w:rPr>
          <w:rFonts w:ascii="Arial" w:hAnsi="Arial" w:cs="Arial"/>
          <w:sz w:val="22"/>
          <w:szCs w:val="22"/>
        </w:rPr>
        <w:t xml:space="preserve"> as a client and provider of capital to improve the safety culture of the building and construction industry. Only companies that are accredited under the Scheme can enter into head contracts for building work (above specified thresholds) funded (directly or indirectly) by the Government. </w:t>
      </w:r>
    </w:p>
    <w:p w:rsidR="001B0349" w:rsidRDefault="001B0349" w:rsidP="001B0349">
      <w:pPr>
        <w:rPr>
          <w:rFonts w:ascii="Arial" w:hAnsi="Arial" w:cs="Arial"/>
          <w:sz w:val="22"/>
          <w:szCs w:val="22"/>
        </w:rPr>
      </w:pPr>
    </w:p>
    <w:p w:rsidR="001B0349" w:rsidRDefault="001B0349" w:rsidP="001B0349">
      <w:pPr>
        <w:rPr>
          <w:rFonts w:ascii="Arial" w:hAnsi="Arial" w:cs="Arial"/>
          <w:sz w:val="22"/>
          <w:szCs w:val="22"/>
        </w:rPr>
      </w:pPr>
      <w:r w:rsidRPr="00964EBF">
        <w:rPr>
          <w:rFonts w:ascii="Arial" w:hAnsi="Arial" w:cs="Arial"/>
          <w:sz w:val="22"/>
          <w:szCs w:val="22"/>
        </w:rPr>
        <w:t xml:space="preserve">The FSC is not a regulator of the building industry – that role falls to the jurisdictional regulator set out in the relevant </w:t>
      </w:r>
      <w:r>
        <w:rPr>
          <w:rFonts w:ascii="Arial" w:hAnsi="Arial" w:cs="Arial"/>
          <w:sz w:val="22"/>
          <w:szCs w:val="22"/>
        </w:rPr>
        <w:t>Federal</w:t>
      </w:r>
      <w:r w:rsidRPr="00964EBF">
        <w:rPr>
          <w:rFonts w:ascii="Arial" w:hAnsi="Arial" w:cs="Arial"/>
          <w:sz w:val="22"/>
          <w:szCs w:val="22"/>
        </w:rPr>
        <w:t xml:space="preserve">, state and territory work health and safety </w:t>
      </w:r>
      <w:r>
        <w:rPr>
          <w:rFonts w:ascii="Arial" w:hAnsi="Arial" w:cs="Arial"/>
          <w:sz w:val="22"/>
          <w:szCs w:val="22"/>
        </w:rPr>
        <w:t xml:space="preserve">(WHS) </w:t>
      </w:r>
      <w:r w:rsidRPr="00964EBF">
        <w:rPr>
          <w:rFonts w:ascii="Arial" w:hAnsi="Arial" w:cs="Arial"/>
          <w:sz w:val="22"/>
          <w:szCs w:val="22"/>
        </w:rPr>
        <w:t xml:space="preserve">legislation. WHS regulators may issue penalties or stop work on building sites where specific breaches occur. The Scheme aims to complement the role of regulators by assessing and auditing how well builders systematically manage work health and safety (including risks and the cause of problems) to minimise the likelihood of incidents occurring. </w:t>
      </w:r>
    </w:p>
    <w:p w:rsidR="001B0349" w:rsidRDefault="001B0349" w:rsidP="001B0349">
      <w:pPr>
        <w:rPr>
          <w:rFonts w:ascii="Arial" w:hAnsi="Arial" w:cs="Arial"/>
          <w:sz w:val="22"/>
          <w:szCs w:val="22"/>
        </w:rPr>
      </w:pPr>
    </w:p>
    <w:p w:rsidR="001B0349" w:rsidRPr="001B0349" w:rsidRDefault="001B0349" w:rsidP="00A60F1C">
      <w:pPr>
        <w:pStyle w:val="Heading3"/>
      </w:pPr>
      <w:r w:rsidRPr="001B0349">
        <w:t>Scheme statistics</w:t>
      </w:r>
    </w:p>
    <w:p w:rsidR="001B0349" w:rsidRDefault="001B0349" w:rsidP="001B0349">
      <w:pPr>
        <w:rPr>
          <w:rFonts w:ascii="Arial" w:hAnsi="Arial" w:cs="Arial"/>
          <w:sz w:val="22"/>
          <w:szCs w:val="22"/>
        </w:rPr>
      </w:pPr>
    </w:p>
    <w:p w:rsidR="001B0349" w:rsidRPr="004B7D6E" w:rsidRDefault="001B0349" w:rsidP="001B0349">
      <w:pPr>
        <w:rPr>
          <w:rFonts w:ascii="Arial" w:hAnsi="Arial" w:cs="Arial"/>
          <w:sz w:val="22"/>
          <w:szCs w:val="22"/>
        </w:rPr>
      </w:pPr>
      <w:r w:rsidRPr="004B7D6E">
        <w:rPr>
          <w:rFonts w:ascii="Arial" w:hAnsi="Arial" w:cs="Arial"/>
          <w:sz w:val="22"/>
          <w:szCs w:val="22"/>
        </w:rPr>
        <w:t>In 2010-11, the Australian building and construction industry employed 1.03 million people, representing 9.1 per cent of the Australian workforce.</w:t>
      </w:r>
    </w:p>
    <w:p w:rsidR="001B0349" w:rsidRPr="004B7D6E" w:rsidRDefault="001B0349" w:rsidP="001B0349">
      <w:pPr>
        <w:rPr>
          <w:rFonts w:ascii="Arial" w:hAnsi="Arial" w:cs="Arial"/>
          <w:sz w:val="22"/>
          <w:szCs w:val="22"/>
        </w:rPr>
      </w:pPr>
    </w:p>
    <w:p w:rsidR="001B0349" w:rsidRPr="004B7D6E" w:rsidRDefault="001B0349" w:rsidP="001B0349">
      <w:pPr>
        <w:rPr>
          <w:rFonts w:ascii="Arial" w:hAnsi="Arial" w:cs="Arial"/>
          <w:sz w:val="22"/>
          <w:szCs w:val="22"/>
        </w:rPr>
      </w:pPr>
      <w:r w:rsidRPr="004B7D6E">
        <w:rPr>
          <w:rFonts w:ascii="Arial" w:hAnsi="Arial" w:cs="Arial"/>
          <w:sz w:val="22"/>
          <w:szCs w:val="22"/>
        </w:rPr>
        <w:t>In 2000-01—just prior to the Cole Royal Commission recommendation to establish the Scheme—the industry recorded a serious claims frequency rate (serious claims per million hours worked) of 15.1; the second worst of all industries. By 2009-10 this figure had dropped 36 per cent to 9.6, representing the third biggest decrease across all industries.</w:t>
      </w:r>
    </w:p>
    <w:p w:rsidR="001B0349" w:rsidRPr="004B7D6E" w:rsidRDefault="001B0349" w:rsidP="001B0349">
      <w:pPr>
        <w:rPr>
          <w:rFonts w:ascii="Arial" w:hAnsi="Arial" w:cs="Arial"/>
          <w:sz w:val="22"/>
          <w:szCs w:val="22"/>
        </w:rPr>
      </w:pPr>
    </w:p>
    <w:p w:rsidR="001B0349" w:rsidRPr="004B7D6E" w:rsidRDefault="001B0349" w:rsidP="001B0349">
      <w:pPr>
        <w:rPr>
          <w:rFonts w:ascii="Arial" w:hAnsi="Arial" w:cs="Arial"/>
          <w:sz w:val="22"/>
          <w:szCs w:val="22"/>
        </w:rPr>
      </w:pPr>
      <w:r w:rsidRPr="004B7D6E">
        <w:rPr>
          <w:rFonts w:ascii="Arial" w:hAnsi="Arial" w:cs="Arial"/>
          <w:sz w:val="22"/>
          <w:szCs w:val="22"/>
        </w:rPr>
        <w:t xml:space="preserve">The fatality rate for the building and construction industry in 2003 was 5.84 deaths per 100 000 workers; the fourth worst of all industries. By 2012 that figure had dropped 49 per cent to 3.0 deaths per 100 000 workers. While construction still remains the fourth worst industry (data from Safe Work Australia for the three year period 2009 to 2011 shows that deaths in the construction industry from work-related injuries occurred at nearly twice the national fatalities rate), this 49 per cent decrease in fatality rate was the sixth biggest decrease recorded across all industries. </w:t>
      </w:r>
    </w:p>
    <w:p w:rsidR="001B0349" w:rsidRPr="004B7D6E" w:rsidRDefault="001B0349" w:rsidP="001B0349">
      <w:pPr>
        <w:rPr>
          <w:rFonts w:ascii="Arial" w:hAnsi="Arial" w:cs="Arial"/>
          <w:sz w:val="22"/>
          <w:szCs w:val="22"/>
        </w:rPr>
      </w:pPr>
    </w:p>
    <w:p w:rsidR="001B0349" w:rsidRPr="004B7D6E" w:rsidRDefault="001B0349" w:rsidP="001B0349">
      <w:pPr>
        <w:rPr>
          <w:rFonts w:ascii="Arial" w:hAnsi="Arial" w:cs="Arial"/>
          <w:sz w:val="22"/>
          <w:szCs w:val="22"/>
        </w:rPr>
      </w:pPr>
      <w:r w:rsidRPr="004B7D6E">
        <w:rPr>
          <w:rFonts w:ascii="Arial" w:hAnsi="Arial" w:cs="Arial"/>
          <w:sz w:val="22"/>
          <w:szCs w:val="22"/>
        </w:rPr>
        <w:t xml:space="preserve">As at </w:t>
      </w:r>
      <w:r w:rsidR="00DE2EA3" w:rsidRPr="004B7D6E">
        <w:rPr>
          <w:rFonts w:ascii="Arial" w:hAnsi="Arial" w:cs="Arial"/>
          <w:sz w:val="22"/>
          <w:szCs w:val="22"/>
        </w:rPr>
        <w:t>15 May 2014</w:t>
      </w:r>
      <w:r w:rsidRPr="004B7D6E">
        <w:rPr>
          <w:rFonts w:ascii="Arial" w:hAnsi="Arial" w:cs="Arial"/>
          <w:sz w:val="22"/>
          <w:szCs w:val="22"/>
        </w:rPr>
        <w:t xml:space="preserve">, there were </w:t>
      </w:r>
      <w:r w:rsidR="00DE2EA3" w:rsidRPr="004B7D6E">
        <w:rPr>
          <w:rFonts w:ascii="Arial" w:hAnsi="Arial" w:cs="Arial"/>
          <w:sz w:val="22"/>
          <w:szCs w:val="22"/>
        </w:rPr>
        <w:t>321</w:t>
      </w:r>
      <w:r w:rsidRPr="004B7D6E">
        <w:rPr>
          <w:rFonts w:ascii="Arial" w:hAnsi="Arial" w:cs="Arial"/>
          <w:sz w:val="22"/>
          <w:szCs w:val="22"/>
        </w:rPr>
        <w:t xml:space="preserve"> accredited companies with another 11</w:t>
      </w:r>
      <w:r w:rsidR="00DE2EA3" w:rsidRPr="004B7D6E">
        <w:rPr>
          <w:rFonts w:ascii="Arial" w:hAnsi="Arial" w:cs="Arial"/>
          <w:sz w:val="22"/>
          <w:szCs w:val="22"/>
        </w:rPr>
        <w:t>8</w:t>
      </w:r>
      <w:r w:rsidRPr="004B7D6E">
        <w:rPr>
          <w:rFonts w:ascii="Arial" w:hAnsi="Arial" w:cs="Arial"/>
          <w:sz w:val="22"/>
          <w:szCs w:val="22"/>
        </w:rPr>
        <w:t xml:space="preserve"> applications </w:t>
      </w:r>
      <w:r w:rsidR="00F860A3" w:rsidRPr="004B7D6E">
        <w:rPr>
          <w:rFonts w:ascii="Arial" w:hAnsi="Arial" w:cs="Arial"/>
          <w:sz w:val="22"/>
          <w:szCs w:val="22"/>
        </w:rPr>
        <w:t xml:space="preserve">for initial accreditation </w:t>
      </w:r>
      <w:r w:rsidRPr="004B7D6E">
        <w:rPr>
          <w:rFonts w:ascii="Arial" w:hAnsi="Arial" w:cs="Arial"/>
          <w:sz w:val="22"/>
          <w:szCs w:val="22"/>
        </w:rPr>
        <w:t>under consideration</w:t>
      </w:r>
      <w:r w:rsidR="00F860A3" w:rsidRPr="004B7D6E">
        <w:rPr>
          <w:rFonts w:ascii="Arial" w:hAnsi="Arial" w:cs="Arial"/>
          <w:sz w:val="22"/>
          <w:szCs w:val="22"/>
        </w:rPr>
        <w:t xml:space="preserve">. </w:t>
      </w:r>
    </w:p>
    <w:p w:rsidR="001B0349" w:rsidRPr="004B7D6E" w:rsidRDefault="001B0349" w:rsidP="001B0349">
      <w:pPr>
        <w:rPr>
          <w:rFonts w:ascii="Arial" w:hAnsi="Arial" w:cs="Arial"/>
          <w:sz w:val="22"/>
          <w:szCs w:val="22"/>
        </w:rPr>
      </w:pPr>
    </w:p>
    <w:p w:rsidR="001B0349" w:rsidRPr="004B7D6E" w:rsidRDefault="001B0349" w:rsidP="001B0349">
      <w:pPr>
        <w:rPr>
          <w:rFonts w:ascii="Arial" w:hAnsi="Arial" w:cs="Arial"/>
          <w:sz w:val="22"/>
          <w:szCs w:val="22"/>
        </w:rPr>
      </w:pPr>
      <w:r w:rsidRPr="004B7D6E">
        <w:rPr>
          <w:rFonts w:ascii="Arial" w:hAnsi="Arial" w:cs="Arial"/>
          <w:sz w:val="22"/>
          <w:szCs w:val="22"/>
        </w:rPr>
        <w:t>While the ability to tender for Scheme projects is a key motivator in applying for accreditation (95 per cent of accredited survey respondents listed ‘being eligible to tender for Government work’ as something they were hoping to achieve through accreditation), 40 per cent of companies that have gained accreditation have not undertaken a Scheme project.</w:t>
      </w:r>
    </w:p>
    <w:p w:rsidR="001B0349" w:rsidRPr="004B7D6E" w:rsidRDefault="001B0349" w:rsidP="001B0349">
      <w:pPr>
        <w:rPr>
          <w:rFonts w:ascii="Arial" w:hAnsi="Arial" w:cs="Arial"/>
          <w:sz w:val="22"/>
          <w:szCs w:val="22"/>
        </w:rPr>
      </w:pPr>
    </w:p>
    <w:p w:rsidR="001B0349" w:rsidRPr="00541044" w:rsidRDefault="001B0349" w:rsidP="001B0349">
      <w:pPr>
        <w:rPr>
          <w:rFonts w:ascii="Arial" w:hAnsi="Arial" w:cs="Arial"/>
          <w:sz w:val="22"/>
          <w:szCs w:val="22"/>
          <w:highlight w:val="cyan"/>
        </w:rPr>
      </w:pPr>
      <w:r w:rsidRPr="00541044">
        <w:rPr>
          <w:rFonts w:ascii="Arial" w:hAnsi="Arial" w:cs="Arial"/>
          <w:sz w:val="22"/>
          <w:szCs w:val="22"/>
          <w:highlight w:val="cyan"/>
        </w:rPr>
        <w:br w:type="page"/>
      </w:r>
    </w:p>
    <w:p w:rsidR="001B0349" w:rsidRPr="005F69D4" w:rsidRDefault="001B0349" w:rsidP="001B0349">
      <w:pPr>
        <w:rPr>
          <w:rFonts w:ascii="Arial" w:hAnsi="Arial" w:cs="Arial"/>
          <w:sz w:val="22"/>
          <w:szCs w:val="22"/>
        </w:rPr>
      </w:pPr>
      <w:r w:rsidRPr="004B7D6E">
        <w:rPr>
          <w:rFonts w:ascii="Arial" w:hAnsi="Arial" w:cs="Arial"/>
          <w:sz w:val="22"/>
          <w:szCs w:val="22"/>
        </w:rPr>
        <w:t>It is estimated that more than 30 per cent of building and construction industry turnover may be undertaken by Scheme accredited companies. Since the inception of the Scheme, there have been more than 1000 Scheme projects worth almost $53 billion. Of these, 324 projects are currently active and there are a further 342 potential Scheme projects at the tender or concept stage worth an additional $49 billion.</w:t>
      </w:r>
    </w:p>
    <w:p w:rsidR="001B0349" w:rsidRPr="001A1425" w:rsidRDefault="001B0349" w:rsidP="001B0349">
      <w:pPr>
        <w:rPr>
          <w:rFonts w:ascii="Arial" w:hAnsi="Arial" w:cs="Arial"/>
          <w:sz w:val="22"/>
          <w:szCs w:val="22"/>
        </w:rPr>
      </w:pPr>
    </w:p>
    <w:p w:rsidR="001B0349" w:rsidRPr="001B0349" w:rsidRDefault="001B0349" w:rsidP="00A60F1C">
      <w:pPr>
        <w:pStyle w:val="Heading3"/>
      </w:pPr>
      <w:r w:rsidRPr="001B0349">
        <w:t>What is assessed?</w:t>
      </w:r>
    </w:p>
    <w:p w:rsidR="001B0349" w:rsidRPr="00E44B15" w:rsidRDefault="001B0349" w:rsidP="001B0349">
      <w:pPr>
        <w:rPr>
          <w:rFonts w:ascii="Arial" w:hAnsi="Arial" w:cs="Arial"/>
          <w:sz w:val="22"/>
          <w:szCs w:val="22"/>
        </w:rPr>
      </w:pPr>
    </w:p>
    <w:p w:rsidR="001B0349" w:rsidRPr="00E44B15" w:rsidRDefault="001B0349" w:rsidP="001C5176">
      <w:pPr>
        <w:rPr>
          <w:rFonts w:ascii="Arial" w:hAnsi="Arial" w:cs="Arial"/>
          <w:sz w:val="22"/>
          <w:szCs w:val="22"/>
        </w:rPr>
      </w:pPr>
      <w:r w:rsidRPr="00E44B15">
        <w:rPr>
          <w:rFonts w:ascii="Arial" w:hAnsi="Arial" w:cs="Arial"/>
          <w:sz w:val="22"/>
          <w:szCs w:val="22"/>
        </w:rPr>
        <w:t xml:space="preserve">The </w:t>
      </w:r>
      <w:r>
        <w:rPr>
          <w:rFonts w:ascii="Arial" w:hAnsi="Arial" w:cs="Arial"/>
          <w:sz w:val="22"/>
          <w:szCs w:val="22"/>
        </w:rPr>
        <w:t>a</w:t>
      </w:r>
      <w:r w:rsidRPr="00E44B15">
        <w:rPr>
          <w:rFonts w:ascii="Arial" w:hAnsi="Arial" w:cs="Arial"/>
          <w:sz w:val="22"/>
          <w:szCs w:val="22"/>
        </w:rPr>
        <w:t xml:space="preserve">ccreditation process evaluates both a company’s documented </w:t>
      </w:r>
      <w:r w:rsidR="00222474">
        <w:rPr>
          <w:rFonts w:ascii="Arial" w:hAnsi="Arial" w:cs="Arial"/>
          <w:sz w:val="22"/>
          <w:szCs w:val="22"/>
        </w:rPr>
        <w:t>W</w:t>
      </w:r>
      <w:r w:rsidRPr="00E44B15">
        <w:rPr>
          <w:rFonts w:ascii="Arial" w:hAnsi="Arial" w:cs="Arial"/>
          <w:sz w:val="22"/>
          <w:szCs w:val="22"/>
        </w:rPr>
        <w:t xml:space="preserve">HSMS </w:t>
      </w:r>
      <w:r w:rsidRPr="009C4A56">
        <w:rPr>
          <w:rFonts w:ascii="Arial" w:hAnsi="Arial" w:cs="Arial"/>
          <w:sz w:val="22"/>
          <w:szCs w:val="22"/>
        </w:rPr>
        <w:t>and</w:t>
      </w:r>
      <w:r w:rsidRPr="00E44B15">
        <w:rPr>
          <w:rFonts w:ascii="Arial" w:hAnsi="Arial" w:cs="Arial"/>
          <w:sz w:val="22"/>
          <w:szCs w:val="22"/>
        </w:rPr>
        <w:t xml:space="preserve"> its observed application on site. Assessment is against the </w:t>
      </w:r>
      <w:r w:rsidR="001C5176" w:rsidRPr="001C5176">
        <w:rPr>
          <w:rFonts w:ascii="Arial" w:hAnsi="Arial" w:cs="Arial"/>
          <w:sz w:val="22"/>
          <w:szCs w:val="22"/>
        </w:rPr>
        <w:t>criteria</w:t>
      </w:r>
      <w:r w:rsidRPr="001C5176">
        <w:rPr>
          <w:rFonts w:ascii="Arial" w:hAnsi="Arial" w:cs="Arial"/>
          <w:sz w:val="22"/>
          <w:szCs w:val="22"/>
        </w:rPr>
        <w:t xml:space="preserve"> </w:t>
      </w:r>
      <w:r w:rsidRPr="00E44B15">
        <w:rPr>
          <w:rFonts w:ascii="Arial" w:hAnsi="Arial" w:cs="Arial"/>
          <w:sz w:val="22"/>
          <w:szCs w:val="22"/>
        </w:rPr>
        <w:t xml:space="preserve">which are available at </w:t>
      </w:r>
      <w:r>
        <w:rPr>
          <w:rFonts w:ascii="Arial" w:hAnsi="Arial" w:cs="Arial"/>
          <w:sz w:val="22"/>
          <w:szCs w:val="22"/>
        </w:rPr>
        <w:t xml:space="preserve">the OFSC’s website, </w:t>
      </w:r>
      <w:r w:rsidR="001C5176" w:rsidRPr="00E44B15">
        <w:rPr>
          <w:rFonts w:ascii="Arial" w:hAnsi="Arial" w:cs="Arial"/>
          <w:color w:val="0000FF" w:themeColor="hyperlink"/>
          <w:sz w:val="22"/>
          <w:szCs w:val="22"/>
          <w:u w:val="single"/>
        </w:rPr>
        <w:t>www.fsc.gov.au</w:t>
      </w:r>
      <w:r w:rsidRPr="00E44B15">
        <w:rPr>
          <w:rFonts w:ascii="Arial" w:hAnsi="Arial" w:cs="Arial"/>
          <w:sz w:val="22"/>
          <w:szCs w:val="22"/>
        </w:rPr>
        <w:t xml:space="preserve"> </w:t>
      </w:r>
    </w:p>
    <w:p w:rsidR="001B0349" w:rsidRPr="00E44B15" w:rsidRDefault="001B0349" w:rsidP="001B0349">
      <w:pPr>
        <w:rPr>
          <w:rFonts w:ascii="Arial" w:hAnsi="Arial" w:cs="Arial"/>
          <w:sz w:val="22"/>
          <w:szCs w:val="22"/>
        </w:rPr>
      </w:pPr>
    </w:p>
    <w:p w:rsidR="001B0349" w:rsidRPr="00E44B15" w:rsidRDefault="001B0349" w:rsidP="001B0349">
      <w:pPr>
        <w:rPr>
          <w:rFonts w:ascii="Arial" w:hAnsi="Arial" w:cs="Arial"/>
          <w:sz w:val="22"/>
          <w:szCs w:val="22"/>
        </w:rPr>
      </w:pPr>
      <w:r w:rsidRPr="00E44B15">
        <w:rPr>
          <w:rFonts w:ascii="Arial" w:hAnsi="Arial" w:cs="Arial"/>
          <w:sz w:val="22"/>
          <w:szCs w:val="22"/>
        </w:rPr>
        <w:t>In addition to system-based and on-site risk-based criteria, the Scheme pays attention to six broader categories. On establishment of the Scheme, these were considered to be central to developing and improving the safety culture of companies and the industry:</w:t>
      </w:r>
    </w:p>
    <w:p w:rsidR="001B0349" w:rsidRPr="00E44B15" w:rsidRDefault="001B0349" w:rsidP="001B0349">
      <w:pPr>
        <w:rPr>
          <w:rFonts w:ascii="Arial" w:hAnsi="Arial" w:cs="Arial"/>
          <w:sz w:val="22"/>
          <w:szCs w:val="22"/>
        </w:rPr>
      </w:pP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Senior Management Commitment</w:t>
      </w: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Integration of Design Issues</w:t>
      </w: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Whole of Project Consultation</w:t>
      </w: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Management of Subcontractor WHS</w:t>
      </w: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Project Performance Measurement</w:t>
      </w:r>
    </w:p>
    <w:p w:rsidR="001B0349" w:rsidRPr="00E44B15" w:rsidRDefault="001B0349" w:rsidP="001B0349">
      <w:pPr>
        <w:numPr>
          <w:ilvl w:val="0"/>
          <w:numId w:val="3"/>
        </w:numPr>
        <w:rPr>
          <w:rFonts w:ascii="Arial" w:hAnsi="Arial" w:cs="Arial"/>
          <w:sz w:val="22"/>
          <w:szCs w:val="22"/>
        </w:rPr>
      </w:pPr>
      <w:r w:rsidRPr="00E44B15">
        <w:rPr>
          <w:rFonts w:ascii="Arial" w:hAnsi="Arial" w:cs="Arial"/>
          <w:sz w:val="22"/>
          <w:szCs w:val="22"/>
        </w:rPr>
        <w:t>Training Arrangements.</w:t>
      </w:r>
    </w:p>
    <w:p w:rsidR="001B0349" w:rsidRPr="00E44B15" w:rsidRDefault="001B0349" w:rsidP="001B0349">
      <w:pPr>
        <w:rPr>
          <w:rFonts w:ascii="Arial" w:hAnsi="Arial" w:cs="Arial"/>
          <w:sz w:val="22"/>
          <w:szCs w:val="22"/>
        </w:rPr>
      </w:pPr>
    </w:p>
    <w:p w:rsidR="001B0349" w:rsidRPr="001B0349" w:rsidRDefault="001B0349" w:rsidP="00A60F1C">
      <w:pPr>
        <w:pStyle w:val="Heading3"/>
      </w:pPr>
      <w:r w:rsidRPr="001B0349">
        <w:t>How is accreditation achieved and maintained?</w:t>
      </w:r>
    </w:p>
    <w:p w:rsidR="001B0349" w:rsidRDefault="001B0349" w:rsidP="001B0349">
      <w:pPr>
        <w:rPr>
          <w:rFonts w:ascii="Arial" w:hAnsi="Arial" w:cs="Arial"/>
          <w:sz w:val="22"/>
          <w:szCs w:val="22"/>
        </w:rPr>
      </w:pPr>
    </w:p>
    <w:p w:rsidR="001B0349" w:rsidRDefault="001B0349" w:rsidP="001B0349">
      <w:pPr>
        <w:rPr>
          <w:rFonts w:ascii="Arial" w:hAnsi="Arial" w:cs="Arial"/>
          <w:sz w:val="22"/>
          <w:szCs w:val="22"/>
        </w:rPr>
      </w:pPr>
    </w:p>
    <w:p w:rsidR="001B0349" w:rsidRDefault="001B0349" w:rsidP="001B0349">
      <w:pPr>
        <w:rPr>
          <w:rFonts w:ascii="Arial" w:hAnsi="Arial" w:cs="Arial"/>
          <w:sz w:val="22"/>
          <w:szCs w:val="22"/>
        </w:rPr>
      </w:pPr>
      <w:r>
        <w:rPr>
          <w:rFonts w:ascii="Arial" w:hAnsi="Arial" w:cs="Arial"/>
          <w:noProof/>
          <w:sz w:val="22"/>
          <w:szCs w:val="22"/>
        </w:rPr>
        <w:drawing>
          <wp:inline distT="0" distB="0" distL="0" distR="0" wp14:anchorId="23599A1D" wp14:editId="3F7A1D55">
            <wp:extent cx="5975985" cy="3941255"/>
            <wp:effectExtent l="0" t="0" r="5715" b="2540"/>
            <wp:docPr id="4" name="Picture 4" descr="Flow chart of the accreditation process showing application completed by company, application is received and audit organised, site audit by Federal Safety Officer and the accreditation signed off by the Federal Safety Commissioner. &#10;&#10;Within the companies three year accreditation:&#10;- they submit biannual reports at six month intervals &#10;- they submit project reports for each scheme project at six month intervals&#10;- ongoing audits occur as required throughout accreditation&#10;- Scheme project contract declarations are submitted as required&#10;- Incident reports are submitted as they occur&#10;- Reaccreditation reminders are sent to companies during the final year to ensure accreditation is mainta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R0482\AppData\Local\Microsoft\Windows\Temporary Internet Files\Content.Outlook\P11B970A\flowchart - basic (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75985" cy="3941255"/>
                    </a:xfrm>
                    <a:prstGeom prst="rect">
                      <a:avLst/>
                    </a:prstGeom>
                    <a:noFill/>
                    <a:ln>
                      <a:noFill/>
                    </a:ln>
                  </pic:spPr>
                </pic:pic>
              </a:graphicData>
            </a:graphic>
          </wp:inline>
        </w:drawing>
      </w:r>
    </w:p>
    <w:p w:rsidR="001B0349" w:rsidRPr="00E44B15" w:rsidRDefault="001B0349" w:rsidP="001B0349">
      <w:pPr>
        <w:rPr>
          <w:rFonts w:ascii="Arial" w:hAnsi="Arial" w:cs="Arial"/>
          <w:sz w:val="22"/>
          <w:szCs w:val="22"/>
        </w:rPr>
      </w:pPr>
    </w:p>
    <w:p w:rsidR="001B0349" w:rsidRPr="00E44B15" w:rsidRDefault="001B0349" w:rsidP="001B0349">
      <w:pPr>
        <w:rPr>
          <w:rFonts w:ascii="Arial" w:hAnsi="Arial" w:cs="Arial"/>
          <w:color w:val="92D050"/>
          <w:sz w:val="22"/>
          <w:szCs w:val="22"/>
        </w:rPr>
      </w:pPr>
      <w:r w:rsidRPr="00E44B15">
        <w:rPr>
          <w:rFonts w:ascii="Arial" w:hAnsi="Arial" w:cs="Arial"/>
          <w:sz w:val="22"/>
          <w:szCs w:val="22"/>
        </w:rPr>
        <w:t>Appli</w:t>
      </w:r>
      <w:r w:rsidR="000E1E83">
        <w:rPr>
          <w:rFonts w:ascii="Arial" w:hAnsi="Arial" w:cs="Arial"/>
          <w:sz w:val="22"/>
          <w:szCs w:val="22"/>
        </w:rPr>
        <w:t>cants are required to submit a ‘</w:t>
      </w:r>
      <w:r w:rsidRPr="00E44B15">
        <w:rPr>
          <w:rFonts w:ascii="Arial" w:hAnsi="Arial" w:cs="Arial"/>
          <w:sz w:val="22"/>
          <w:szCs w:val="22"/>
        </w:rPr>
        <w:t>gap analysis</w:t>
      </w:r>
      <w:r w:rsidR="000E1E83">
        <w:rPr>
          <w:rFonts w:ascii="Arial" w:hAnsi="Arial" w:cs="Arial"/>
          <w:sz w:val="22"/>
          <w:szCs w:val="22"/>
        </w:rPr>
        <w:t>’</w:t>
      </w:r>
      <w:r w:rsidRPr="00E44B15">
        <w:rPr>
          <w:rFonts w:ascii="Arial" w:hAnsi="Arial" w:cs="Arial"/>
          <w:sz w:val="22"/>
          <w:szCs w:val="22"/>
        </w:rPr>
        <w:t xml:space="preserve"> document to the O</w:t>
      </w:r>
      <w:r>
        <w:rPr>
          <w:rFonts w:ascii="Arial" w:hAnsi="Arial" w:cs="Arial"/>
          <w:sz w:val="22"/>
          <w:szCs w:val="22"/>
        </w:rPr>
        <w:t>FSC</w:t>
      </w:r>
      <w:r w:rsidRPr="00E44B15">
        <w:rPr>
          <w:rFonts w:ascii="Arial" w:hAnsi="Arial" w:cs="Arial"/>
          <w:sz w:val="22"/>
          <w:szCs w:val="22"/>
        </w:rPr>
        <w:t xml:space="preserve"> which is a self-assessment of where in their WHSMS they address the criteria to be evaluated during the accreditation process</w:t>
      </w:r>
      <w:r w:rsidRPr="00E44B15">
        <w:rPr>
          <w:rFonts w:ascii="Arial" w:hAnsi="Arial" w:cs="Arial"/>
          <w:sz w:val="22"/>
          <w:szCs w:val="22"/>
          <w:vertAlign w:val="superscript"/>
        </w:rPr>
        <w:footnoteReference w:id="10"/>
      </w:r>
      <w:r w:rsidRPr="00E44B15">
        <w:rPr>
          <w:rFonts w:ascii="Arial" w:hAnsi="Arial" w:cs="Arial"/>
          <w:sz w:val="22"/>
          <w:szCs w:val="22"/>
        </w:rPr>
        <w:t xml:space="preserve">. </w:t>
      </w:r>
    </w:p>
    <w:p w:rsidR="001B0349" w:rsidRPr="00E44B15" w:rsidRDefault="001B0349" w:rsidP="001B0349">
      <w:pPr>
        <w:rPr>
          <w:rFonts w:ascii="Arial" w:hAnsi="Arial" w:cs="Arial"/>
          <w:sz w:val="22"/>
          <w:szCs w:val="22"/>
        </w:rPr>
      </w:pPr>
    </w:p>
    <w:p w:rsidR="001B0349" w:rsidRPr="00E44B15" w:rsidRDefault="007656EE" w:rsidP="001B0349">
      <w:pPr>
        <w:rPr>
          <w:rFonts w:ascii="Arial" w:hAnsi="Arial" w:cs="Arial"/>
          <w:sz w:val="22"/>
          <w:szCs w:val="22"/>
        </w:rPr>
      </w:pPr>
      <w:r>
        <w:rPr>
          <w:rFonts w:ascii="Arial" w:hAnsi="Arial" w:cs="Arial"/>
          <w:sz w:val="22"/>
          <w:szCs w:val="22"/>
        </w:rPr>
        <w:t>A two-</w:t>
      </w:r>
      <w:r w:rsidR="001B0349" w:rsidRPr="00E44B15">
        <w:rPr>
          <w:rFonts w:ascii="Arial" w:hAnsi="Arial" w:cs="Arial"/>
          <w:sz w:val="22"/>
          <w:szCs w:val="22"/>
        </w:rPr>
        <w:t>day on-site audit is conducted by a</w:t>
      </w:r>
      <w:r w:rsidR="000E1E83">
        <w:rPr>
          <w:rFonts w:ascii="Arial" w:hAnsi="Arial" w:cs="Arial"/>
          <w:sz w:val="22"/>
          <w:szCs w:val="22"/>
        </w:rPr>
        <w:t xml:space="preserve">n </w:t>
      </w:r>
      <w:r w:rsidR="001B0349" w:rsidRPr="00E44B15">
        <w:rPr>
          <w:rFonts w:ascii="Arial" w:hAnsi="Arial" w:cs="Arial"/>
          <w:sz w:val="22"/>
          <w:szCs w:val="22"/>
        </w:rPr>
        <w:t>FSO at a mutually agreed date and site. FSOs assess the documentation identified in the gap analysis and its implementation on site. The FSO</w:t>
      </w:r>
      <w:r w:rsidR="000E1E83">
        <w:rPr>
          <w:rFonts w:ascii="Arial" w:hAnsi="Arial" w:cs="Arial"/>
          <w:sz w:val="22"/>
          <w:szCs w:val="22"/>
        </w:rPr>
        <w:t xml:space="preserve"> also examines two pre-agreed, ‘</w:t>
      </w:r>
      <w:r w:rsidR="001B0349" w:rsidRPr="00E44B15">
        <w:rPr>
          <w:rFonts w:ascii="Arial" w:hAnsi="Arial" w:cs="Arial"/>
          <w:sz w:val="22"/>
          <w:szCs w:val="22"/>
        </w:rPr>
        <w:t>high</w:t>
      </w:r>
      <w:r w:rsidR="00B164E4">
        <w:rPr>
          <w:rFonts w:ascii="Arial" w:hAnsi="Arial" w:cs="Arial"/>
          <w:sz w:val="22"/>
          <w:szCs w:val="22"/>
        </w:rPr>
        <w:t xml:space="preserve"> </w:t>
      </w:r>
      <w:r w:rsidR="001B0349" w:rsidRPr="00E44B15">
        <w:rPr>
          <w:rFonts w:ascii="Arial" w:hAnsi="Arial" w:cs="Arial"/>
          <w:sz w:val="22"/>
          <w:szCs w:val="22"/>
        </w:rPr>
        <w:t>risk hazards</w:t>
      </w:r>
      <w:r w:rsidR="000E1E83">
        <w:rPr>
          <w:rFonts w:ascii="Arial" w:hAnsi="Arial" w:cs="Arial"/>
          <w:sz w:val="22"/>
          <w:szCs w:val="22"/>
        </w:rPr>
        <w:t>’</w:t>
      </w:r>
      <w:r w:rsidR="001B0349" w:rsidRPr="00E44B15">
        <w:rPr>
          <w:rFonts w:ascii="Arial" w:hAnsi="Arial" w:cs="Arial"/>
          <w:sz w:val="22"/>
          <w:szCs w:val="22"/>
        </w:rPr>
        <w:t xml:space="preserve"> relevant to the work on site to evaluate how effectively the company has managed them. Most companies require one or two subsequent audits to close out any shortcomings identified. Feedback and audits continue until a company achieves accreditation. </w:t>
      </w:r>
    </w:p>
    <w:p w:rsidR="001B0349" w:rsidRPr="00E44B15" w:rsidRDefault="001B0349" w:rsidP="001B0349">
      <w:pPr>
        <w:rPr>
          <w:rFonts w:ascii="Arial" w:hAnsi="Arial" w:cs="Arial"/>
          <w:sz w:val="22"/>
          <w:szCs w:val="22"/>
        </w:rPr>
      </w:pPr>
    </w:p>
    <w:p w:rsidR="001B0349" w:rsidRPr="00E44B15" w:rsidRDefault="001B0349" w:rsidP="001B0349">
      <w:pPr>
        <w:rPr>
          <w:rFonts w:ascii="Arial" w:hAnsi="Arial" w:cs="Arial"/>
          <w:sz w:val="22"/>
          <w:szCs w:val="22"/>
        </w:rPr>
      </w:pPr>
      <w:r w:rsidRPr="00E44B15">
        <w:rPr>
          <w:rFonts w:ascii="Arial" w:hAnsi="Arial" w:cs="Arial"/>
          <w:sz w:val="22"/>
          <w:szCs w:val="22"/>
        </w:rPr>
        <w:t xml:space="preserve">A company is normally accredited for three years. During that time, maintenance </w:t>
      </w:r>
      <w:r>
        <w:rPr>
          <w:rFonts w:ascii="Arial" w:hAnsi="Arial" w:cs="Arial"/>
          <w:sz w:val="22"/>
          <w:szCs w:val="22"/>
        </w:rPr>
        <w:t>or monitoring au</w:t>
      </w:r>
      <w:r w:rsidRPr="00E44B15">
        <w:rPr>
          <w:rFonts w:ascii="Arial" w:hAnsi="Arial" w:cs="Arial"/>
          <w:sz w:val="22"/>
          <w:szCs w:val="22"/>
        </w:rPr>
        <w:t xml:space="preserve">dits are undertaken (on a mutually agreed date and site) to verify the company’s continued </w:t>
      </w:r>
      <w:r>
        <w:rPr>
          <w:rFonts w:ascii="Arial" w:hAnsi="Arial" w:cs="Arial"/>
          <w:sz w:val="22"/>
          <w:szCs w:val="22"/>
        </w:rPr>
        <w:t>adherence</w:t>
      </w:r>
      <w:r w:rsidRPr="00E44B15">
        <w:rPr>
          <w:rFonts w:ascii="Arial" w:hAnsi="Arial" w:cs="Arial"/>
          <w:sz w:val="22"/>
          <w:szCs w:val="22"/>
        </w:rPr>
        <w:t xml:space="preserve"> to Scheme requirements. At present, </w:t>
      </w:r>
      <w:r>
        <w:rPr>
          <w:rFonts w:ascii="Arial" w:hAnsi="Arial" w:cs="Arial"/>
          <w:sz w:val="22"/>
          <w:szCs w:val="22"/>
        </w:rPr>
        <w:t xml:space="preserve">monitoring audits are undertaken as resources permit. Most companies are currently subject to a single monitoring audit </w:t>
      </w:r>
      <w:r w:rsidRPr="00E44B15">
        <w:rPr>
          <w:rFonts w:ascii="Arial" w:hAnsi="Arial" w:cs="Arial"/>
          <w:sz w:val="22"/>
          <w:szCs w:val="22"/>
        </w:rPr>
        <w:t>during each three year accreditation period</w:t>
      </w:r>
      <w:r>
        <w:rPr>
          <w:rFonts w:ascii="Arial" w:hAnsi="Arial" w:cs="Arial"/>
          <w:sz w:val="22"/>
          <w:szCs w:val="22"/>
        </w:rPr>
        <w:t>, although in earlier years, all Scheme projects were subject to quarterly audits and all accredited companies were subjected to biannual or annual audits.</w:t>
      </w:r>
      <w:r w:rsidRPr="00E44B15">
        <w:rPr>
          <w:rFonts w:ascii="Arial" w:hAnsi="Arial" w:cs="Arial"/>
          <w:sz w:val="22"/>
          <w:szCs w:val="22"/>
        </w:rPr>
        <w:t xml:space="preserve"> </w:t>
      </w:r>
    </w:p>
    <w:p w:rsidR="001B0349" w:rsidRPr="00E44B15" w:rsidRDefault="001B0349" w:rsidP="001B0349">
      <w:pPr>
        <w:rPr>
          <w:rFonts w:ascii="Arial" w:hAnsi="Arial" w:cs="Arial"/>
          <w:sz w:val="22"/>
          <w:szCs w:val="22"/>
        </w:rPr>
      </w:pPr>
    </w:p>
    <w:p w:rsidR="001B0349" w:rsidRPr="00E44B15" w:rsidRDefault="001B0349" w:rsidP="001B0349">
      <w:pPr>
        <w:rPr>
          <w:rFonts w:ascii="Arial" w:hAnsi="Arial" w:cs="Arial"/>
          <w:sz w:val="22"/>
          <w:szCs w:val="22"/>
        </w:rPr>
      </w:pPr>
      <w:r w:rsidRPr="00E44B15">
        <w:rPr>
          <w:rFonts w:ascii="Arial" w:hAnsi="Arial" w:cs="Arial"/>
          <w:sz w:val="22"/>
          <w:szCs w:val="22"/>
        </w:rPr>
        <w:t>Additional audits are undertaken during accreditation periods for companies that have compliance action underway (for example, as a result of trends in areas of non-compliance, inability to satisfactorily address non-conformances etc</w:t>
      </w:r>
      <w:r w:rsidR="009C6201">
        <w:rPr>
          <w:rFonts w:ascii="Arial" w:hAnsi="Arial" w:cs="Arial"/>
          <w:sz w:val="22"/>
          <w:szCs w:val="22"/>
        </w:rPr>
        <w:t>.</w:t>
      </w:r>
      <w:r w:rsidRPr="00E44B15">
        <w:rPr>
          <w:rFonts w:ascii="Arial" w:hAnsi="Arial" w:cs="Arial"/>
          <w:sz w:val="22"/>
          <w:szCs w:val="22"/>
        </w:rPr>
        <w:t xml:space="preserve">). </w:t>
      </w:r>
    </w:p>
    <w:p w:rsidR="001B0349" w:rsidRPr="00E44B15" w:rsidRDefault="001B0349" w:rsidP="001B0349">
      <w:pPr>
        <w:rPr>
          <w:rFonts w:ascii="Arial" w:hAnsi="Arial" w:cs="Arial"/>
          <w:sz w:val="22"/>
          <w:szCs w:val="22"/>
        </w:rPr>
      </w:pPr>
    </w:p>
    <w:p w:rsidR="001B0349" w:rsidRPr="00E44B15" w:rsidRDefault="001B0349" w:rsidP="001B0349">
      <w:pPr>
        <w:rPr>
          <w:rFonts w:ascii="Arial" w:hAnsi="Arial" w:cs="Arial"/>
          <w:sz w:val="22"/>
          <w:szCs w:val="22"/>
        </w:rPr>
      </w:pPr>
      <w:r w:rsidRPr="00E44B15">
        <w:rPr>
          <w:rFonts w:ascii="Arial" w:hAnsi="Arial" w:cs="Arial"/>
          <w:sz w:val="22"/>
          <w:szCs w:val="22"/>
        </w:rPr>
        <w:t xml:space="preserve">Accredited companies have </w:t>
      </w:r>
      <w:r w:rsidR="009C6201">
        <w:rPr>
          <w:rFonts w:ascii="Arial" w:hAnsi="Arial" w:cs="Arial"/>
          <w:sz w:val="22"/>
          <w:szCs w:val="22"/>
        </w:rPr>
        <w:t>ongoing quarterly</w:t>
      </w:r>
      <w:r w:rsidRPr="00E44B15">
        <w:rPr>
          <w:rFonts w:ascii="Arial" w:hAnsi="Arial" w:cs="Arial"/>
          <w:sz w:val="22"/>
          <w:szCs w:val="22"/>
        </w:rPr>
        <w:t xml:space="preserve"> safety performance reporting obligations, and must provide other notifications of significant </w:t>
      </w:r>
      <w:r w:rsidR="009C6201">
        <w:rPr>
          <w:rFonts w:ascii="Arial" w:hAnsi="Arial" w:cs="Arial"/>
          <w:sz w:val="22"/>
          <w:szCs w:val="22"/>
        </w:rPr>
        <w:t>incidents as they occur (lost time and medically-treated injuries, fatalities and dangerous occurrences</w:t>
      </w:r>
      <w:r w:rsidRPr="00E44B15">
        <w:rPr>
          <w:rFonts w:ascii="Arial" w:hAnsi="Arial" w:cs="Arial"/>
          <w:sz w:val="22"/>
          <w:szCs w:val="22"/>
        </w:rPr>
        <w:t xml:space="preserve">. </w:t>
      </w:r>
    </w:p>
    <w:p w:rsidR="001B0349" w:rsidRPr="00E44B15" w:rsidRDefault="001B0349" w:rsidP="001B0349">
      <w:pPr>
        <w:rPr>
          <w:rFonts w:ascii="Arial" w:hAnsi="Arial" w:cs="Arial"/>
          <w:sz w:val="22"/>
          <w:szCs w:val="22"/>
        </w:rPr>
      </w:pPr>
    </w:p>
    <w:p w:rsidR="001B0349" w:rsidRDefault="001B0349" w:rsidP="001B0349">
      <w:pPr>
        <w:rPr>
          <w:rFonts w:ascii="Arial" w:hAnsi="Arial" w:cs="Arial"/>
          <w:sz w:val="22"/>
          <w:szCs w:val="22"/>
        </w:rPr>
      </w:pPr>
      <w:r w:rsidRPr="00E44B15">
        <w:rPr>
          <w:rFonts w:ascii="Arial" w:hAnsi="Arial" w:cs="Arial"/>
          <w:sz w:val="22"/>
          <w:szCs w:val="22"/>
        </w:rPr>
        <w:t xml:space="preserve">After three years, the </w:t>
      </w:r>
      <w:r w:rsidR="008F3909">
        <w:rPr>
          <w:rFonts w:ascii="Arial" w:hAnsi="Arial" w:cs="Arial"/>
          <w:sz w:val="22"/>
          <w:szCs w:val="22"/>
        </w:rPr>
        <w:t>reaccreditation</w:t>
      </w:r>
      <w:r w:rsidRPr="00E44B15">
        <w:rPr>
          <w:rFonts w:ascii="Arial" w:hAnsi="Arial" w:cs="Arial"/>
          <w:sz w:val="22"/>
          <w:szCs w:val="22"/>
        </w:rPr>
        <w:t xml:space="preserve"> process is largely identical to the initial accreditation process, with similar gap analysis paperwork, but with the possibility of a single day on-site audit for companies that have demonstrated a solid safety record during the period of their accreditation. </w:t>
      </w:r>
    </w:p>
    <w:p w:rsidR="001B0349" w:rsidRDefault="001B0349" w:rsidP="001B0349">
      <w:pPr>
        <w:rPr>
          <w:rFonts w:ascii="Arial" w:hAnsi="Arial" w:cs="Arial"/>
          <w:sz w:val="22"/>
          <w:szCs w:val="22"/>
        </w:rPr>
      </w:pPr>
    </w:p>
    <w:p w:rsidR="001B0349" w:rsidRDefault="001B0349" w:rsidP="001B0349">
      <w:pPr>
        <w:rPr>
          <w:rFonts w:ascii="Arial" w:hAnsi="Arial" w:cs="Arial"/>
          <w:sz w:val="22"/>
          <w:szCs w:val="22"/>
        </w:rPr>
      </w:pPr>
      <w:r w:rsidRPr="00376DE1">
        <w:rPr>
          <w:rFonts w:ascii="Arial" w:hAnsi="Arial" w:cs="Arial"/>
          <w:sz w:val="22"/>
          <w:szCs w:val="22"/>
        </w:rPr>
        <w:t xml:space="preserve">Some stakeholders emphasise that red tape impacts need to be balanced against the major productivity benefits to be gained by further improving safety performance across the industry. </w:t>
      </w:r>
      <w:r>
        <w:rPr>
          <w:rFonts w:ascii="Arial" w:hAnsi="Arial" w:cs="Arial"/>
          <w:sz w:val="22"/>
          <w:szCs w:val="22"/>
        </w:rPr>
        <w:t>The b</w:t>
      </w:r>
      <w:r w:rsidRPr="00024016">
        <w:rPr>
          <w:rFonts w:ascii="Arial" w:hAnsi="Arial" w:cs="Arial"/>
          <w:sz w:val="22"/>
          <w:szCs w:val="22"/>
        </w:rPr>
        <w:t xml:space="preserve">enefits </w:t>
      </w:r>
      <w:r>
        <w:rPr>
          <w:rFonts w:ascii="Arial" w:hAnsi="Arial" w:cs="Arial"/>
          <w:sz w:val="22"/>
          <w:szCs w:val="22"/>
        </w:rPr>
        <w:t>to becoming accredited can incl</w:t>
      </w:r>
      <w:r w:rsidRPr="00024016">
        <w:rPr>
          <w:rFonts w:ascii="Arial" w:hAnsi="Arial" w:cs="Arial"/>
          <w:sz w:val="22"/>
          <w:szCs w:val="22"/>
        </w:rPr>
        <w:t>ude the ability to tender for</w:t>
      </w:r>
      <w:r w:rsidR="000E1E83">
        <w:rPr>
          <w:rFonts w:ascii="Arial" w:hAnsi="Arial" w:cs="Arial"/>
          <w:sz w:val="22"/>
          <w:szCs w:val="22"/>
        </w:rPr>
        <w:t xml:space="preserve"> </w:t>
      </w:r>
      <w:r w:rsidR="00D15D83">
        <w:rPr>
          <w:rFonts w:ascii="Arial" w:hAnsi="Arial" w:cs="Arial"/>
          <w:sz w:val="22"/>
          <w:szCs w:val="22"/>
        </w:rPr>
        <w:t xml:space="preserve">Commonwealth </w:t>
      </w:r>
      <w:r w:rsidR="000E1E83">
        <w:rPr>
          <w:rFonts w:ascii="Arial" w:hAnsi="Arial" w:cs="Arial"/>
          <w:sz w:val="22"/>
          <w:szCs w:val="22"/>
        </w:rPr>
        <w:t>Government</w:t>
      </w:r>
      <w:r w:rsidRPr="00024016">
        <w:rPr>
          <w:rFonts w:ascii="Arial" w:hAnsi="Arial" w:cs="Arial"/>
          <w:sz w:val="22"/>
          <w:szCs w:val="22"/>
        </w:rPr>
        <w:t xml:space="preserve"> </w:t>
      </w:r>
      <w:r w:rsidR="00D15D83">
        <w:rPr>
          <w:rFonts w:ascii="Arial" w:hAnsi="Arial" w:cs="Arial"/>
          <w:sz w:val="22"/>
          <w:szCs w:val="22"/>
        </w:rPr>
        <w:t xml:space="preserve">funded </w:t>
      </w:r>
      <w:r w:rsidRPr="00024016">
        <w:rPr>
          <w:rFonts w:ascii="Arial" w:hAnsi="Arial" w:cs="Arial"/>
          <w:sz w:val="22"/>
          <w:szCs w:val="22"/>
        </w:rPr>
        <w:t>work, improved WHS outcomes and systems, industry recognition</w:t>
      </w:r>
      <w:r>
        <w:rPr>
          <w:rFonts w:ascii="Arial" w:hAnsi="Arial" w:cs="Arial"/>
          <w:sz w:val="22"/>
          <w:szCs w:val="22"/>
        </w:rPr>
        <w:t xml:space="preserve"> and </w:t>
      </w:r>
      <w:r w:rsidRPr="00024016">
        <w:rPr>
          <w:rFonts w:ascii="Arial" w:hAnsi="Arial" w:cs="Arial"/>
          <w:sz w:val="22"/>
          <w:szCs w:val="22"/>
        </w:rPr>
        <w:t xml:space="preserve">improved business productivity. </w:t>
      </w:r>
      <w:r>
        <w:rPr>
          <w:rFonts w:ascii="Arial" w:hAnsi="Arial" w:cs="Arial"/>
          <w:sz w:val="22"/>
          <w:szCs w:val="22"/>
        </w:rPr>
        <w:t xml:space="preserve">These benefits have been supported by a number of studies, some of which are described below. </w:t>
      </w:r>
    </w:p>
    <w:p w:rsidR="001B0349" w:rsidRDefault="001B0349" w:rsidP="001B0349">
      <w:pPr>
        <w:rPr>
          <w:rFonts w:ascii="Arial" w:hAnsi="Arial" w:cs="Arial"/>
          <w:sz w:val="22"/>
          <w:szCs w:val="22"/>
        </w:rPr>
      </w:pPr>
    </w:p>
    <w:p w:rsidR="001B0349" w:rsidRPr="006C3BDC" w:rsidRDefault="001B0349" w:rsidP="003005B9">
      <w:pPr>
        <w:pStyle w:val="Heading2"/>
      </w:pPr>
      <w:bookmarkStart w:id="62" w:name="_Toc390429540"/>
      <w:r w:rsidRPr="006C3BDC">
        <w:t xml:space="preserve">Links Between </w:t>
      </w:r>
      <w:r>
        <w:t xml:space="preserve">Workforce Health and Safety and </w:t>
      </w:r>
      <w:r w:rsidRPr="006C3BDC">
        <w:t>Productivity:</w:t>
      </w:r>
      <w:r w:rsidR="004D2E88">
        <w:t xml:space="preserve"> </w:t>
      </w:r>
      <w:r>
        <w:t>Broader Research</w:t>
      </w:r>
      <w:bookmarkEnd w:id="62"/>
    </w:p>
    <w:p w:rsidR="001B0349" w:rsidRPr="00E1442C" w:rsidRDefault="001B0349" w:rsidP="001B0349">
      <w:pPr>
        <w:rPr>
          <w:rFonts w:ascii="Arial" w:hAnsi="Arial" w:cs="Arial"/>
          <w:sz w:val="22"/>
          <w:szCs w:val="22"/>
          <w:u w:val="single"/>
        </w:rPr>
      </w:pPr>
    </w:p>
    <w:p w:rsidR="001B0349" w:rsidRDefault="001B0349" w:rsidP="001B0349">
      <w:pPr>
        <w:rPr>
          <w:rFonts w:ascii="Arial" w:hAnsi="Arial" w:cs="Arial"/>
          <w:sz w:val="22"/>
          <w:szCs w:val="22"/>
        </w:rPr>
      </w:pPr>
      <w:r>
        <w:rPr>
          <w:rFonts w:ascii="Arial" w:hAnsi="Arial" w:cs="Arial"/>
          <w:sz w:val="22"/>
          <w:szCs w:val="22"/>
        </w:rPr>
        <w:t>A</w:t>
      </w:r>
      <w:r w:rsidRPr="00E1442C">
        <w:rPr>
          <w:rFonts w:ascii="Arial" w:hAnsi="Arial" w:cs="Arial"/>
          <w:sz w:val="22"/>
          <w:szCs w:val="22"/>
        </w:rPr>
        <w:t xml:space="preserve">cademic research </w:t>
      </w:r>
      <w:r>
        <w:rPr>
          <w:rFonts w:ascii="Arial" w:hAnsi="Arial" w:cs="Arial"/>
          <w:sz w:val="22"/>
          <w:szCs w:val="22"/>
        </w:rPr>
        <w:t>suggests there are</w:t>
      </w:r>
      <w:r w:rsidRPr="00E1442C">
        <w:rPr>
          <w:rFonts w:ascii="Arial" w:hAnsi="Arial" w:cs="Arial"/>
          <w:sz w:val="22"/>
          <w:szCs w:val="22"/>
        </w:rPr>
        <w:t xml:space="preserve"> links between a well-developed work health and safety system (WHS) and increased productivity for companies. Some of the key studies are summarised below. </w:t>
      </w:r>
    </w:p>
    <w:p w:rsidR="001B0349" w:rsidRPr="00E1442C" w:rsidRDefault="001B0349" w:rsidP="001B0349">
      <w:pPr>
        <w:rPr>
          <w:rFonts w:ascii="Arial" w:hAnsi="Arial" w:cs="Arial"/>
          <w:sz w:val="22"/>
          <w:szCs w:val="22"/>
        </w:rPr>
      </w:pPr>
    </w:p>
    <w:p w:rsidR="001B0349" w:rsidRDefault="001B0349" w:rsidP="001B0349">
      <w:pPr>
        <w:rPr>
          <w:rFonts w:ascii="Arial" w:hAnsi="Arial" w:cs="Arial"/>
          <w:sz w:val="22"/>
          <w:szCs w:val="22"/>
        </w:rPr>
      </w:pPr>
      <w:r w:rsidRPr="00E1442C">
        <w:rPr>
          <w:rFonts w:ascii="Arial" w:hAnsi="Arial" w:cs="Arial"/>
          <w:sz w:val="22"/>
          <w:szCs w:val="22"/>
        </w:rPr>
        <w:t xml:space="preserve">The New Zealand Department of Labour commissioned a literature review in 2007 to address the question </w:t>
      </w:r>
    </w:p>
    <w:p w:rsidR="001B0349" w:rsidRPr="009E78D4" w:rsidRDefault="001B0349" w:rsidP="001B0349">
      <w:pPr>
        <w:ind w:left="567"/>
        <w:rPr>
          <w:rFonts w:ascii="Arial" w:hAnsi="Arial" w:cs="Arial"/>
          <w:i/>
          <w:sz w:val="22"/>
          <w:szCs w:val="22"/>
        </w:rPr>
      </w:pPr>
      <w:r w:rsidRPr="009E78D4">
        <w:rPr>
          <w:rFonts w:ascii="Arial" w:hAnsi="Arial" w:cs="Arial"/>
          <w:i/>
          <w:sz w:val="22"/>
          <w:szCs w:val="22"/>
        </w:rPr>
        <w:t>“If businesses invest in health and safety, how does this contribute to their performance and productivity?”</w:t>
      </w:r>
      <w:r w:rsidRPr="009E78D4">
        <w:rPr>
          <w:rFonts w:ascii="Arial" w:hAnsi="Arial" w:cs="Arial"/>
          <w:i/>
          <w:sz w:val="22"/>
          <w:szCs w:val="22"/>
          <w:vertAlign w:val="superscript"/>
        </w:rPr>
        <w:footnoteReference w:id="11"/>
      </w:r>
      <w:r w:rsidRPr="009E78D4">
        <w:rPr>
          <w:rFonts w:ascii="Arial" w:hAnsi="Arial" w:cs="Arial"/>
          <w:i/>
          <w:sz w:val="22"/>
          <w:szCs w:val="22"/>
        </w:rPr>
        <w:t xml:space="preserve"> </w:t>
      </w:r>
    </w:p>
    <w:p w:rsidR="008525D8" w:rsidRDefault="008525D8">
      <w:pPr>
        <w:rPr>
          <w:rFonts w:ascii="Arial" w:hAnsi="Arial" w:cs="Arial"/>
          <w:sz w:val="22"/>
          <w:szCs w:val="22"/>
        </w:rPr>
      </w:pPr>
      <w:r>
        <w:rPr>
          <w:rFonts w:ascii="Arial" w:hAnsi="Arial" w:cs="Arial"/>
          <w:sz w:val="22"/>
          <w:szCs w:val="22"/>
        </w:rPr>
        <w:br w:type="page"/>
      </w:r>
    </w:p>
    <w:p w:rsidR="001B0349" w:rsidRPr="00E1442C" w:rsidRDefault="001B0349" w:rsidP="001B0349">
      <w:pPr>
        <w:rPr>
          <w:rFonts w:ascii="Arial" w:hAnsi="Arial" w:cs="Arial"/>
          <w:sz w:val="22"/>
          <w:szCs w:val="22"/>
        </w:rPr>
      </w:pPr>
      <w:r w:rsidRPr="00E1442C">
        <w:rPr>
          <w:rFonts w:ascii="Arial" w:hAnsi="Arial" w:cs="Arial"/>
          <w:sz w:val="22"/>
          <w:szCs w:val="22"/>
        </w:rPr>
        <w:t>The study reviewed available international literature on the topic of the productivity benefits of WHS and found compelling evidence of links between well-developed WHS programmes and:</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fewer injuries that stop people working</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increased innovation</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improved quality</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enhanced corporate reputation</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lower costs to compensate workers</w:t>
      </w:r>
    </w:p>
    <w:p w:rsidR="001B0349" w:rsidRPr="00E1442C" w:rsidRDefault="001B0349" w:rsidP="008C1B31">
      <w:pPr>
        <w:numPr>
          <w:ilvl w:val="0"/>
          <w:numId w:val="8"/>
        </w:numPr>
        <w:rPr>
          <w:rFonts w:ascii="Arial" w:hAnsi="Arial" w:cs="Arial"/>
          <w:sz w:val="22"/>
          <w:szCs w:val="22"/>
        </w:rPr>
      </w:pPr>
      <w:r w:rsidRPr="00E1442C">
        <w:rPr>
          <w:rFonts w:ascii="Arial" w:hAnsi="Arial" w:cs="Arial"/>
          <w:sz w:val="22"/>
          <w:szCs w:val="22"/>
        </w:rPr>
        <w:t>improved staff recruitment and retention.</w:t>
      </w:r>
      <w:r w:rsidRPr="00E1442C">
        <w:rPr>
          <w:rFonts w:ascii="Arial" w:hAnsi="Arial" w:cs="Arial"/>
          <w:sz w:val="22"/>
          <w:szCs w:val="22"/>
          <w:vertAlign w:val="superscript"/>
        </w:rPr>
        <w:footnoteReference w:id="12"/>
      </w:r>
    </w:p>
    <w:p w:rsidR="001B0349" w:rsidRDefault="001B0349" w:rsidP="001B0349">
      <w:pPr>
        <w:rPr>
          <w:rFonts w:ascii="Arial" w:hAnsi="Arial" w:cs="Arial"/>
          <w:sz w:val="22"/>
          <w:szCs w:val="22"/>
        </w:rPr>
      </w:pPr>
    </w:p>
    <w:p w:rsidR="001B0349" w:rsidRPr="00E1442C" w:rsidRDefault="001B0349" w:rsidP="001B0349">
      <w:pPr>
        <w:rPr>
          <w:rFonts w:ascii="Arial" w:hAnsi="Arial" w:cs="Arial"/>
          <w:sz w:val="22"/>
          <w:szCs w:val="22"/>
        </w:rPr>
      </w:pPr>
      <w:r>
        <w:rPr>
          <w:rFonts w:ascii="Arial" w:hAnsi="Arial" w:cs="Arial"/>
          <w:sz w:val="22"/>
          <w:szCs w:val="22"/>
        </w:rPr>
        <w:t>A</w:t>
      </w:r>
      <w:r w:rsidRPr="00E1442C">
        <w:rPr>
          <w:rFonts w:ascii="Arial" w:hAnsi="Arial" w:cs="Arial"/>
          <w:sz w:val="22"/>
          <w:szCs w:val="22"/>
        </w:rPr>
        <w:t xml:space="preserve">fter considering examples of programmes across various industries, </w:t>
      </w:r>
      <w:r>
        <w:rPr>
          <w:rFonts w:ascii="Arial" w:hAnsi="Arial" w:cs="Arial"/>
          <w:sz w:val="22"/>
          <w:szCs w:val="22"/>
        </w:rPr>
        <w:t>t</w:t>
      </w:r>
      <w:r w:rsidRPr="00E1442C">
        <w:rPr>
          <w:rFonts w:ascii="Arial" w:hAnsi="Arial" w:cs="Arial"/>
          <w:sz w:val="22"/>
          <w:szCs w:val="22"/>
        </w:rPr>
        <w:t>he study suggested that that health and safety prevention and intervention programmes create a “virtuous circle” by:</w:t>
      </w:r>
    </w:p>
    <w:p w:rsidR="001B0349" w:rsidRPr="00E1442C" w:rsidRDefault="001B0349" w:rsidP="008C1B31">
      <w:pPr>
        <w:numPr>
          <w:ilvl w:val="0"/>
          <w:numId w:val="7"/>
        </w:numPr>
        <w:rPr>
          <w:rFonts w:ascii="Arial" w:hAnsi="Arial" w:cs="Arial"/>
          <w:sz w:val="22"/>
          <w:szCs w:val="22"/>
        </w:rPr>
      </w:pPr>
      <w:r w:rsidRPr="00E1442C">
        <w:rPr>
          <w:rFonts w:ascii="Arial" w:hAnsi="Arial" w:cs="Arial"/>
          <w:sz w:val="22"/>
          <w:szCs w:val="22"/>
        </w:rPr>
        <w:t>improving the physical and psychological well-being of the workforce, which</w:t>
      </w:r>
    </w:p>
    <w:p w:rsidR="001B0349" w:rsidRPr="00E1442C" w:rsidRDefault="001B0349" w:rsidP="008C1B31">
      <w:pPr>
        <w:numPr>
          <w:ilvl w:val="0"/>
          <w:numId w:val="7"/>
        </w:numPr>
        <w:rPr>
          <w:rFonts w:ascii="Arial" w:hAnsi="Arial" w:cs="Arial"/>
          <w:sz w:val="22"/>
          <w:szCs w:val="22"/>
        </w:rPr>
      </w:pPr>
      <w:r w:rsidRPr="00E1442C">
        <w:rPr>
          <w:rFonts w:ascii="Arial" w:hAnsi="Arial" w:cs="Arial"/>
          <w:sz w:val="22"/>
          <w:szCs w:val="22"/>
        </w:rPr>
        <w:t>reduces absenteeism, improves the organisational climate, and enhances employees</w:t>
      </w:r>
      <w:r>
        <w:rPr>
          <w:rFonts w:ascii="Arial" w:hAnsi="Arial" w:cs="Arial"/>
          <w:sz w:val="22"/>
          <w:szCs w:val="22"/>
        </w:rPr>
        <w:t>’</w:t>
      </w:r>
      <w:r w:rsidRPr="00E1442C">
        <w:rPr>
          <w:rFonts w:ascii="Arial" w:hAnsi="Arial" w:cs="Arial"/>
          <w:sz w:val="22"/>
          <w:szCs w:val="22"/>
        </w:rPr>
        <w:t xml:space="preserve"> desire to work, which</w:t>
      </w:r>
    </w:p>
    <w:p w:rsidR="001B0349" w:rsidRPr="00E1442C" w:rsidRDefault="001B0349" w:rsidP="008C1B31">
      <w:pPr>
        <w:numPr>
          <w:ilvl w:val="0"/>
          <w:numId w:val="7"/>
        </w:numPr>
        <w:rPr>
          <w:rFonts w:ascii="Arial" w:hAnsi="Arial" w:cs="Arial"/>
          <w:sz w:val="22"/>
          <w:szCs w:val="22"/>
        </w:rPr>
      </w:pPr>
      <w:r w:rsidRPr="00E1442C">
        <w:rPr>
          <w:rFonts w:ascii="Arial" w:hAnsi="Arial" w:cs="Arial"/>
          <w:sz w:val="22"/>
          <w:szCs w:val="22"/>
        </w:rPr>
        <w:t xml:space="preserve">directly raises human performance, which leads to higher profits. </w:t>
      </w:r>
      <w:r w:rsidRPr="00E1442C">
        <w:rPr>
          <w:rFonts w:ascii="Arial" w:hAnsi="Arial" w:cs="Arial"/>
          <w:sz w:val="22"/>
          <w:szCs w:val="22"/>
          <w:vertAlign w:val="superscript"/>
        </w:rPr>
        <w:footnoteReference w:id="13"/>
      </w:r>
    </w:p>
    <w:p w:rsidR="001B0349" w:rsidRDefault="001B0349" w:rsidP="001B0349">
      <w:pPr>
        <w:rPr>
          <w:rFonts w:ascii="Arial" w:hAnsi="Arial" w:cs="Arial"/>
          <w:sz w:val="22"/>
          <w:szCs w:val="22"/>
        </w:rPr>
      </w:pPr>
    </w:p>
    <w:p w:rsidR="001B0349" w:rsidRPr="00E1442C" w:rsidRDefault="001B0349" w:rsidP="001B0349">
      <w:pPr>
        <w:rPr>
          <w:rFonts w:ascii="Arial" w:hAnsi="Arial" w:cs="Arial"/>
          <w:sz w:val="22"/>
          <w:szCs w:val="22"/>
        </w:rPr>
      </w:pPr>
      <w:r w:rsidRPr="00E1442C">
        <w:rPr>
          <w:rFonts w:ascii="Arial" w:hAnsi="Arial" w:cs="Arial"/>
          <w:sz w:val="22"/>
          <w:szCs w:val="22"/>
        </w:rPr>
        <w:t>A more comprehensive study was completed by Braunig and Koshtall and detailed in a 2012 report published by the International Social Security Association. The report summarised the findings of a survey of 300 companies in 16 countries and used prevention accounting (similar to a cost-benefit analysis) to establish that the average potential return on prevention for companies investing in WHS was $2.20 for every $1 spent.</w:t>
      </w:r>
      <w:r w:rsidRPr="00E1442C">
        <w:rPr>
          <w:rFonts w:ascii="Arial" w:hAnsi="Arial" w:cs="Arial"/>
          <w:sz w:val="22"/>
          <w:szCs w:val="22"/>
          <w:vertAlign w:val="superscript"/>
        </w:rPr>
        <w:footnoteReference w:id="14"/>
      </w:r>
      <w:r w:rsidRPr="00E1442C">
        <w:rPr>
          <w:rFonts w:ascii="Arial" w:hAnsi="Arial" w:cs="Arial"/>
          <w:sz w:val="22"/>
          <w:szCs w:val="22"/>
        </w:rPr>
        <w:t xml:space="preserve"> It was also found that 75% of companies agreed that additional investment in WHS will lead to company costs remaining the same or decreasing over the long term.</w:t>
      </w:r>
      <w:r w:rsidRPr="00E1442C">
        <w:rPr>
          <w:rFonts w:ascii="Arial" w:hAnsi="Arial" w:cs="Arial"/>
          <w:sz w:val="22"/>
          <w:szCs w:val="22"/>
          <w:vertAlign w:val="superscript"/>
        </w:rPr>
        <w:footnoteReference w:id="15"/>
      </w:r>
      <w:r w:rsidRPr="00E1442C">
        <w:rPr>
          <w:rFonts w:ascii="Arial" w:hAnsi="Arial" w:cs="Arial"/>
          <w:sz w:val="22"/>
          <w:szCs w:val="22"/>
        </w:rPr>
        <w:t xml:space="preserve"> The report concluded that “the results of this project show that expenditure on occupational safety and health is an investment that pays off in micro-economic terms and can benefit the company itself.”</w:t>
      </w:r>
      <w:r w:rsidRPr="00E1442C">
        <w:rPr>
          <w:rFonts w:ascii="Arial" w:hAnsi="Arial" w:cs="Arial"/>
          <w:sz w:val="22"/>
          <w:szCs w:val="22"/>
          <w:vertAlign w:val="superscript"/>
        </w:rPr>
        <w:footnoteReference w:id="16"/>
      </w:r>
    </w:p>
    <w:p w:rsidR="001B0349" w:rsidRDefault="001B0349" w:rsidP="001B0349">
      <w:pPr>
        <w:rPr>
          <w:rFonts w:ascii="Arial" w:hAnsi="Arial" w:cs="Arial"/>
          <w:sz w:val="22"/>
          <w:szCs w:val="22"/>
        </w:rPr>
      </w:pPr>
    </w:p>
    <w:p w:rsidR="001B0349" w:rsidRPr="00E1442C" w:rsidRDefault="001B0349" w:rsidP="001B0349">
      <w:pPr>
        <w:rPr>
          <w:rFonts w:ascii="Arial" w:hAnsi="Arial" w:cs="Arial"/>
          <w:sz w:val="22"/>
          <w:szCs w:val="22"/>
        </w:rPr>
      </w:pPr>
      <w:r w:rsidRPr="00E1442C">
        <w:rPr>
          <w:rFonts w:ascii="Arial" w:hAnsi="Arial" w:cs="Arial"/>
          <w:sz w:val="22"/>
          <w:szCs w:val="22"/>
        </w:rPr>
        <w:t xml:space="preserve">Another link between WHS and economic benefits was tested by a 2013 study published in the </w:t>
      </w:r>
      <w:r w:rsidRPr="00E1442C">
        <w:rPr>
          <w:rFonts w:ascii="Arial" w:hAnsi="Arial" w:cs="Arial"/>
          <w:i/>
          <w:sz w:val="22"/>
          <w:szCs w:val="22"/>
        </w:rPr>
        <w:t>Journal of Occupational and Environmental Medicine</w:t>
      </w:r>
      <w:r w:rsidRPr="00E1442C">
        <w:rPr>
          <w:rFonts w:ascii="Arial" w:hAnsi="Arial" w:cs="Arial"/>
          <w:sz w:val="22"/>
          <w:szCs w:val="22"/>
        </w:rPr>
        <w:t>. A team set out to “test the hypothesis that comprehensive efforts to reduce a workforce’s health and safety risks can be associated with a company’s stock market performance”.</w:t>
      </w:r>
      <w:r w:rsidRPr="00E1442C">
        <w:rPr>
          <w:rFonts w:ascii="Arial" w:hAnsi="Arial" w:cs="Arial"/>
          <w:sz w:val="22"/>
          <w:szCs w:val="22"/>
          <w:vertAlign w:val="superscript"/>
        </w:rPr>
        <w:footnoteReference w:id="17"/>
      </w:r>
      <w:r w:rsidRPr="00E1442C">
        <w:rPr>
          <w:rFonts w:ascii="Arial" w:hAnsi="Arial" w:cs="Arial"/>
          <w:sz w:val="22"/>
          <w:szCs w:val="22"/>
        </w:rPr>
        <w:t xml:space="preserve"> The study tracked the stock performance of publicly traded recipients of the American College of Occupational Medicine’s Corporate Health Achievement Award. All four hypothetical investment portfolios created in the study outperformed the Standard and Poor’s 500 (S&amp;P 500) average significantly, leading the authors to conclude that “focusing on the health and safety of a workforce is good business”.</w:t>
      </w:r>
      <w:r w:rsidRPr="00E1442C">
        <w:rPr>
          <w:rFonts w:ascii="Arial" w:hAnsi="Arial" w:cs="Arial"/>
          <w:sz w:val="22"/>
          <w:szCs w:val="22"/>
          <w:vertAlign w:val="superscript"/>
        </w:rPr>
        <w:footnoteReference w:id="18"/>
      </w:r>
      <w:r w:rsidRPr="00E1442C">
        <w:rPr>
          <w:rFonts w:ascii="Arial" w:hAnsi="Arial" w:cs="Arial"/>
          <w:sz w:val="22"/>
          <w:szCs w:val="22"/>
        </w:rPr>
        <w:t xml:space="preserve"> The authors acknowledge that correlation is not the same as causation, however at the very least this study shows that investing in WHS is something which financially successful and productive companies tend to do, and arguably plays some part in the edge they have over the rest of the market. </w:t>
      </w:r>
    </w:p>
    <w:p w:rsidR="001B0349" w:rsidRDefault="001B0349" w:rsidP="001B0349">
      <w:pPr>
        <w:rPr>
          <w:rFonts w:ascii="Arial" w:hAnsi="Arial" w:cs="Arial"/>
          <w:sz w:val="22"/>
          <w:szCs w:val="22"/>
        </w:rPr>
      </w:pPr>
    </w:p>
    <w:p w:rsidR="001B0349" w:rsidRPr="00E1442C" w:rsidRDefault="001B0349" w:rsidP="001B0349">
      <w:pPr>
        <w:rPr>
          <w:rFonts w:ascii="Arial" w:hAnsi="Arial" w:cs="Arial"/>
          <w:sz w:val="22"/>
          <w:szCs w:val="22"/>
        </w:rPr>
      </w:pPr>
      <w:r w:rsidRPr="00E1442C">
        <w:rPr>
          <w:rFonts w:ascii="Arial" w:hAnsi="Arial" w:cs="Arial"/>
          <w:sz w:val="22"/>
          <w:szCs w:val="22"/>
        </w:rPr>
        <w:t>Finally, there have been a number of studies into the actual dollar return on investment from WHS prevention programmes. While this is arguably the most compelling measure of the productivity value of WHS investment, it is the most difficult to capture as it is challenging to isolate both the costs and the savings which flow from investment in a WHS system.</w:t>
      </w:r>
    </w:p>
    <w:p w:rsidR="001B0349" w:rsidRPr="00E1442C" w:rsidRDefault="001B0349" w:rsidP="001B0349">
      <w:pPr>
        <w:rPr>
          <w:rFonts w:ascii="Arial" w:hAnsi="Arial" w:cs="Arial"/>
          <w:sz w:val="22"/>
          <w:szCs w:val="22"/>
        </w:rPr>
      </w:pPr>
      <w:r w:rsidRPr="00E1442C">
        <w:rPr>
          <w:rFonts w:ascii="Arial" w:hAnsi="Arial" w:cs="Arial"/>
          <w:sz w:val="22"/>
          <w:szCs w:val="22"/>
        </w:rPr>
        <w:t xml:space="preserve">One study from 2009 into financial decision makers’ (CFOs and their equivalents) views on safety, published in the </w:t>
      </w:r>
      <w:r w:rsidRPr="00E1442C">
        <w:rPr>
          <w:rFonts w:ascii="Arial" w:hAnsi="Arial" w:cs="Arial"/>
          <w:i/>
          <w:sz w:val="22"/>
          <w:szCs w:val="22"/>
        </w:rPr>
        <w:t xml:space="preserve">Journal of Professional Safety, </w:t>
      </w:r>
      <w:r w:rsidRPr="00E1442C">
        <w:rPr>
          <w:rFonts w:ascii="Arial" w:hAnsi="Arial" w:cs="Arial"/>
          <w:sz w:val="22"/>
          <w:szCs w:val="22"/>
        </w:rPr>
        <w:t>found that the surveyed decision makers perceived that for every dollar spent improving workplace safety about $4.41 would be returned.</w:t>
      </w:r>
      <w:r w:rsidRPr="00E1442C">
        <w:rPr>
          <w:rFonts w:ascii="Arial" w:hAnsi="Arial" w:cs="Arial"/>
          <w:sz w:val="22"/>
          <w:szCs w:val="22"/>
          <w:vertAlign w:val="superscript"/>
        </w:rPr>
        <w:footnoteReference w:id="19"/>
      </w:r>
      <w:r w:rsidRPr="00E1442C">
        <w:rPr>
          <w:rFonts w:ascii="Arial" w:hAnsi="Arial" w:cs="Arial"/>
          <w:sz w:val="22"/>
          <w:szCs w:val="22"/>
        </w:rPr>
        <w:t xml:space="preserve"> Surveyed decision makers also believed that the top benefits of an effective </w:t>
      </w:r>
      <w:r>
        <w:rPr>
          <w:rFonts w:ascii="Arial" w:hAnsi="Arial" w:cs="Arial"/>
          <w:sz w:val="22"/>
          <w:szCs w:val="22"/>
        </w:rPr>
        <w:t>w</w:t>
      </w:r>
      <w:r w:rsidRPr="00E1442C">
        <w:rPr>
          <w:rFonts w:ascii="Arial" w:hAnsi="Arial" w:cs="Arial"/>
          <w:sz w:val="22"/>
          <w:szCs w:val="22"/>
        </w:rPr>
        <w:t>orkplace safety program</w:t>
      </w:r>
      <w:r w:rsidR="002F2530">
        <w:rPr>
          <w:rFonts w:ascii="Arial" w:hAnsi="Arial" w:cs="Arial"/>
          <w:sz w:val="22"/>
          <w:szCs w:val="22"/>
        </w:rPr>
        <w:t>me</w:t>
      </w:r>
      <w:r w:rsidRPr="00E1442C">
        <w:rPr>
          <w:rFonts w:ascii="Arial" w:hAnsi="Arial" w:cs="Arial"/>
          <w:sz w:val="22"/>
          <w:szCs w:val="22"/>
        </w:rPr>
        <w:t xml:space="preserve"> were 1) increased productivity, 2) reduced costs and 3) greater retention of employees. </w:t>
      </w:r>
      <w:r w:rsidRPr="00E1442C">
        <w:rPr>
          <w:rFonts w:ascii="Arial" w:hAnsi="Arial" w:cs="Arial"/>
          <w:sz w:val="22"/>
          <w:szCs w:val="22"/>
          <w:vertAlign w:val="superscript"/>
        </w:rPr>
        <w:footnoteReference w:id="20"/>
      </w:r>
    </w:p>
    <w:p w:rsidR="001B0349" w:rsidRPr="00E44B15" w:rsidRDefault="001B0349" w:rsidP="001B0349">
      <w:pPr>
        <w:rPr>
          <w:rFonts w:ascii="Arial" w:hAnsi="Arial" w:cs="Arial"/>
          <w:sz w:val="22"/>
          <w:szCs w:val="22"/>
        </w:rPr>
      </w:pPr>
    </w:p>
    <w:p w:rsidR="00BB35A6" w:rsidRDefault="00BB35A6">
      <w:pPr>
        <w:rPr>
          <w:rFonts w:ascii="Arial" w:hAnsi="Arial" w:cs="Arial"/>
          <w:sz w:val="22"/>
          <w:szCs w:val="22"/>
        </w:rPr>
        <w:sectPr w:rsidR="00BB35A6" w:rsidSect="0044203F">
          <w:headerReference w:type="default" r:id="rId23"/>
          <w:pgSz w:w="11906" w:h="16838" w:code="9"/>
          <w:pgMar w:top="1418" w:right="1134" w:bottom="1418" w:left="1418" w:header="567" w:footer="567" w:gutter="0"/>
          <w:cols w:space="708"/>
          <w:docGrid w:linePitch="360"/>
        </w:sectPr>
      </w:pPr>
    </w:p>
    <w:p w:rsidR="0097751C" w:rsidRPr="00F860A3" w:rsidRDefault="0097751C" w:rsidP="00F32CB5">
      <w:pPr>
        <w:pStyle w:val="Heading2"/>
      </w:pPr>
      <w:bookmarkStart w:id="63" w:name="_Toc390429541"/>
      <w:r w:rsidRPr="00F860A3">
        <w:t>Safe Work Method Statements</w:t>
      </w:r>
      <w:bookmarkEnd w:id="63"/>
      <w:r w:rsidRPr="00F860A3">
        <w:t xml:space="preserve"> </w:t>
      </w:r>
    </w:p>
    <w:p w:rsidR="0097751C" w:rsidRPr="0097751C" w:rsidRDefault="0097751C" w:rsidP="0097751C">
      <w:pPr>
        <w:rPr>
          <w:rFonts w:ascii="Arial" w:hAnsi="Arial" w:cs="Arial"/>
          <w:sz w:val="22"/>
          <w:szCs w:val="22"/>
        </w:rPr>
      </w:pPr>
    </w:p>
    <w:p w:rsidR="0097751C" w:rsidRPr="0097751C" w:rsidRDefault="00F860A3" w:rsidP="0097751C">
      <w:pPr>
        <w:rPr>
          <w:rFonts w:ascii="Arial" w:hAnsi="Arial" w:cs="Arial"/>
          <w:sz w:val="22"/>
          <w:szCs w:val="22"/>
        </w:rPr>
      </w:pPr>
      <w:r>
        <w:rPr>
          <w:rFonts w:ascii="Arial" w:hAnsi="Arial" w:cs="Arial"/>
          <w:sz w:val="22"/>
          <w:szCs w:val="22"/>
        </w:rPr>
        <w:t>Safe Work Method Statements (</w:t>
      </w:r>
      <w:r w:rsidR="0097751C" w:rsidRPr="0097751C">
        <w:rPr>
          <w:rFonts w:ascii="Arial" w:hAnsi="Arial" w:cs="Arial"/>
          <w:sz w:val="22"/>
          <w:szCs w:val="22"/>
        </w:rPr>
        <w:t>SWMS</w:t>
      </w:r>
      <w:r>
        <w:rPr>
          <w:rFonts w:ascii="Arial" w:hAnsi="Arial" w:cs="Arial"/>
          <w:sz w:val="22"/>
          <w:szCs w:val="22"/>
        </w:rPr>
        <w:t>)</w:t>
      </w:r>
      <w:r w:rsidR="0097751C" w:rsidRPr="0097751C">
        <w:rPr>
          <w:rFonts w:ascii="Arial" w:hAnsi="Arial" w:cs="Arial"/>
          <w:sz w:val="22"/>
          <w:szCs w:val="22"/>
        </w:rPr>
        <w:t xml:space="preserve"> are a requirement of the jurisdictional WHS legislation. State and territory regulators introduced SWMS to entrench the requirement for a documented description of how work is to be done safely, formalise hazard identification and risk assessment processes within a systematic approach to managing and controlling health and safety in the workplace. </w:t>
      </w:r>
    </w:p>
    <w:p w:rsidR="0097751C" w:rsidRPr="0097751C" w:rsidRDefault="0097751C" w:rsidP="0097751C">
      <w:pPr>
        <w:rPr>
          <w:rFonts w:ascii="Arial" w:hAnsi="Arial" w:cs="Arial"/>
          <w:sz w:val="22"/>
          <w:szCs w:val="22"/>
        </w:rPr>
      </w:pPr>
    </w:p>
    <w:p w:rsidR="0097751C" w:rsidRPr="0097751C" w:rsidRDefault="0097751C" w:rsidP="0097751C">
      <w:pPr>
        <w:rPr>
          <w:rFonts w:ascii="Arial" w:hAnsi="Arial" w:cs="Arial"/>
          <w:sz w:val="22"/>
          <w:szCs w:val="22"/>
        </w:rPr>
      </w:pPr>
      <w:r w:rsidRPr="0097751C">
        <w:rPr>
          <w:rFonts w:ascii="Arial" w:hAnsi="Arial" w:cs="Arial"/>
          <w:sz w:val="22"/>
          <w:szCs w:val="22"/>
        </w:rPr>
        <w:t>In the early days of the Scheme there was a significant push by the OFSC to improve the quality of SWMS offered up at audit. However, this approach has changed in the last couple of years following consultation with industry and FSOs.</w:t>
      </w:r>
      <w:r w:rsidR="004D2E88">
        <w:rPr>
          <w:rFonts w:ascii="Arial" w:hAnsi="Arial" w:cs="Arial"/>
          <w:sz w:val="22"/>
          <w:szCs w:val="22"/>
        </w:rPr>
        <w:t xml:space="preserve"> </w:t>
      </w:r>
      <w:r w:rsidRPr="0097751C">
        <w:rPr>
          <w:rFonts w:ascii="Arial" w:hAnsi="Arial" w:cs="Arial"/>
          <w:sz w:val="22"/>
          <w:szCs w:val="22"/>
        </w:rPr>
        <w:t xml:space="preserve"> </w:t>
      </w:r>
    </w:p>
    <w:p w:rsidR="0097751C" w:rsidRPr="0097751C" w:rsidRDefault="0097751C" w:rsidP="0097751C">
      <w:pPr>
        <w:rPr>
          <w:rFonts w:ascii="Arial" w:hAnsi="Arial" w:cs="Arial"/>
          <w:sz w:val="22"/>
          <w:szCs w:val="22"/>
        </w:rPr>
      </w:pPr>
    </w:p>
    <w:p w:rsidR="0097751C" w:rsidRPr="0097751C" w:rsidRDefault="0097751C" w:rsidP="0097751C">
      <w:pPr>
        <w:rPr>
          <w:rFonts w:ascii="Arial" w:hAnsi="Arial" w:cs="Arial"/>
          <w:sz w:val="22"/>
          <w:szCs w:val="22"/>
        </w:rPr>
      </w:pPr>
      <w:r w:rsidRPr="0097751C">
        <w:rPr>
          <w:rFonts w:ascii="Arial" w:hAnsi="Arial" w:cs="Arial"/>
          <w:sz w:val="22"/>
          <w:szCs w:val="22"/>
        </w:rPr>
        <w:t>The Scheme generally does not prescribe through which documents companies should address safety system criteria, although adherence to local legislation is required. So long as the criteria are met, the documentation of systems should be of maximum utility and relevance to the company’s individual circumstances. Accordingly, FSOs review SWMS where they are presented by a company as evidence of documentation against Scheme criteria. FSOs do not dictate content but rather ensure that a SWMS reflects the work activity being undertaken and that the controls are being implemented. FSOs are directed to consider alternative methods (that is, other than SWMS) presented by companies that deliver the outcomes of a risk assessment process.</w:t>
      </w:r>
    </w:p>
    <w:p w:rsidR="0097751C" w:rsidRPr="0097751C" w:rsidRDefault="0097751C" w:rsidP="0097751C">
      <w:pPr>
        <w:rPr>
          <w:rFonts w:ascii="Arial" w:hAnsi="Arial" w:cs="Arial"/>
          <w:sz w:val="22"/>
          <w:szCs w:val="22"/>
        </w:rPr>
      </w:pPr>
    </w:p>
    <w:p w:rsidR="0097751C" w:rsidRPr="0097751C" w:rsidRDefault="0097751C" w:rsidP="0097751C">
      <w:pPr>
        <w:rPr>
          <w:rFonts w:ascii="Arial" w:hAnsi="Arial" w:cs="Arial"/>
          <w:sz w:val="22"/>
          <w:szCs w:val="22"/>
        </w:rPr>
      </w:pPr>
      <w:r w:rsidRPr="0097751C">
        <w:rPr>
          <w:rFonts w:ascii="Arial" w:hAnsi="Arial" w:cs="Arial"/>
          <w:sz w:val="22"/>
          <w:szCs w:val="22"/>
        </w:rPr>
        <w:t>A small number of Scheme criteria directly reference SWMS and they require local laws to be met, and focus on ensuring the involvement of workers, management, and subcontractors in key safety systems. Specifically, the criteria require:</w:t>
      </w:r>
    </w:p>
    <w:p w:rsidR="0097751C" w:rsidRPr="0097751C" w:rsidRDefault="0097751C" w:rsidP="0097751C">
      <w:pPr>
        <w:rPr>
          <w:rFonts w:ascii="Arial" w:hAnsi="Arial" w:cs="Arial"/>
          <w:sz w:val="22"/>
          <w:szCs w:val="22"/>
        </w:rPr>
      </w:pPr>
    </w:p>
    <w:p w:rsidR="0097751C" w:rsidRPr="0097751C" w:rsidRDefault="0097751C" w:rsidP="0097751C">
      <w:pPr>
        <w:numPr>
          <w:ilvl w:val="0"/>
          <w:numId w:val="2"/>
        </w:numPr>
        <w:rPr>
          <w:rFonts w:ascii="Arial" w:hAnsi="Arial" w:cs="Arial"/>
          <w:sz w:val="22"/>
          <w:szCs w:val="22"/>
        </w:rPr>
      </w:pPr>
      <w:r w:rsidRPr="0097751C">
        <w:rPr>
          <w:rFonts w:ascii="Arial" w:hAnsi="Arial" w:cs="Arial"/>
          <w:sz w:val="22"/>
          <w:szCs w:val="22"/>
        </w:rPr>
        <w:t xml:space="preserve">subcontractor involvement in the development of SWMS </w:t>
      </w:r>
    </w:p>
    <w:p w:rsidR="0097751C" w:rsidRPr="0097751C" w:rsidRDefault="0097751C" w:rsidP="0097751C">
      <w:pPr>
        <w:numPr>
          <w:ilvl w:val="0"/>
          <w:numId w:val="2"/>
        </w:numPr>
        <w:rPr>
          <w:rFonts w:ascii="Arial" w:hAnsi="Arial" w:cs="Arial"/>
          <w:sz w:val="22"/>
          <w:szCs w:val="22"/>
        </w:rPr>
      </w:pPr>
      <w:r w:rsidRPr="0097751C">
        <w:rPr>
          <w:rFonts w:ascii="Arial" w:hAnsi="Arial" w:cs="Arial"/>
          <w:sz w:val="22"/>
          <w:szCs w:val="22"/>
        </w:rPr>
        <w:t xml:space="preserve">control measures within SWMS reflect any relevant requirements of WHS acts, regulations, codes of practice and Australian Standards </w:t>
      </w:r>
    </w:p>
    <w:p w:rsidR="0097751C" w:rsidRPr="0097751C" w:rsidRDefault="0097751C" w:rsidP="0097751C">
      <w:pPr>
        <w:numPr>
          <w:ilvl w:val="0"/>
          <w:numId w:val="2"/>
        </w:numPr>
        <w:rPr>
          <w:rFonts w:ascii="Arial" w:hAnsi="Arial" w:cs="Arial"/>
          <w:sz w:val="22"/>
          <w:szCs w:val="22"/>
        </w:rPr>
      </w:pPr>
      <w:r w:rsidRPr="0097751C">
        <w:rPr>
          <w:rFonts w:ascii="Arial" w:hAnsi="Arial" w:cs="Arial"/>
          <w:sz w:val="22"/>
          <w:szCs w:val="22"/>
        </w:rPr>
        <w:t xml:space="preserve">SWMS have been reviewed and accepted by the principal contractor prior to work </w:t>
      </w:r>
    </w:p>
    <w:p w:rsidR="0097751C" w:rsidRPr="0097751C" w:rsidRDefault="0097751C" w:rsidP="0097751C">
      <w:pPr>
        <w:numPr>
          <w:ilvl w:val="0"/>
          <w:numId w:val="2"/>
        </w:numPr>
        <w:rPr>
          <w:rFonts w:ascii="Arial" w:hAnsi="Arial" w:cs="Arial"/>
          <w:sz w:val="22"/>
          <w:szCs w:val="22"/>
        </w:rPr>
      </w:pPr>
      <w:r w:rsidRPr="0097751C">
        <w:rPr>
          <w:rFonts w:ascii="Arial" w:hAnsi="Arial" w:cs="Arial"/>
          <w:sz w:val="22"/>
          <w:szCs w:val="22"/>
        </w:rPr>
        <w:t>workers are familiar with SWMS relevant to the work activities they are undertaking, and</w:t>
      </w:r>
    </w:p>
    <w:p w:rsidR="0097751C" w:rsidRPr="0097751C" w:rsidRDefault="0097751C" w:rsidP="0097751C">
      <w:pPr>
        <w:numPr>
          <w:ilvl w:val="0"/>
          <w:numId w:val="2"/>
        </w:numPr>
        <w:rPr>
          <w:rFonts w:ascii="Arial" w:hAnsi="Arial" w:cs="Arial"/>
          <w:sz w:val="22"/>
          <w:szCs w:val="22"/>
        </w:rPr>
      </w:pPr>
      <w:r w:rsidRPr="0097751C">
        <w:rPr>
          <w:rFonts w:ascii="Arial" w:hAnsi="Arial" w:cs="Arial"/>
          <w:sz w:val="22"/>
          <w:szCs w:val="22"/>
        </w:rPr>
        <w:t xml:space="preserve">assessment and control of risks as identified for high risk construction activity. </w:t>
      </w:r>
    </w:p>
    <w:p w:rsidR="0097751C" w:rsidRPr="0097751C" w:rsidRDefault="0097751C" w:rsidP="0097751C">
      <w:pPr>
        <w:rPr>
          <w:rFonts w:ascii="Arial" w:hAnsi="Arial" w:cs="Arial"/>
          <w:sz w:val="22"/>
          <w:szCs w:val="22"/>
        </w:rPr>
      </w:pPr>
    </w:p>
    <w:p w:rsidR="00BB35A6" w:rsidRDefault="0097751C">
      <w:pPr>
        <w:rPr>
          <w:rFonts w:ascii="Arial" w:hAnsi="Arial" w:cs="Arial"/>
          <w:sz w:val="22"/>
          <w:szCs w:val="22"/>
        </w:rPr>
        <w:sectPr w:rsidR="00BB35A6" w:rsidSect="0044203F">
          <w:headerReference w:type="default" r:id="rId24"/>
          <w:pgSz w:w="11906" w:h="16838" w:code="9"/>
          <w:pgMar w:top="1418" w:right="1134" w:bottom="1418" w:left="1418" w:header="567" w:footer="567" w:gutter="0"/>
          <w:cols w:space="708"/>
          <w:docGrid w:linePitch="360"/>
        </w:sectPr>
      </w:pPr>
      <w:r>
        <w:rPr>
          <w:rFonts w:ascii="Arial" w:hAnsi="Arial" w:cs="Arial"/>
          <w:sz w:val="22"/>
          <w:szCs w:val="22"/>
        </w:rPr>
        <w:br w:type="page"/>
      </w:r>
    </w:p>
    <w:p w:rsidR="000D73C1" w:rsidRPr="001B0349" w:rsidRDefault="004832D8" w:rsidP="00F32CB5">
      <w:pPr>
        <w:pStyle w:val="Heading2"/>
      </w:pPr>
      <w:bookmarkStart w:id="64" w:name="_Toc390429542"/>
      <w:r w:rsidRPr="001B0349">
        <w:t>Federal Safety Officer</w:t>
      </w:r>
      <w:r w:rsidR="000D73C1" w:rsidRPr="001B0349">
        <w:t>s</w:t>
      </w:r>
      <w:bookmarkEnd w:id="64"/>
      <w:r w:rsidRPr="001B0349">
        <w:t xml:space="preserve"> </w:t>
      </w:r>
    </w:p>
    <w:p w:rsidR="000D73C1" w:rsidRPr="001B0349" w:rsidRDefault="000D73C1" w:rsidP="001B0349">
      <w:pPr>
        <w:rPr>
          <w:rFonts w:ascii="Arial" w:hAnsi="Arial" w:cs="Arial"/>
          <w:b/>
          <w:sz w:val="20"/>
          <w:szCs w:val="20"/>
        </w:rPr>
      </w:pPr>
    </w:p>
    <w:p w:rsidR="004832D8" w:rsidRPr="001B0349" w:rsidRDefault="000D73C1" w:rsidP="00A60F1C">
      <w:pPr>
        <w:pStyle w:val="Heading3"/>
      </w:pPr>
      <w:r w:rsidRPr="001B0349">
        <w:t>A</w:t>
      </w:r>
      <w:r w:rsidR="004832D8" w:rsidRPr="001B0349">
        <w:t>ppointment process</w:t>
      </w:r>
      <w:r w:rsidR="00BB35A6">
        <w:tab/>
      </w:r>
    </w:p>
    <w:p w:rsidR="004832D8" w:rsidRPr="001B0349" w:rsidRDefault="004832D8" w:rsidP="001B0349">
      <w:pPr>
        <w:rPr>
          <w:rFonts w:ascii="Arial" w:hAnsi="Arial" w:cs="Arial"/>
          <w:sz w:val="22"/>
          <w:szCs w:val="22"/>
        </w:rPr>
      </w:pPr>
    </w:p>
    <w:p w:rsidR="004832D8" w:rsidRPr="001B0349" w:rsidRDefault="004832D8" w:rsidP="001B0349">
      <w:pPr>
        <w:rPr>
          <w:rFonts w:ascii="Arial" w:hAnsi="Arial" w:cs="Arial"/>
          <w:sz w:val="22"/>
          <w:szCs w:val="22"/>
        </w:rPr>
      </w:pPr>
      <w:r w:rsidRPr="001B0349">
        <w:rPr>
          <w:rFonts w:ascii="Arial" w:hAnsi="Arial" w:cs="Arial"/>
          <w:sz w:val="22"/>
          <w:szCs w:val="22"/>
        </w:rPr>
        <w:t>Federal Safety Officers (FSOs) are selected through competitive open tender processes (conducted every four to five years) with successful service providers engaged under a Deed of Standing Offer (the Deed) and specified personnel appointed as FSOs. FSOs are required to hold or demonstrate:</w:t>
      </w:r>
    </w:p>
    <w:p w:rsidR="004832D8" w:rsidRPr="001B0349" w:rsidRDefault="004832D8" w:rsidP="001B0349">
      <w:pPr>
        <w:rPr>
          <w:rFonts w:ascii="Arial" w:hAnsi="Arial" w:cs="Arial"/>
          <w:sz w:val="22"/>
          <w:szCs w:val="22"/>
        </w:rPr>
      </w:pP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Current WHS lead or principal auditor, or equivalent, certification to:</w:t>
      </w:r>
    </w:p>
    <w:p w:rsidR="004832D8" w:rsidRPr="001B0349" w:rsidRDefault="004832D8" w:rsidP="001B0349">
      <w:pPr>
        <w:numPr>
          <w:ilvl w:val="1"/>
          <w:numId w:val="2"/>
        </w:numPr>
        <w:rPr>
          <w:rFonts w:ascii="Arial" w:hAnsi="Arial" w:cs="Arial"/>
          <w:sz w:val="22"/>
          <w:szCs w:val="22"/>
        </w:rPr>
      </w:pPr>
      <w:r w:rsidRPr="001B0349">
        <w:rPr>
          <w:rFonts w:ascii="Arial" w:hAnsi="Arial" w:cs="Arial"/>
          <w:sz w:val="22"/>
          <w:szCs w:val="22"/>
        </w:rPr>
        <w:t>RABQSA International</w:t>
      </w:r>
      <w:r w:rsidR="00C72F82">
        <w:rPr>
          <w:rStyle w:val="FootnoteReference"/>
          <w:rFonts w:asciiTheme="minorHAnsi" w:eastAsiaTheme="minorHAnsi" w:hAnsiTheme="minorHAnsi" w:cstheme="minorBidi"/>
          <w:sz w:val="16"/>
          <w:szCs w:val="16"/>
          <w:lang w:eastAsia="en-US"/>
        </w:rPr>
        <w:footnoteReference w:id="21"/>
      </w:r>
      <w:r w:rsidRPr="001B0349">
        <w:rPr>
          <w:rFonts w:ascii="Arial" w:hAnsi="Arial" w:cs="Arial"/>
          <w:sz w:val="22"/>
          <w:szCs w:val="22"/>
        </w:rPr>
        <w:t xml:space="preserve">; or </w:t>
      </w:r>
    </w:p>
    <w:p w:rsidR="004832D8" w:rsidRPr="001B0349" w:rsidRDefault="004832D8" w:rsidP="001B0349">
      <w:pPr>
        <w:numPr>
          <w:ilvl w:val="1"/>
          <w:numId w:val="2"/>
        </w:numPr>
        <w:rPr>
          <w:rFonts w:ascii="Arial" w:hAnsi="Arial" w:cs="Arial"/>
          <w:sz w:val="22"/>
          <w:szCs w:val="22"/>
        </w:rPr>
      </w:pPr>
      <w:r w:rsidRPr="001B0349">
        <w:rPr>
          <w:rFonts w:ascii="Arial" w:hAnsi="Arial" w:cs="Arial"/>
          <w:sz w:val="22"/>
          <w:szCs w:val="22"/>
        </w:rPr>
        <w:t>International Register of Certified Auditors (IRCA) WHS Certification</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WHS and auditing experience in the construction industry</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familiarity with and the ability to apply the scope and general content of AS/NZS 4801:2001 and/or OHSAS 18001:1999</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a sound knowledge and understanding of WHS and Australian WHS laws, including relevant WHS codes of practice and standards</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the ability to assess the application of Australian WHS laws in the building and construction industry across all Commonwealth, state and territory jurisdictions</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a sound understanding and knowledge of risk management processes</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tertiary or other qualifications in WHS</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relevant licences and certificates of competency in relation to specific activities or hazards common in the construction industry (e.g. construction induction card such as a green card, dogman/riggers/scaffolders licence, plant operators licence etc.)</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demonstrated ability to meet deadlines, and</w:t>
      </w:r>
    </w:p>
    <w:p w:rsidR="004832D8" w:rsidRPr="001B0349" w:rsidRDefault="004832D8" w:rsidP="001B0349">
      <w:pPr>
        <w:numPr>
          <w:ilvl w:val="0"/>
          <w:numId w:val="2"/>
        </w:numPr>
        <w:rPr>
          <w:rFonts w:ascii="Arial" w:hAnsi="Arial" w:cs="Arial"/>
          <w:sz w:val="22"/>
          <w:szCs w:val="22"/>
        </w:rPr>
      </w:pPr>
      <w:r w:rsidRPr="001B0349">
        <w:rPr>
          <w:rFonts w:ascii="Arial" w:hAnsi="Arial" w:cs="Arial"/>
          <w:sz w:val="22"/>
          <w:szCs w:val="22"/>
        </w:rPr>
        <w:t>evidence of liaison and interpersonal skills that demonstrate a capacity to work collaboratively with companies.</w:t>
      </w:r>
    </w:p>
    <w:p w:rsidR="004832D8" w:rsidRPr="001B0349" w:rsidRDefault="004832D8" w:rsidP="001B0349">
      <w:pPr>
        <w:rPr>
          <w:rFonts w:ascii="Arial" w:hAnsi="Arial" w:cs="Arial"/>
          <w:sz w:val="22"/>
          <w:szCs w:val="22"/>
        </w:rPr>
      </w:pPr>
    </w:p>
    <w:p w:rsidR="004832D8" w:rsidRPr="001B0349" w:rsidRDefault="004832D8" w:rsidP="001B0349">
      <w:pPr>
        <w:rPr>
          <w:rFonts w:ascii="Arial" w:hAnsi="Arial" w:cs="Arial"/>
          <w:sz w:val="22"/>
          <w:szCs w:val="22"/>
        </w:rPr>
      </w:pPr>
      <w:r w:rsidRPr="001B0349">
        <w:rPr>
          <w:rFonts w:ascii="Arial" w:hAnsi="Arial" w:cs="Arial"/>
          <w:sz w:val="22"/>
          <w:szCs w:val="22"/>
        </w:rPr>
        <w:t xml:space="preserve">Applicants who only hold quality and environmental qualifications are not considered for appointment as FSOs. </w:t>
      </w:r>
    </w:p>
    <w:p w:rsidR="004832D8" w:rsidRPr="001B0349" w:rsidRDefault="004832D8" w:rsidP="001B0349">
      <w:pPr>
        <w:rPr>
          <w:rFonts w:ascii="Arial" w:hAnsi="Arial" w:cs="Arial"/>
          <w:sz w:val="22"/>
          <w:szCs w:val="22"/>
        </w:rPr>
      </w:pPr>
    </w:p>
    <w:p w:rsidR="004832D8" w:rsidRPr="001B0349" w:rsidRDefault="004832D8" w:rsidP="001B0349">
      <w:pPr>
        <w:rPr>
          <w:rFonts w:ascii="Arial" w:hAnsi="Arial" w:cs="Arial"/>
          <w:sz w:val="22"/>
          <w:szCs w:val="22"/>
        </w:rPr>
      </w:pPr>
      <w:r w:rsidRPr="001B0349">
        <w:rPr>
          <w:rFonts w:ascii="Arial" w:hAnsi="Arial" w:cs="Arial"/>
          <w:sz w:val="22"/>
          <w:szCs w:val="22"/>
        </w:rPr>
        <w:t xml:space="preserve">Once engaged, an induction and </w:t>
      </w:r>
      <w:r w:rsidR="009C4A56">
        <w:rPr>
          <w:rFonts w:ascii="Arial" w:hAnsi="Arial" w:cs="Arial"/>
          <w:sz w:val="22"/>
          <w:szCs w:val="22"/>
        </w:rPr>
        <w:t>quality assurance</w:t>
      </w:r>
      <w:r w:rsidRPr="001B0349">
        <w:rPr>
          <w:rFonts w:ascii="Arial" w:hAnsi="Arial" w:cs="Arial"/>
          <w:sz w:val="22"/>
          <w:szCs w:val="22"/>
        </w:rPr>
        <w:t xml:space="preserve"> process is undertaken to ensure the suitability of FSOs. Further, the </w:t>
      </w:r>
      <w:r w:rsidR="009C4A56">
        <w:rPr>
          <w:rFonts w:ascii="Arial" w:hAnsi="Arial" w:cs="Arial"/>
          <w:sz w:val="22"/>
          <w:szCs w:val="22"/>
        </w:rPr>
        <w:t>d</w:t>
      </w:r>
      <w:r w:rsidRPr="001B0349">
        <w:rPr>
          <w:rFonts w:ascii="Arial" w:hAnsi="Arial" w:cs="Arial"/>
          <w:sz w:val="22"/>
          <w:szCs w:val="22"/>
        </w:rPr>
        <w:t>eed provides no guarantee of work, meaning those FSOs who are observed to not meet the required standards are either not utilised, or are terminated (also provided for under the Deed). Feedback from companies assists in this regard.</w:t>
      </w:r>
    </w:p>
    <w:p w:rsidR="004832D8" w:rsidRPr="001B0349" w:rsidRDefault="004832D8" w:rsidP="001B0349">
      <w:pPr>
        <w:rPr>
          <w:rFonts w:ascii="Arial" w:hAnsi="Arial" w:cs="Arial"/>
          <w:sz w:val="22"/>
          <w:szCs w:val="22"/>
        </w:rPr>
      </w:pPr>
    </w:p>
    <w:p w:rsidR="004832D8" w:rsidRPr="001B0349" w:rsidRDefault="004832D8" w:rsidP="001B0349">
      <w:pPr>
        <w:rPr>
          <w:rFonts w:ascii="Arial" w:hAnsi="Arial" w:cs="Arial"/>
          <w:sz w:val="22"/>
          <w:szCs w:val="22"/>
        </w:rPr>
      </w:pPr>
      <w:r w:rsidRPr="001B0349">
        <w:rPr>
          <w:rFonts w:ascii="Arial" w:hAnsi="Arial" w:cs="Arial"/>
          <w:sz w:val="22"/>
          <w:szCs w:val="22"/>
        </w:rPr>
        <w:t xml:space="preserve">As a condition of the Deed, FSOs are required to notify the OFSC of any actual or perceived conflicts of interest when they are approached to do audits on the OFSC’s behalf. The most common scenario for a potential conflict of interest is where an FSO has been or is working for a company. The OFSC applies a policy where audits are not offered to an FSO, for a two year period, in relation to a company where the FSC has been working for that company. </w:t>
      </w:r>
    </w:p>
    <w:p w:rsidR="004832D8" w:rsidRPr="001B0349" w:rsidRDefault="004832D8" w:rsidP="001B0349">
      <w:pPr>
        <w:rPr>
          <w:rFonts w:ascii="Arial" w:hAnsi="Arial" w:cs="Arial"/>
          <w:sz w:val="22"/>
          <w:szCs w:val="22"/>
        </w:rPr>
      </w:pPr>
      <w:r w:rsidRPr="001B0349">
        <w:rPr>
          <w:rFonts w:ascii="Arial" w:hAnsi="Arial" w:cs="Arial"/>
          <w:sz w:val="22"/>
          <w:szCs w:val="22"/>
        </w:rPr>
        <w:t>The process for selecting FSOs aims to engage experienced and qualified personnel and those likely to foster consistency and minimise any actual or potential conflicts of interest.</w:t>
      </w:r>
    </w:p>
    <w:p w:rsidR="000D73C1" w:rsidRPr="001B0349" w:rsidRDefault="000D73C1" w:rsidP="001B0349">
      <w:pPr>
        <w:rPr>
          <w:rFonts w:ascii="Arial" w:hAnsi="Arial" w:cs="Arial"/>
          <w:sz w:val="22"/>
          <w:szCs w:val="22"/>
        </w:rPr>
      </w:pPr>
    </w:p>
    <w:p w:rsidR="000D73C1" w:rsidRPr="001B0349" w:rsidRDefault="000D73C1" w:rsidP="00A60F1C">
      <w:pPr>
        <w:pStyle w:val="Heading3"/>
      </w:pPr>
      <w:r w:rsidRPr="001B0349">
        <w:t>FSO Quality Per</w:t>
      </w:r>
      <w:r w:rsidR="006A0DF1">
        <w:t>f</w:t>
      </w:r>
      <w:r w:rsidRPr="001B0349">
        <w:t>ormance</w:t>
      </w:r>
    </w:p>
    <w:p w:rsidR="000D73C1" w:rsidRPr="001B0349" w:rsidRDefault="000D73C1" w:rsidP="001B0349">
      <w:pPr>
        <w:rPr>
          <w:rFonts w:ascii="Arial" w:hAnsi="Arial" w:cs="Arial"/>
          <w:sz w:val="22"/>
          <w:szCs w:val="22"/>
        </w:rPr>
      </w:pP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New FSOs are required to undergo induction training covering all criteria and auditing requirements as well as code of conduct requirements.</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All FSOs are observed and evaluated at audits</w:t>
      </w:r>
      <w:r w:rsidR="009C4A56">
        <w:rPr>
          <w:rFonts w:ascii="Arial" w:hAnsi="Arial" w:cs="Arial"/>
          <w:sz w:val="22"/>
          <w:szCs w:val="22"/>
        </w:rPr>
        <w:t xml:space="preserve"> in a quality assurance process</w:t>
      </w:r>
      <w:r w:rsidRPr="001B0349">
        <w:rPr>
          <w:rFonts w:ascii="Arial" w:hAnsi="Arial" w:cs="Arial"/>
          <w:sz w:val="22"/>
          <w:szCs w:val="22"/>
        </w:rPr>
        <w:t xml:space="preserve">, with particular emphasis on new FSOs. </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 xml:space="preserve">FSOs are provided with </w:t>
      </w:r>
      <w:r w:rsidR="008B3D25">
        <w:rPr>
          <w:rFonts w:ascii="Arial" w:hAnsi="Arial" w:cs="Arial"/>
          <w:sz w:val="22"/>
          <w:szCs w:val="22"/>
        </w:rPr>
        <w:t xml:space="preserve">detailed training and instruction </w:t>
      </w:r>
      <w:r w:rsidRPr="001B0349">
        <w:rPr>
          <w:rFonts w:ascii="Arial" w:hAnsi="Arial" w:cs="Arial"/>
          <w:sz w:val="22"/>
          <w:szCs w:val="22"/>
        </w:rPr>
        <w:t>material - documents include General Directions to Federal Safety Officers 2005, the FSO Code of Conduct and the FSO Guidelines.</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 xml:space="preserve">FSO Forums are conducted on average every six to 12 months to discuss issues of importance and help ensure consistency of approach amongst auditors. </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FSO selection for audit considers the skills and expertise of the FSOs, not just their location (that is, someone with relevant background in telecommunications would be matched where possible for a telecommunications audit).</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At the conclusion of each audit, companies are provided with an evaluation form seeking feedback on FSO performance, providing an opportunity for the review of any issues.</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All audit reports are reviewed by the OFSC prior to being issued to companies. This is to check for consistency of criteria interpretation and level of any findings made.</w:t>
      </w:r>
    </w:p>
    <w:p w:rsidR="000D73C1" w:rsidRPr="001B0349" w:rsidRDefault="000D73C1" w:rsidP="000D73C1">
      <w:pPr>
        <w:numPr>
          <w:ilvl w:val="0"/>
          <w:numId w:val="2"/>
        </w:numPr>
        <w:rPr>
          <w:rFonts w:ascii="Arial" w:hAnsi="Arial" w:cs="Arial"/>
          <w:sz w:val="22"/>
          <w:szCs w:val="22"/>
        </w:rPr>
      </w:pPr>
      <w:r w:rsidRPr="001B0349">
        <w:rPr>
          <w:rFonts w:ascii="Arial" w:hAnsi="Arial" w:cs="Arial"/>
          <w:sz w:val="22"/>
          <w:szCs w:val="22"/>
        </w:rPr>
        <w:t xml:space="preserve">Within accreditation and </w:t>
      </w:r>
      <w:r w:rsidR="008F3909">
        <w:rPr>
          <w:rFonts w:ascii="Arial" w:hAnsi="Arial" w:cs="Arial"/>
          <w:sz w:val="22"/>
          <w:szCs w:val="22"/>
        </w:rPr>
        <w:t>reaccreditation</w:t>
      </w:r>
      <w:r w:rsidRPr="001B0349">
        <w:rPr>
          <w:rFonts w:ascii="Arial" w:hAnsi="Arial" w:cs="Arial"/>
          <w:sz w:val="22"/>
          <w:szCs w:val="22"/>
        </w:rPr>
        <w:t xml:space="preserve"> processes, the OFSC generally utilises the same FSO for follow up of findings to ensure a level of consistency for the company.</w:t>
      </w:r>
    </w:p>
    <w:p w:rsidR="000D73C1" w:rsidRPr="001B0349" w:rsidRDefault="000D73C1" w:rsidP="000D73C1">
      <w:pPr>
        <w:rPr>
          <w:rFonts w:ascii="Arial" w:hAnsi="Arial" w:cs="Arial"/>
          <w:sz w:val="22"/>
          <w:szCs w:val="22"/>
        </w:rPr>
      </w:pPr>
    </w:p>
    <w:p w:rsidR="000D73C1" w:rsidRPr="001B0349" w:rsidRDefault="000D73C1" w:rsidP="000D73C1">
      <w:pPr>
        <w:rPr>
          <w:rFonts w:ascii="Arial" w:hAnsi="Arial" w:cs="Arial"/>
          <w:sz w:val="20"/>
          <w:szCs w:val="20"/>
        </w:rPr>
      </w:pPr>
    </w:p>
    <w:p w:rsidR="00BB35A6" w:rsidRDefault="00F62A9E">
      <w:pPr>
        <w:rPr>
          <w:rFonts w:ascii="Arial" w:hAnsi="Arial" w:cs="Arial"/>
          <w:sz w:val="20"/>
          <w:szCs w:val="20"/>
          <w:u w:val="single"/>
        </w:rPr>
        <w:sectPr w:rsidR="00BB35A6" w:rsidSect="0044203F">
          <w:headerReference w:type="default" r:id="rId25"/>
          <w:pgSz w:w="11906" w:h="16838" w:code="9"/>
          <w:pgMar w:top="1418" w:right="1134" w:bottom="1418" w:left="1418" w:header="567" w:footer="567" w:gutter="0"/>
          <w:cols w:space="708"/>
          <w:docGrid w:linePitch="360"/>
        </w:sectPr>
      </w:pPr>
      <w:r>
        <w:rPr>
          <w:rFonts w:ascii="Arial" w:hAnsi="Arial" w:cs="Arial"/>
          <w:sz w:val="20"/>
          <w:szCs w:val="20"/>
          <w:u w:val="single"/>
        </w:rPr>
        <w:br w:type="page"/>
      </w:r>
    </w:p>
    <w:p w:rsidR="00F32CB5" w:rsidRDefault="00F32CB5" w:rsidP="00B01E1D">
      <w:pPr>
        <w:pStyle w:val="Heading1"/>
      </w:pPr>
      <w:bookmarkStart w:id="65" w:name="_Toc390429543"/>
      <w:r>
        <w:t>Attachments</w:t>
      </w:r>
      <w:bookmarkEnd w:id="65"/>
    </w:p>
    <w:p w:rsidR="00F32CB5" w:rsidRDefault="00F32CB5" w:rsidP="00B01E1D">
      <w:pPr>
        <w:pStyle w:val="Heading1"/>
      </w:pPr>
    </w:p>
    <w:p w:rsidR="00405B87" w:rsidRDefault="00405B87" w:rsidP="00F32CB5">
      <w:pPr>
        <w:pStyle w:val="Heading2"/>
      </w:pPr>
      <w:bookmarkStart w:id="66" w:name="_Toc390429544"/>
      <w:r w:rsidRPr="007B5A3A">
        <w:t>Terms of Reference</w:t>
      </w:r>
      <w:bookmarkEnd w:id="66"/>
      <w:r>
        <w:t xml:space="preserve"> </w:t>
      </w:r>
    </w:p>
    <w:p w:rsidR="00405B87" w:rsidRDefault="00405B87" w:rsidP="00405B87"/>
    <w:p w:rsidR="00405B87" w:rsidRPr="005A4915" w:rsidRDefault="00405B87" w:rsidP="00A60F1C">
      <w:pPr>
        <w:pStyle w:val="Heading3"/>
      </w:pPr>
      <w:r w:rsidRPr="005A4915">
        <w:t>Background</w:t>
      </w:r>
    </w:p>
    <w:p w:rsidR="00405B87" w:rsidRPr="005A4915" w:rsidRDefault="00405B87" w:rsidP="00405B87">
      <w:pPr>
        <w:rPr>
          <w:rFonts w:ascii="Arial" w:hAnsi="Arial" w:cs="Arial"/>
          <w:sz w:val="22"/>
          <w:szCs w:val="22"/>
        </w:rPr>
      </w:pPr>
      <w:r w:rsidRPr="005A4915">
        <w:rPr>
          <w:rFonts w:ascii="Arial" w:hAnsi="Arial" w:cs="Arial"/>
          <w:sz w:val="22"/>
          <w:szCs w:val="22"/>
        </w:rPr>
        <w:t xml:space="preserve">The Office of the Federal Safety Commissioner and the Australian Government Building and Construction OHS Accreditation Scheme (the Scheme) has been operating for seven years and while it is broadly operating as intended, the Government will undertake a review to ensure it reflects current best practice. </w:t>
      </w:r>
    </w:p>
    <w:p w:rsidR="00405B87" w:rsidRPr="005A4915" w:rsidRDefault="00405B87" w:rsidP="00405B87">
      <w:pPr>
        <w:rPr>
          <w:rFonts w:ascii="Arial" w:hAnsi="Arial" w:cs="Arial"/>
          <w:sz w:val="22"/>
          <w:szCs w:val="22"/>
        </w:rPr>
      </w:pPr>
    </w:p>
    <w:p w:rsidR="00405B87" w:rsidRPr="005A4915" w:rsidRDefault="00405B87" w:rsidP="00405B87">
      <w:pPr>
        <w:rPr>
          <w:rFonts w:ascii="Arial" w:hAnsi="Arial" w:cs="Arial"/>
          <w:sz w:val="22"/>
          <w:szCs w:val="22"/>
        </w:rPr>
      </w:pPr>
      <w:r w:rsidRPr="005A4915">
        <w:rPr>
          <w:rFonts w:ascii="Arial" w:hAnsi="Arial" w:cs="Arial"/>
          <w:sz w:val="22"/>
          <w:szCs w:val="22"/>
        </w:rPr>
        <w:t xml:space="preserve">Stakeholder feedback indicates concern with red tape, consistency, some operational arrangements and ensuring the Scheme reflects current best practice. </w:t>
      </w:r>
    </w:p>
    <w:p w:rsidR="00405B87" w:rsidRPr="005A4915" w:rsidRDefault="00405B87" w:rsidP="00405B87">
      <w:pPr>
        <w:rPr>
          <w:rFonts w:ascii="Arial" w:hAnsi="Arial" w:cs="Arial"/>
          <w:sz w:val="22"/>
          <w:szCs w:val="22"/>
        </w:rPr>
      </w:pPr>
      <w:r w:rsidRPr="005A4915">
        <w:rPr>
          <w:rFonts w:ascii="Arial" w:hAnsi="Arial" w:cs="Arial"/>
          <w:sz w:val="22"/>
          <w:szCs w:val="22"/>
        </w:rPr>
        <w:t xml:space="preserve"> </w:t>
      </w:r>
    </w:p>
    <w:p w:rsidR="00405B87" w:rsidRPr="005A4915" w:rsidRDefault="00405B87" w:rsidP="00A60F1C">
      <w:pPr>
        <w:pStyle w:val="Heading3"/>
      </w:pPr>
      <w:r w:rsidRPr="005A4915">
        <w:t>Conduct of the Review</w:t>
      </w:r>
    </w:p>
    <w:p w:rsidR="00405B87" w:rsidRPr="005A4915" w:rsidRDefault="00405B87" w:rsidP="00405B87">
      <w:pPr>
        <w:rPr>
          <w:rFonts w:ascii="Arial" w:hAnsi="Arial" w:cs="Arial"/>
          <w:sz w:val="22"/>
          <w:szCs w:val="22"/>
        </w:rPr>
      </w:pPr>
      <w:r w:rsidRPr="005A4915">
        <w:rPr>
          <w:rFonts w:ascii="Arial" w:hAnsi="Arial" w:cs="Arial"/>
          <w:sz w:val="22"/>
          <w:szCs w:val="22"/>
        </w:rPr>
        <w:t>The review will address:</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the costs of complying with the Scheme, including the cost of seeking and maintaining accreditation, particularly for smaller businesses/projects</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the suitability of current funding threshold limits applying to building work covered by the Scheme</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scope for improvements in the accreditation process to reduce red tape, including but not limited to:</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 xml:space="preserve">application and other paperwork requirements at the accreditation and </w:t>
      </w:r>
      <w:r w:rsidR="008F3909">
        <w:rPr>
          <w:rFonts w:ascii="Arial" w:hAnsi="Arial" w:cs="Arial"/>
          <w:sz w:val="22"/>
          <w:szCs w:val="22"/>
        </w:rPr>
        <w:t>reaccreditation</w:t>
      </w:r>
      <w:r w:rsidRPr="005A4915">
        <w:rPr>
          <w:rFonts w:ascii="Arial" w:hAnsi="Arial" w:cs="Arial"/>
          <w:sz w:val="22"/>
          <w:szCs w:val="22"/>
        </w:rPr>
        <w:t xml:space="preserve"> stages</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scope to better target compliance effort (in particular, on-site audits) according to risk, and to increase voluntary compliance by companies</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extending the period of accreditation for businesses with a good audit history</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capacity of smaller businesses to achieve accreditation</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 xml:space="preserve">the suitability of AS/NZS 4801 as a </w:t>
      </w:r>
      <w:r w:rsidR="008F3909">
        <w:rPr>
          <w:rFonts w:ascii="Arial" w:hAnsi="Arial" w:cs="Arial"/>
          <w:sz w:val="22"/>
          <w:szCs w:val="22"/>
        </w:rPr>
        <w:t>prerequisite</w:t>
      </w:r>
      <w:r w:rsidRPr="005A4915">
        <w:rPr>
          <w:rFonts w:ascii="Arial" w:hAnsi="Arial" w:cs="Arial"/>
          <w:sz w:val="22"/>
          <w:szCs w:val="22"/>
        </w:rPr>
        <w:t xml:space="preserve"> for the Scheme</w:t>
      </w:r>
    </w:p>
    <w:p w:rsidR="00405B87" w:rsidRPr="005A4915" w:rsidRDefault="00405B87" w:rsidP="00405B87">
      <w:pPr>
        <w:numPr>
          <w:ilvl w:val="1"/>
          <w:numId w:val="1"/>
        </w:numPr>
        <w:rPr>
          <w:rFonts w:ascii="Arial" w:hAnsi="Arial" w:cs="Arial"/>
          <w:sz w:val="22"/>
          <w:szCs w:val="22"/>
        </w:rPr>
      </w:pPr>
      <w:r w:rsidRPr="005A4915">
        <w:rPr>
          <w:rFonts w:ascii="Arial" w:hAnsi="Arial" w:cs="Arial"/>
          <w:sz w:val="22"/>
          <w:szCs w:val="22"/>
        </w:rPr>
        <w:t xml:space="preserve">options to charge for audits. </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changes to the Scheme criteria and/or associated guidance material which would streamline or clarify requirements (including any updates necessary to reflect current best practice)</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 xml:space="preserve">consistency, transparency and accountability in the application of Scheme criteria by Federal Safety Officers and the Office of the Federal Safety Commissioner </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 xml:space="preserve">the process for selecting and appointing Federal Safety Officers to ensure any potential for conflict of interest is appropriately managed </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awareness of, and adherence by, funding entities to the Scheme requirements</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 xml:space="preserve">interaction of the Scheme with state and territory </w:t>
      </w:r>
      <w:r w:rsidR="00D85434">
        <w:rPr>
          <w:rFonts w:ascii="Arial" w:hAnsi="Arial" w:cs="Arial"/>
          <w:sz w:val="22"/>
          <w:szCs w:val="22"/>
        </w:rPr>
        <w:t>prequalification</w:t>
      </w:r>
      <w:r w:rsidRPr="005A4915">
        <w:rPr>
          <w:rFonts w:ascii="Arial" w:hAnsi="Arial" w:cs="Arial"/>
          <w:sz w:val="22"/>
          <w:szCs w:val="22"/>
        </w:rPr>
        <w:t xml:space="preserve"> arrangements for their building and construction procurements</w:t>
      </w:r>
    </w:p>
    <w:p w:rsidR="00405B87" w:rsidRPr="005A4915" w:rsidRDefault="00405B87" w:rsidP="00405B87">
      <w:pPr>
        <w:numPr>
          <w:ilvl w:val="0"/>
          <w:numId w:val="1"/>
        </w:numPr>
        <w:rPr>
          <w:rFonts w:ascii="Arial" w:hAnsi="Arial" w:cs="Arial"/>
          <w:sz w:val="22"/>
          <w:szCs w:val="22"/>
        </w:rPr>
      </w:pPr>
      <w:r w:rsidRPr="005A4915">
        <w:rPr>
          <w:rFonts w:ascii="Arial" w:hAnsi="Arial" w:cs="Arial"/>
          <w:sz w:val="22"/>
          <w:szCs w:val="22"/>
        </w:rPr>
        <w:t>the interaction of the Scheme with other Commonwealth procurement processes.</w:t>
      </w:r>
    </w:p>
    <w:p w:rsidR="00405B87" w:rsidRPr="005A4915" w:rsidRDefault="00405B87" w:rsidP="00405B87">
      <w:pPr>
        <w:rPr>
          <w:rFonts w:ascii="Arial" w:hAnsi="Arial" w:cs="Arial"/>
          <w:sz w:val="22"/>
          <w:szCs w:val="22"/>
        </w:rPr>
      </w:pPr>
    </w:p>
    <w:p w:rsidR="00C54951" w:rsidRDefault="00405B87" w:rsidP="00D01E0E">
      <w:r w:rsidRPr="005A4915">
        <w:rPr>
          <w:rFonts w:ascii="Arial" w:hAnsi="Arial" w:cs="Arial"/>
          <w:sz w:val="22"/>
          <w:szCs w:val="22"/>
        </w:rPr>
        <w:t>A report on the outcome of the review will be provided to the Minister for Employment by 30</w:t>
      </w:r>
      <w:r w:rsidR="00FD689A">
        <w:rPr>
          <w:rFonts w:ascii="Arial" w:hAnsi="Arial" w:cs="Arial"/>
          <w:sz w:val="22"/>
          <w:szCs w:val="22"/>
        </w:rPr>
        <w:t> </w:t>
      </w:r>
      <w:r w:rsidRPr="005A4915">
        <w:rPr>
          <w:rFonts w:ascii="Arial" w:hAnsi="Arial" w:cs="Arial"/>
          <w:sz w:val="22"/>
          <w:szCs w:val="22"/>
        </w:rPr>
        <w:t>June 2014.</w:t>
      </w:r>
    </w:p>
    <w:sectPr w:rsidR="00C54951" w:rsidSect="0044203F">
      <w:headerReference w:type="default" r:id="rId26"/>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B47" w:rsidRDefault="00226B47" w:rsidP="004E3C0B">
      <w:r>
        <w:separator/>
      </w:r>
    </w:p>
    <w:p w:rsidR="00226B47" w:rsidRDefault="00226B47"/>
    <w:p w:rsidR="00226B47" w:rsidRDefault="00226B47" w:rsidP="005F4928"/>
    <w:p w:rsidR="00226B47" w:rsidRDefault="00226B47" w:rsidP="00F32CB5"/>
    <w:p w:rsidR="00226B47" w:rsidRDefault="00226B47"/>
    <w:p w:rsidR="00226B47" w:rsidRDefault="00226B47" w:rsidP="00B01E1D"/>
  </w:endnote>
  <w:endnote w:type="continuationSeparator" w:id="0">
    <w:p w:rsidR="00226B47" w:rsidRDefault="00226B47" w:rsidP="004E3C0B">
      <w:r>
        <w:continuationSeparator/>
      </w:r>
    </w:p>
    <w:p w:rsidR="00226B47" w:rsidRDefault="00226B47"/>
    <w:p w:rsidR="00226B47" w:rsidRDefault="00226B47" w:rsidP="005F4928"/>
    <w:p w:rsidR="00226B47" w:rsidRDefault="00226B47" w:rsidP="00F32CB5"/>
    <w:p w:rsidR="00226B47" w:rsidRDefault="00226B47"/>
    <w:p w:rsidR="00226B47" w:rsidRDefault="00226B47" w:rsidP="00B01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087305"/>
      <w:docPartObj>
        <w:docPartGallery w:val="Page Numbers (Bottom of Page)"/>
        <w:docPartUnique/>
      </w:docPartObj>
    </w:sdtPr>
    <w:sdtEndPr>
      <w:rPr>
        <w:rFonts w:ascii="Arial" w:hAnsi="Arial" w:cs="Arial"/>
        <w:noProof/>
        <w:sz w:val="18"/>
        <w:szCs w:val="18"/>
      </w:rPr>
    </w:sdtEndPr>
    <w:sdtContent>
      <w:p w:rsidR="00226B47" w:rsidRPr="00015C20" w:rsidRDefault="00226B47">
        <w:pPr>
          <w:pStyle w:val="Footer"/>
          <w:jc w:val="right"/>
          <w:rPr>
            <w:rFonts w:ascii="Arial" w:hAnsi="Arial" w:cs="Arial"/>
            <w:sz w:val="18"/>
            <w:szCs w:val="18"/>
          </w:rPr>
        </w:pPr>
        <w:r w:rsidRPr="00015C20">
          <w:rPr>
            <w:rFonts w:ascii="Arial" w:hAnsi="Arial" w:cs="Arial"/>
            <w:sz w:val="18"/>
            <w:szCs w:val="18"/>
          </w:rPr>
          <w:fldChar w:fldCharType="begin"/>
        </w:r>
        <w:r w:rsidRPr="00015C20">
          <w:rPr>
            <w:rFonts w:ascii="Arial" w:hAnsi="Arial" w:cs="Arial"/>
            <w:sz w:val="18"/>
            <w:szCs w:val="18"/>
          </w:rPr>
          <w:instrText xml:space="preserve"> PAGE   \* MERGEFORMAT </w:instrText>
        </w:r>
        <w:r w:rsidRPr="00015C20">
          <w:rPr>
            <w:rFonts w:ascii="Arial" w:hAnsi="Arial" w:cs="Arial"/>
            <w:sz w:val="18"/>
            <w:szCs w:val="18"/>
          </w:rPr>
          <w:fldChar w:fldCharType="separate"/>
        </w:r>
        <w:r w:rsidR="00D01E0E">
          <w:rPr>
            <w:rFonts w:ascii="Arial" w:hAnsi="Arial" w:cs="Arial"/>
            <w:noProof/>
            <w:sz w:val="18"/>
            <w:szCs w:val="18"/>
          </w:rPr>
          <w:t>4</w:t>
        </w:r>
        <w:r w:rsidRPr="00015C20">
          <w:rPr>
            <w:rFonts w:ascii="Arial" w:hAnsi="Arial" w:cs="Arial"/>
            <w:noProof/>
            <w:sz w:val="18"/>
            <w:szCs w:val="18"/>
          </w:rPr>
          <w:fldChar w:fldCharType="end"/>
        </w:r>
      </w:p>
    </w:sdtContent>
  </w:sdt>
  <w:p w:rsidR="00226B47" w:rsidRDefault="00226B47" w:rsidP="00BB3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B47" w:rsidRDefault="00226B47" w:rsidP="004E3C0B">
      <w:r>
        <w:separator/>
      </w:r>
    </w:p>
    <w:p w:rsidR="00226B47" w:rsidRDefault="00226B47"/>
    <w:p w:rsidR="00226B47" w:rsidRDefault="00226B47" w:rsidP="00B01E1D"/>
  </w:footnote>
  <w:footnote w:type="continuationSeparator" w:id="0">
    <w:p w:rsidR="00226B47" w:rsidRDefault="00226B47" w:rsidP="004E3C0B">
      <w:r>
        <w:continuationSeparator/>
      </w:r>
    </w:p>
    <w:p w:rsidR="00226B47" w:rsidRDefault="00226B47"/>
    <w:p w:rsidR="00226B47" w:rsidRDefault="00226B47" w:rsidP="005F4928"/>
    <w:p w:rsidR="00226B47" w:rsidRDefault="00226B47" w:rsidP="00F32CB5"/>
    <w:p w:rsidR="00226B47" w:rsidRDefault="00226B47"/>
    <w:p w:rsidR="00226B47" w:rsidRDefault="00226B47" w:rsidP="00B01E1D"/>
  </w:footnote>
  <w:footnote w:id="1">
    <w:p w:rsidR="00226B47" w:rsidRPr="009B20EF" w:rsidRDefault="00226B47" w:rsidP="009B20EF">
      <w:pPr>
        <w:rPr>
          <w:rFonts w:ascii="Arial" w:hAnsi="Arial" w:cs="Arial"/>
        </w:rPr>
      </w:pPr>
      <w:r w:rsidRPr="009B20EF">
        <w:rPr>
          <w:rStyle w:val="FootnoteReference"/>
          <w:rFonts w:ascii="Arial" w:hAnsi="Arial" w:cs="Arial"/>
        </w:rPr>
        <w:footnoteRef/>
      </w:r>
      <w:r w:rsidRPr="009B20EF">
        <w:rPr>
          <w:rFonts w:ascii="Arial" w:hAnsi="Arial" w:cs="Arial"/>
        </w:rPr>
        <w:t xml:space="preserve"> </w:t>
      </w:r>
      <w:r w:rsidRPr="009B20EF">
        <w:rPr>
          <w:rFonts w:ascii="Arial" w:hAnsi="Arial" w:cs="Arial"/>
          <w:sz w:val="16"/>
          <w:szCs w:val="16"/>
        </w:rPr>
        <w:t>Productivity Commission, Regulator Audit Framework, May 2014</w:t>
      </w:r>
    </w:p>
  </w:footnote>
  <w:footnote w:id="2">
    <w:p w:rsidR="00226B47" w:rsidRPr="009B20EF" w:rsidRDefault="00226B47" w:rsidP="009B20EF">
      <w:pPr>
        <w:rPr>
          <w:rFonts w:ascii="Arial" w:hAnsi="Arial" w:cs="Arial"/>
          <w:sz w:val="16"/>
          <w:szCs w:val="16"/>
        </w:rPr>
      </w:pPr>
      <w:r w:rsidRPr="009B20EF">
        <w:rPr>
          <w:rStyle w:val="FootnoteReference"/>
          <w:rFonts w:ascii="Arial" w:hAnsi="Arial" w:cs="Arial"/>
        </w:rPr>
        <w:footnoteRef/>
      </w:r>
      <w:r w:rsidRPr="009B20EF">
        <w:rPr>
          <w:rFonts w:ascii="Arial" w:hAnsi="Arial" w:cs="Arial"/>
          <w:sz w:val="16"/>
          <w:szCs w:val="16"/>
        </w:rPr>
        <w:t xml:space="preserve"> Productivity Commission, Regulator Audit Framework, May 2014</w:t>
      </w:r>
    </w:p>
  </w:footnote>
  <w:footnote w:id="3">
    <w:p w:rsidR="00226B47" w:rsidRPr="000601F8" w:rsidRDefault="00226B47" w:rsidP="000601F8">
      <w:pPr>
        <w:rPr>
          <w:rFonts w:ascii="Arial" w:hAnsi="Arial" w:cs="Arial"/>
          <w:sz w:val="16"/>
          <w:szCs w:val="16"/>
        </w:rPr>
      </w:pPr>
      <w:r>
        <w:rPr>
          <w:rStyle w:val="FootnoteReference"/>
        </w:rPr>
        <w:footnoteRef/>
      </w:r>
      <w:r>
        <w:t xml:space="preserve"> </w:t>
      </w:r>
      <w:r w:rsidRPr="000601F8">
        <w:rPr>
          <w:rFonts w:ascii="Arial" w:hAnsi="Arial" w:cs="Arial"/>
          <w:b/>
          <w:bCs/>
          <w:sz w:val="16"/>
          <w:szCs w:val="16"/>
        </w:rPr>
        <w:t>Winsorised mean</w:t>
      </w:r>
      <w:r w:rsidRPr="000601F8">
        <w:rPr>
          <w:rFonts w:ascii="Arial" w:hAnsi="Arial" w:cs="Arial"/>
          <w:sz w:val="16"/>
          <w:szCs w:val="16"/>
        </w:rPr>
        <w:t xml:space="preserve"> - involves the calculation of the mean after replacing given parts (10 per cent in this instance) of a distribution at the high and low end with the most extreme remaining values. The Winsorised mean is a useful estimator because it is less sensitive to outliers than the mean while still giving a reasonable estimate of central tendency.</w:t>
      </w:r>
    </w:p>
    <w:p w:rsidR="00226B47" w:rsidRDefault="00226B47">
      <w:pPr>
        <w:pStyle w:val="FootnoteText"/>
      </w:pPr>
    </w:p>
  </w:footnote>
  <w:footnote w:id="4">
    <w:p w:rsidR="00226B47" w:rsidRPr="004C0852" w:rsidRDefault="00226B47" w:rsidP="004C0852">
      <w:pPr>
        <w:rPr>
          <w:rFonts w:ascii="Arial" w:eastAsiaTheme="minorHAnsi" w:hAnsi="Arial" w:cs="Arial"/>
          <w:sz w:val="16"/>
          <w:szCs w:val="16"/>
          <w:lang w:eastAsia="en-US"/>
        </w:rPr>
      </w:pPr>
      <w:r>
        <w:rPr>
          <w:rStyle w:val="FootnoteReference"/>
        </w:rPr>
        <w:footnoteRef/>
      </w:r>
      <w:r>
        <w:t xml:space="preserve"> </w:t>
      </w:r>
      <w:r w:rsidRPr="008B5746">
        <w:rPr>
          <w:rFonts w:ascii="Arial" w:eastAsiaTheme="minorHAnsi" w:hAnsi="Arial" w:cs="Arial"/>
          <w:b/>
          <w:bCs/>
          <w:sz w:val="16"/>
          <w:szCs w:val="16"/>
          <w:lang w:eastAsia="en-US"/>
        </w:rPr>
        <w:t xml:space="preserve">Median </w:t>
      </w:r>
      <w:r w:rsidRPr="004C0852">
        <w:rPr>
          <w:rFonts w:ascii="Arial" w:eastAsiaTheme="minorHAnsi" w:hAnsi="Arial" w:cs="Arial"/>
          <w:b/>
          <w:bCs/>
          <w:sz w:val="16"/>
          <w:szCs w:val="16"/>
          <w:lang w:eastAsia="en-US"/>
        </w:rPr>
        <w:t>-</w:t>
      </w:r>
      <w:r>
        <w:t xml:space="preserve"> </w:t>
      </w:r>
      <w:r w:rsidRPr="004C0852">
        <w:rPr>
          <w:rFonts w:ascii="Arial" w:eastAsiaTheme="minorHAnsi" w:hAnsi="Arial" w:cs="Arial"/>
          <w:sz w:val="16"/>
          <w:szCs w:val="16"/>
          <w:lang w:eastAsia="en-US"/>
        </w:rPr>
        <w:t xml:space="preserve">The median is the middle of a distribution; half the scores are above the median and half are below the median. If the number of values in the data set is even, then the median is the average of the two middle values. </w:t>
      </w:r>
    </w:p>
    <w:p w:rsidR="00226B47" w:rsidRDefault="00226B47">
      <w:pPr>
        <w:pStyle w:val="FootnoteText"/>
      </w:pPr>
    </w:p>
  </w:footnote>
  <w:footnote w:id="5">
    <w:p w:rsidR="00226B47" w:rsidRPr="00AB4FDE" w:rsidRDefault="00226B47" w:rsidP="00AB4FDE">
      <w:pPr>
        <w:rPr>
          <w:rFonts w:ascii="Arial" w:hAnsi="Arial" w:cs="Arial"/>
          <w:color w:val="333333"/>
          <w:sz w:val="16"/>
          <w:szCs w:val="16"/>
        </w:rPr>
      </w:pPr>
      <w:r>
        <w:rPr>
          <w:rStyle w:val="FootnoteReference"/>
        </w:rPr>
        <w:footnoteRef/>
      </w:r>
      <w:r>
        <w:t xml:space="preserve"> </w:t>
      </w:r>
      <w:r w:rsidRPr="00AB4FDE">
        <w:rPr>
          <w:rFonts w:ascii="Arial" w:hAnsi="Arial" w:cs="Arial"/>
          <w:color w:val="333333"/>
          <w:sz w:val="16"/>
          <w:szCs w:val="16"/>
        </w:rPr>
        <w:t>JAS-ANZ is the government-appointed accreditation body for Australia and New Zealand responsible for providing accreditation of conformity assessment bodies in the fields of certification and inspection. Accreditation by JAS-ANZ demonstrates the competence and independence of these bodies.</w:t>
      </w:r>
    </w:p>
    <w:p w:rsidR="00226B47" w:rsidRDefault="00226B47">
      <w:pPr>
        <w:pStyle w:val="FootnoteText"/>
      </w:pPr>
    </w:p>
  </w:footnote>
  <w:footnote w:id="6">
    <w:p w:rsidR="00226B47" w:rsidRPr="00BD7CBD" w:rsidRDefault="00226B47" w:rsidP="00BD7CBD">
      <w:pPr>
        <w:rPr>
          <w:rFonts w:ascii="Arial" w:hAnsi="Arial" w:cs="Arial"/>
        </w:rPr>
      </w:pPr>
      <w:r w:rsidRPr="00BD7CBD">
        <w:rPr>
          <w:rStyle w:val="FootnoteReference"/>
          <w:rFonts w:ascii="Arial" w:hAnsi="Arial" w:cs="Arial"/>
        </w:rPr>
        <w:footnoteRef/>
      </w:r>
      <w:r w:rsidRPr="00BD7CBD">
        <w:rPr>
          <w:rFonts w:ascii="Arial" w:hAnsi="Arial" w:cs="Arial"/>
        </w:rPr>
        <w:t xml:space="preserve"> </w:t>
      </w:r>
      <w:r w:rsidRPr="00BD7CBD">
        <w:rPr>
          <w:rFonts w:ascii="Arial" w:hAnsi="Arial" w:cs="Arial"/>
          <w:b/>
          <w:bCs/>
          <w:sz w:val="16"/>
          <w:szCs w:val="16"/>
        </w:rPr>
        <w:t>Lead indicators</w:t>
      </w:r>
      <w:r w:rsidRPr="00BD7CBD">
        <w:rPr>
          <w:rFonts w:ascii="Arial" w:hAnsi="Arial" w:cs="Arial"/>
          <w:sz w:val="16"/>
          <w:szCs w:val="16"/>
        </w:rPr>
        <w:t xml:space="preserve"> - predict a possible future event which drives activities that may prevent and control the occurrence of injuries and incidents. Examples include safety training and audits, implementation of new safety programs etc</w:t>
      </w:r>
    </w:p>
    <w:p w:rsidR="00226B47" w:rsidRDefault="00226B47" w:rsidP="00EB6D82">
      <w:pPr>
        <w:pStyle w:val="FootnoteText"/>
      </w:pPr>
    </w:p>
  </w:footnote>
  <w:footnote w:id="7">
    <w:p w:rsidR="00226B47" w:rsidRPr="00BD7CBD" w:rsidRDefault="00226B47" w:rsidP="00BD7CBD">
      <w:pPr>
        <w:rPr>
          <w:rFonts w:ascii="Arial" w:hAnsi="Arial" w:cs="Arial"/>
        </w:rPr>
      </w:pPr>
      <w:r w:rsidRPr="00BD7CBD">
        <w:rPr>
          <w:rStyle w:val="FootnoteReference"/>
          <w:rFonts w:ascii="Arial" w:hAnsi="Arial" w:cs="Arial"/>
        </w:rPr>
        <w:footnoteRef/>
      </w:r>
      <w:r w:rsidRPr="00BD7CBD">
        <w:rPr>
          <w:rFonts w:ascii="Arial" w:hAnsi="Arial" w:cs="Arial"/>
        </w:rPr>
        <w:t xml:space="preserve"> </w:t>
      </w:r>
      <w:r w:rsidRPr="00BD7CBD">
        <w:rPr>
          <w:rFonts w:ascii="Arial" w:hAnsi="Arial" w:cs="Arial"/>
          <w:sz w:val="16"/>
          <w:szCs w:val="16"/>
        </w:rPr>
        <w:t>Productivity Commission, Regulator Audit Framework, May 2014</w:t>
      </w:r>
    </w:p>
  </w:footnote>
  <w:footnote w:id="8">
    <w:p w:rsidR="00226B47" w:rsidRPr="00BD7CBD" w:rsidRDefault="00226B47" w:rsidP="00BD7CBD">
      <w:pPr>
        <w:rPr>
          <w:rFonts w:ascii="Arial" w:hAnsi="Arial" w:cs="Arial"/>
        </w:rPr>
      </w:pPr>
      <w:r w:rsidRPr="00BD7CBD">
        <w:rPr>
          <w:rStyle w:val="FootnoteReference"/>
          <w:rFonts w:ascii="Arial" w:hAnsi="Arial" w:cs="Arial"/>
        </w:rPr>
        <w:footnoteRef/>
      </w:r>
      <w:r w:rsidRPr="00BD7CBD">
        <w:rPr>
          <w:rFonts w:ascii="Arial" w:hAnsi="Arial" w:cs="Arial"/>
        </w:rPr>
        <w:t xml:space="preserve"> </w:t>
      </w:r>
      <w:r w:rsidRPr="00BD7CBD">
        <w:rPr>
          <w:rFonts w:ascii="Arial" w:hAnsi="Arial" w:cs="Arial"/>
          <w:b/>
          <w:bCs/>
          <w:sz w:val="16"/>
          <w:szCs w:val="16"/>
          <w:lang w:val="en"/>
        </w:rPr>
        <w:t>RABQSA</w:t>
      </w:r>
      <w:r w:rsidRPr="00BD7CBD">
        <w:rPr>
          <w:rFonts w:ascii="Arial" w:hAnsi="Arial" w:cs="Arial"/>
          <w:sz w:val="16"/>
          <w:szCs w:val="16"/>
          <w:lang w:val="en"/>
        </w:rPr>
        <w:t xml:space="preserve"> is an Australian personnel and training certification body. RABQSA was created in 2004 from the acquisition of the personnel certification activities of United States of America-based Registrar Accreditation Board (RAB) by Australia-based Quality Society of Australasia (QSA). Its activities are to design, develop, and deliver personnel and training certification services for various industries.</w:t>
      </w:r>
      <w:r w:rsidRPr="00BD7CBD">
        <w:rPr>
          <w:rFonts w:ascii="Arial" w:hAnsi="Arial" w:cs="Arial"/>
          <w:lang w:val="en"/>
        </w:rPr>
        <w:t xml:space="preserve"> </w:t>
      </w:r>
    </w:p>
  </w:footnote>
  <w:footnote w:id="9">
    <w:p w:rsidR="00226B47" w:rsidRPr="00C60F32" w:rsidRDefault="00226B47" w:rsidP="00C60F32">
      <w:pPr>
        <w:rPr>
          <w:rFonts w:ascii="Arial" w:hAnsi="Arial" w:cs="Arial"/>
          <w:sz w:val="16"/>
          <w:szCs w:val="16"/>
        </w:rPr>
      </w:pPr>
      <w:r w:rsidRPr="00C60F32">
        <w:rPr>
          <w:rFonts w:ascii="Arial" w:hAnsi="Arial" w:cs="Arial"/>
          <w:sz w:val="16"/>
          <w:szCs w:val="16"/>
        </w:rPr>
        <w:footnoteRef/>
      </w:r>
      <w:r w:rsidRPr="00C60F32">
        <w:rPr>
          <w:rFonts w:ascii="Arial" w:hAnsi="Arial" w:cs="Arial"/>
          <w:sz w:val="16"/>
          <w:szCs w:val="16"/>
        </w:rPr>
        <w:t xml:space="preserve"> Full content of the Productivity Commission Draft Report into Public Infrastructure Volume 2, March 2014 can be viewed at </w:t>
      </w:r>
      <w:hyperlink r:id="rId1" w:history="1">
        <w:r w:rsidRPr="00C60F32">
          <w:rPr>
            <w:rFonts w:ascii="Arial" w:hAnsi="Arial" w:cs="Arial"/>
            <w:sz w:val="16"/>
            <w:szCs w:val="16"/>
          </w:rPr>
          <w:t>http://www.pc.gov.au/__data/assets/pdf_file/0009/134676/infrastructure-draft-volume2.pdf</w:t>
        </w:r>
      </w:hyperlink>
    </w:p>
    <w:p w:rsidR="00226B47" w:rsidRDefault="00226B47" w:rsidP="00F02D9F">
      <w:pPr>
        <w:rPr>
          <w:color w:val="1F497D"/>
        </w:rPr>
      </w:pPr>
    </w:p>
    <w:p w:rsidR="00226B47" w:rsidRDefault="00226B47">
      <w:pPr>
        <w:pStyle w:val="FootnoteText"/>
      </w:pPr>
    </w:p>
  </w:footnote>
  <w:footnote w:id="10">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Prior to January 2013 applicants submitted full system documentation for review by the OFSC prior to audit</w:t>
      </w:r>
    </w:p>
  </w:footnote>
  <w:footnote w:id="11">
    <w:p w:rsidR="00226B47" w:rsidRPr="006C3BDC" w:rsidRDefault="00226B47" w:rsidP="00C60F32">
      <w:pPr>
        <w:rPr>
          <w:rStyle w:val="FootnoteReference"/>
          <w:sz w:val="18"/>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New Zealand Department of Labour, ‘How Health and Safety Makes Good Business Sense: A Summary of Research Findings’, Department of Labour, Wellington, 2007, p.3.</w:t>
      </w:r>
    </w:p>
  </w:footnote>
  <w:footnote w:id="12">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New Zealand Department of Labour, ‘How Health and Safety Makes Good Business Sense: A Summary of Research Findings’, Department of Labour, Wellington, 2007, p.4.</w:t>
      </w:r>
    </w:p>
  </w:footnote>
  <w:footnote w:id="13">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New Zealand Department of Labour, ‘How Health and Safety Makes Good Business Sense: A Summary of Research Findings’, Department of Labour, Wellington, 2007, p.23.</w:t>
      </w:r>
    </w:p>
  </w:footnote>
  <w:footnote w:id="14">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D. Braunig and T. Koshtall, ‘Calculating the International Return on Prevention for Companies: Costs and Benefits of Investments in Occupational Safety and Health’, International Social Security Association, Geneva, 2012, p.17. </w:t>
      </w:r>
    </w:p>
  </w:footnote>
  <w:footnote w:id="15">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D. Braunig and T. Koshtall, ‘Calculating the International Return on Prevention for Companies: Costs and Benefits of Investments in Occupational Safety and Health’, International Social Security Association, Geneva, 2012, p.1.</w:t>
      </w:r>
    </w:p>
  </w:footnote>
  <w:footnote w:id="16">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D. Braunig and T. Koshtall, ‘Calculating the International Return on Prevention for Companies: Costs and Benefits of Investments in Occupational Safety and Health’, International Social Security Association, Geneva, 2012, p.19.</w:t>
      </w:r>
    </w:p>
  </w:footnote>
  <w:footnote w:id="17">
    <w:p w:rsidR="00226B47" w:rsidRPr="00C60F32" w:rsidRDefault="00226B47" w:rsidP="00C60F32">
      <w:pPr>
        <w:rPr>
          <w:rStyle w:val="FootnoteReference"/>
          <w:rFonts w:ascii="Arial" w:hAnsi="Arial" w:cs="Arial"/>
          <w:sz w:val="16"/>
          <w:szCs w:val="16"/>
          <w:vertAlign w:val="baseline"/>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R. Fabius et al., ‘The Link Between Workforce Health and Safety and the Health of the Bottom Line’. Journal of Occupational and Environmental Medicine, vol. 55(9), September 2013, p.993.</w:t>
      </w:r>
    </w:p>
  </w:footnote>
  <w:footnote w:id="18">
    <w:p w:rsidR="00226B47" w:rsidRPr="006C3BDC" w:rsidRDefault="00226B47" w:rsidP="00C60F32">
      <w:pPr>
        <w:rPr>
          <w:rStyle w:val="FootnoteReference"/>
          <w:sz w:val="18"/>
        </w:rPr>
      </w:pPr>
      <w:r w:rsidRPr="00C60F32">
        <w:rPr>
          <w:rStyle w:val="FootnoteReference"/>
          <w:rFonts w:ascii="Arial" w:hAnsi="Arial" w:cs="Arial"/>
          <w:sz w:val="16"/>
          <w:szCs w:val="16"/>
          <w:vertAlign w:val="baseline"/>
        </w:rPr>
        <w:footnoteRef/>
      </w:r>
      <w:r w:rsidRPr="00C60F32">
        <w:rPr>
          <w:rStyle w:val="FootnoteReference"/>
          <w:rFonts w:ascii="Arial" w:hAnsi="Arial" w:cs="Arial"/>
          <w:sz w:val="16"/>
          <w:szCs w:val="16"/>
          <w:vertAlign w:val="baseline"/>
        </w:rPr>
        <w:t xml:space="preserve"> R. Fabius et al., ‘The Link Between Workforce Health and Safety and the Health of the Bottom Line’. Journal of Occupational and Environmental Medicine, vol. 55(9), September 2013, p.998.</w:t>
      </w:r>
    </w:p>
  </w:footnote>
  <w:footnote w:id="19">
    <w:p w:rsidR="00226B47" w:rsidRPr="00C60F32" w:rsidRDefault="00226B47" w:rsidP="001B0349">
      <w:pPr>
        <w:rPr>
          <w:rStyle w:val="FootnoteReference"/>
          <w:sz w:val="18"/>
          <w:vertAlign w:val="baseline"/>
        </w:rPr>
      </w:pPr>
      <w:r w:rsidRPr="00C60F32">
        <w:rPr>
          <w:rStyle w:val="FootnoteReference"/>
          <w:sz w:val="18"/>
          <w:vertAlign w:val="baseline"/>
        </w:rPr>
        <w:footnoteRef/>
      </w:r>
      <w:r w:rsidRPr="00C60F32">
        <w:rPr>
          <w:rStyle w:val="FootnoteReference"/>
          <w:sz w:val="18"/>
          <w:vertAlign w:val="baseline"/>
        </w:rPr>
        <w:t xml:space="preserve"> Y. Huang et al., ‘Financial Decision Makers’ Views on Safety: What SH&amp;E professionals should know’. Journal of Professional Safety, vol. 54(4), April 2009, p.39. </w:t>
      </w:r>
    </w:p>
  </w:footnote>
  <w:footnote w:id="20">
    <w:p w:rsidR="00226B47" w:rsidRPr="00C60F32" w:rsidRDefault="00226B47" w:rsidP="001B0349">
      <w:pPr>
        <w:rPr>
          <w:rStyle w:val="FootnoteReference"/>
          <w:sz w:val="18"/>
          <w:vertAlign w:val="baseline"/>
        </w:rPr>
      </w:pPr>
      <w:r w:rsidRPr="00C60F32">
        <w:rPr>
          <w:rStyle w:val="FootnoteReference"/>
          <w:sz w:val="18"/>
          <w:vertAlign w:val="baseline"/>
        </w:rPr>
        <w:footnoteRef/>
      </w:r>
      <w:r w:rsidRPr="00C60F32">
        <w:rPr>
          <w:rStyle w:val="FootnoteReference"/>
          <w:sz w:val="18"/>
          <w:vertAlign w:val="baseline"/>
        </w:rPr>
        <w:t xml:space="preserve"> Y. Huang et al., ‘Financial Decision Makers’ Views on Safety: What SH&amp;E professionals should know’. Journal of Professional Safety, vol. 54(4), April 2009, p.38.</w:t>
      </w:r>
    </w:p>
  </w:footnote>
  <w:footnote w:id="21">
    <w:p w:rsidR="00226B47" w:rsidRPr="00915AF1" w:rsidRDefault="00226B47" w:rsidP="00915AF1">
      <w:pPr>
        <w:rPr>
          <w:rFonts w:ascii="Arial" w:hAnsi="Arial" w:cs="Arial"/>
        </w:rPr>
      </w:pPr>
      <w:r w:rsidRPr="00915AF1">
        <w:rPr>
          <w:rStyle w:val="FootnoteReference"/>
          <w:rFonts w:ascii="Arial" w:hAnsi="Arial" w:cs="Arial"/>
          <w:sz w:val="16"/>
          <w:szCs w:val="16"/>
          <w:vertAlign w:val="baseline"/>
        </w:rPr>
        <w:footnoteRef/>
      </w:r>
      <w:r w:rsidRPr="00915AF1">
        <w:rPr>
          <w:rFonts w:ascii="Arial" w:hAnsi="Arial" w:cs="Arial"/>
        </w:rPr>
        <w:t xml:space="preserve"> </w:t>
      </w:r>
      <w:r w:rsidRPr="00915AF1">
        <w:rPr>
          <w:rFonts w:ascii="Arial" w:hAnsi="Arial" w:cs="Arial"/>
          <w:b/>
          <w:bCs/>
          <w:sz w:val="16"/>
          <w:szCs w:val="16"/>
          <w:lang w:val="en"/>
        </w:rPr>
        <w:t>RABQSA</w:t>
      </w:r>
      <w:r w:rsidRPr="00915AF1">
        <w:rPr>
          <w:rFonts w:ascii="Arial" w:hAnsi="Arial" w:cs="Arial"/>
          <w:sz w:val="16"/>
          <w:szCs w:val="16"/>
          <w:lang w:val="en"/>
        </w:rPr>
        <w:t xml:space="preserve"> is an Australian personnel and training certification body. RABQSA was created in 2004 from the acquisition of the personnel certification activities of United States of America-based Registrar Accreditation Board (RAB) by Australia-based Quality Society of Australasia (QSA). Its activities are to design, develop, and deliver personnel and training certification services for various industries.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9E5030" w:rsidRDefault="00226B47" w:rsidP="00015C20">
    <w:pPr>
      <w:pStyle w:val="Heade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C431AE" w:rsidRDefault="00226B47" w:rsidP="009E5030">
    <w:pPr>
      <w:pStyle w:val="Header"/>
      <w:jc w:val="center"/>
      <w:rPr>
        <w:sz w:val="16"/>
      </w:rPr>
    </w:pPr>
  </w:p>
  <w:p w:rsidR="00226B47" w:rsidRPr="00C431AE" w:rsidRDefault="00226B47" w:rsidP="009E5030">
    <w:pPr>
      <w:pStyle w:val="Header"/>
      <w:jc w:val="center"/>
      <w:rPr>
        <w:sz w:val="16"/>
      </w:rPr>
    </w:pPr>
  </w:p>
  <w:p w:rsidR="00226B47" w:rsidRPr="009E5030" w:rsidRDefault="00226B47" w:rsidP="009E5030">
    <w:pPr>
      <w:pStyle w:val="Header"/>
      <w:jc w:val="center"/>
      <w:rPr>
        <w:b/>
        <w:sz w:val="28"/>
        <w:szCs w:val="28"/>
      </w:rPr>
    </w:pPr>
    <w:r w:rsidRPr="00C431AE">
      <w:rPr>
        <w:rFonts w:ascii="Arial" w:hAnsi="Arial" w:cs="Arial"/>
        <w:b/>
        <w:sz w:val="28"/>
        <w:szCs w:val="28"/>
      </w:rPr>
      <w:t>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C431AE" w:rsidRDefault="00226B47" w:rsidP="009E5030">
    <w:pPr>
      <w:pStyle w:val="Header"/>
      <w:jc w:val="center"/>
      <w:rPr>
        <w:sz w:val="16"/>
      </w:rPr>
    </w:pPr>
  </w:p>
  <w:p w:rsidR="00226B47" w:rsidRPr="00C431AE" w:rsidRDefault="00226B47" w:rsidP="009E5030">
    <w:pPr>
      <w:pStyle w:val="Header"/>
      <w:jc w:val="center"/>
      <w:rPr>
        <w:sz w:val="16"/>
      </w:rPr>
    </w:pPr>
  </w:p>
  <w:p w:rsidR="00226B47" w:rsidRPr="009E5030" w:rsidRDefault="00226B47" w:rsidP="009E5030">
    <w:pPr>
      <w:pStyle w:val="Header"/>
      <w:jc w:val="center"/>
      <w:rPr>
        <w:b/>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E30AE1" w:rsidRDefault="00226B47" w:rsidP="00E30AE1">
    <w:pPr>
      <w:pStyle w:val="Header"/>
      <w:jc w:val="right"/>
      <w:rPr>
        <w:rFonts w:ascii="Arial" w:hAnsi="Arial" w:cs="Arial"/>
      </w:rPr>
    </w:pPr>
    <w:r>
      <w:rPr>
        <w:rFonts w:ascii="Arial" w:hAnsi="Arial" w:cs="Arial"/>
      </w:rPr>
      <w:t>Appendix 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E30AE1" w:rsidRDefault="00226B47" w:rsidP="00E30AE1">
    <w:pPr>
      <w:pStyle w:val="Header"/>
      <w:jc w:val="right"/>
      <w:rPr>
        <w:rFonts w:ascii="Arial" w:hAnsi="Arial" w:cs="Arial"/>
      </w:rPr>
    </w:pPr>
    <w:r>
      <w:rPr>
        <w:rFonts w:ascii="Arial" w:hAnsi="Arial" w:cs="Arial"/>
      </w:rPr>
      <w:t>Appendix B</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E30AE1" w:rsidRDefault="00226B47" w:rsidP="00E30AE1">
    <w:pPr>
      <w:pStyle w:val="Header"/>
      <w:jc w:val="right"/>
      <w:rPr>
        <w:rFonts w:ascii="Arial" w:hAnsi="Arial" w:cs="Arial"/>
      </w:rPr>
    </w:pPr>
    <w:r>
      <w:rPr>
        <w:rFonts w:ascii="Arial" w:hAnsi="Arial" w:cs="Arial"/>
      </w:rPr>
      <w:t>Appendix C</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B47" w:rsidRPr="00E30AE1" w:rsidRDefault="00226B47" w:rsidP="00E30AE1">
    <w:pPr>
      <w:pStyle w:val="Header"/>
      <w:jc w:val="right"/>
      <w:rPr>
        <w:rFonts w:ascii="Arial" w:hAnsi="Arial" w:cs="Arial"/>
      </w:rPr>
    </w:pPr>
    <w:r>
      <w:rPr>
        <w:rFonts w:ascii="Arial" w:hAnsi="Arial" w:cs="Arial"/>
      </w:rPr>
      <w:t xml:space="preserve">Attachment </w:t>
    </w:r>
    <w:r w:rsidR="00D01E0E">
      <w:rPr>
        <w:rFonts w:ascii="Arial" w:hAnsi="Arial" w:cs="Arial"/>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947"/>
    <w:multiLevelType w:val="hybridMultilevel"/>
    <w:tmpl w:val="C65894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F20F13"/>
    <w:multiLevelType w:val="hybridMultilevel"/>
    <w:tmpl w:val="1400A9EE"/>
    <w:lvl w:ilvl="0" w:tplc="0C090001">
      <w:start w:val="1"/>
      <w:numFmt w:val="bullet"/>
      <w:lvlText w:val=""/>
      <w:lvlJc w:val="left"/>
      <w:pPr>
        <w:ind w:left="1139" w:hanging="360"/>
      </w:pPr>
      <w:rPr>
        <w:rFonts w:ascii="Symbol" w:hAnsi="Symbol" w:hint="default"/>
      </w:rPr>
    </w:lvl>
    <w:lvl w:ilvl="1" w:tplc="0C090003" w:tentative="1">
      <w:start w:val="1"/>
      <w:numFmt w:val="bullet"/>
      <w:lvlText w:val="o"/>
      <w:lvlJc w:val="left"/>
      <w:pPr>
        <w:ind w:left="1859" w:hanging="360"/>
      </w:pPr>
      <w:rPr>
        <w:rFonts w:ascii="Courier New" w:hAnsi="Courier New" w:cs="Courier New" w:hint="default"/>
      </w:rPr>
    </w:lvl>
    <w:lvl w:ilvl="2" w:tplc="0C090005" w:tentative="1">
      <w:start w:val="1"/>
      <w:numFmt w:val="bullet"/>
      <w:lvlText w:val=""/>
      <w:lvlJc w:val="left"/>
      <w:pPr>
        <w:ind w:left="2579" w:hanging="360"/>
      </w:pPr>
      <w:rPr>
        <w:rFonts w:ascii="Wingdings" w:hAnsi="Wingdings" w:hint="default"/>
      </w:rPr>
    </w:lvl>
    <w:lvl w:ilvl="3" w:tplc="0C090001" w:tentative="1">
      <w:start w:val="1"/>
      <w:numFmt w:val="bullet"/>
      <w:lvlText w:val=""/>
      <w:lvlJc w:val="left"/>
      <w:pPr>
        <w:ind w:left="3299" w:hanging="360"/>
      </w:pPr>
      <w:rPr>
        <w:rFonts w:ascii="Symbol" w:hAnsi="Symbol" w:hint="default"/>
      </w:rPr>
    </w:lvl>
    <w:lvl w:ilvl="4" w:tplc="0C090003" w:tentative="1">
      <w:start w:val="1"/>
      <w:numFmt w:val="bullet"/>
      <w:lvlText w:val="o"/>
      <w:lvlJc w:val="left"/>
      <w:pPr>
        <w:ind w:left="4019" w:hanging="360"/>
      </w:pPr>
      <w:rPr>
        <w:rFonts w:ascii="Courier New" w:hAnsi="Courier New" w:cs="Courier New" w:hint="default"/>
      </w:rPr>
    </w:lvl>
    <w:lvl w:ilvl="5" w:tplc="0C090005" w:tentative="1">
      <w:start w:val="1"/>
      <w:numFmt w:val="bullet"/>
      <w:lvlText w:val=""/>
      <w:lvlJc w:val="left"/>
      <w:pPr>
        <w:ind w:left="4739" w:hanging="360"/>
      </w:pPr>
      <w:rPr>
        <w:rFonts w:ascii="Wingdings" w:hAnsi="Wingdings" w:hint="default"/>
      </w:rPr>
    </w:lvl>
    <w:lvl w:ilvl="6" w:tplc="0C090001" w:tentative="1">
      <w:start w:val="1"/>
      <w:numFmt w:val="bullet"/>
      <w:lvlText w:val=""/>
      <w:lvlJc w:val="left"/>
      <w:pPr>
        <w:ind w:left="5459" w:hanging="360"/>
      </w:pPr>
      <w:rPr>
        <w:rFonts w:ascii="Symbol" w:hAnsi="Symbol" w:hint="default"/>
      </w:rPr>
    </w:lvl>
    <w:lvl w:ilvl="7" w:tplc="0C090003" w:tentative="1">
      <w:start w:val="1"/>
      <w:numFmt w:val="bullet"/>
      <w:lvlText w:val="o"/>
      <w:lvlJc w:val="left"/>
      <w:pPr>
        <w:ind w:left="6179" w:hanging="360"/>
      </w:pPr>
      <w:rPr>
        <w:rFonts w:ascii="Courier New" w:hAnsi="Courier New" w:cs="Courier New" w:hint="default"/>
      </w:rPr>
    </w:lvl>
    <w:lvl w:ilvl="8" w:tplc="0C090005" w:tentative="1">
      <w:start w:val="1"/>
      <w:numFmt w:val="bullet"/>
      <w:lvlText w:val=""/>
      <w:lvlJc w:val="left"/>
      <w:pPr>
        <w:ind w:left="6899" w:hanging="360"/>
      </w:pPr>
      <w:rPr>
        <w:rFonts w:ascii="Wingdings" w:hAnsi="Wingdings" w:hint="default"/>
      </w:rPr>
    </w:lvl>
  </w:abstractNum>
  <w:abstractNum w:abstractNumId="2" w15:restartNumberingAfterBreak="0">
    <w:nsid w:val="11802167"/>
    <w:multiLevelType w:val="hybridMultilevel"/>
    <w:tmpl w:val="3E4A1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B2297A"/>
    <w:multiLevelType w:val="hybridMultilevel"/>
    <w:tmpl w:val="5380BAF8"/>
    <w:lvl w:ilvl="0" w:tplc="6FAC98E4">
      <w:start w:val="1"/>
      <w:numFmt w:val="decimal"/>
      <w:lvlText w:val="%1."/>
      <w:lvlJc w:val="left"/>
      <w:pPr>
        <w:ind w:left="502" w:hanging="360"/>
      </w:pPr>
      <w:rPr>
        <w:b w:val="0"/>
      </w:rPr>
    </w:lvl>
    <w:lvl w:ilvl="1" w:tplc="E354CE76">
      <w:start w:val="1"/>
      <w:numFmt w:val="lowerLetter"/>
      <w:lvlText w:val="%2."/>
      <w:lvlJc w:val="left"/>
      <w:pPr>
        <w:ind w:left="1440" w:hanging="360"/>
      </w:pPr>
      <w:rPr>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2925BB"/>
    <w:multiLevelType w:val="hybridMultilevel"/>
    <w:tmpl w:val="6F720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DE39A6"/>
    <w:multiLevelType w:val="hybridMultilevel"/>
    <w:tmpl w:val="8CA886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9F5EB4"/>
    <w:multiLevelType w:val="hybridMultilevel"/>
    <w:tmpl w:val="B2F60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7167995"/>
    <w:multiLevelType w:val="hybridMultilevel"/>
    <w:tmpl w:val="20D60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89C7BBB"/>
    <w:multiLevelType w:val="hybridMultilevel"/>
    <w:tmpl w:val="7C82EA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C32C3D"/>
    <w:multiLevelType w:val="hybridMultilevel"/>
    <w:tmpl w:val="2A20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A73320"/>
    <w:multiLevelType w:val="hybridMultilevel"/>
    <w:tmpl w:val="349A69F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51E930DD"/>
    <w:multiLevelType w:val="hybridMultilevel"/>
    <w:tmpl w:val="A91AE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95399"/>
    <w:multiLevelType w:val="hybridMultilevel"/>
    <w:tmpl w:val="CFA20A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FC0670"/>
    <w:multiLevelType w:val="hybridMultilevel"/>
    <w:tmpl w:val="419C53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11A75E9"/>
    <w:multiLevelType w:val="hybridMultilevel"/>
    <w:tmpl w:val="6C0CA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060EDF"/>
    <w:multiLevelType w:val="hybridMultilevel"/>
    <w:tmpl w:val="5EA425F4"/>
    <w:lvl w:ilvl="0" w:tplc="AD9E0614">
      <w:start w:val="1"/>
      <w:numFmt w:val="bullet"/>
      <w:lvlText w:val=""/>
      <w:lvlJc w:val="left"/>
      <w:pPr>
        <w:ind w:left="720" w:hanging="360"/>
      </w:pPr>
      <w:rPr>
        <w:rFonts w:ascii="Symbol" w:hAnsi="Symbol" w:hint="default"/>
      </w:rPr>
    </w:lvl>
    <w:lvl w:ilvl="1" w:tplc="86F848BC">
      <w:start w:val="1"/>
      <w:numFmt w:val="bullet"/>
      <w:lvlText w:val="o"/>
      <w:lvlJc w:val="left"/>
      <w:pPr>
        <w:ind w:left="1440" w:hanging="360"/>
      </w:pPr>
      <w:rPr>
        <w:rFonts w:ascii="Courier New" w:hAnsi="Courier New" w:cs="Courier New" w:hint="default"/>
      </w:rPr>
    </w:lvl>
    <w:lvl w:ilvl="2" w:tplc="ABCAF60C" w:tentative="1">
      <w:start w:val="1"/>
      <w:numFmt w:val="bullet"/>
      <w:lvlText w:val=""/>
      <w:lvlJc w:val="left"/>
      <w:pPr>
        <w:ind w:left="2160" w:hanging="360"/>
      </w:pPr>
      <w:rPr>
        <w:rFonts w:ascii="Wingdings" w:hAnsi="Wingdings" w:hint="default"/>
      </w:rPr>
    </w:lvl>
    <w:lvl w:ilvl="3" w:tplc="D5605F10" w:tentative="1">
      <w:start w:val="1"/>
      <w:numFmt w:val="bullet"/>
      <w:lvlText w:val=""/>
      <w:lvlJc w:val="left"/>
      <w:pPr>
        <w:ind w:left="2880" w:hanging="360"/>
      </w:pPr>
      <w:rPr>
        <w:rFonts w:ascii="Symbol" w:hAnsi="Symbol" w:hint="default"/>
      </w:rPr>
    </w:lvl>
    <w:lvl w:ilvl="4" w:tplc="4104A1A8" w:tentative="1">
      <w:start w:val="1"/>
      <w:numFmt w:val="bullet"/>
      <w:lvlText w:val="o"/>
      <w:lvlJc w:val="left"/>
      <w:pPr>
        <w:ind w:left="3600" w:hanging="360"/>
      </w:pPr>
      <w:rPr>
        <w:rFonts w:ascii="Courier New" w:hAnsi="Courier New" w:cs="Courier New" w:hint="default"/>
      </w:rPr>
    </w:lvl>
    <w:lvl w:ilvl="5" w:tplc="58DC50BE" w:tentative="1">
      <w:start w:val="1"/>
      <w:numFmt w:val="bullet"/>
      <w:lvlText w:val=""/>
      <w:lvlJc w:val="left"/>
      <w:pPr>
        <w:ind w:left="4320" w:hanging="360"/>
      </w:pPr>
      <w:rPr>
        <w:rFonts w:ascii="Wingdings" w:hAnsi="Wingdings" w:hint="default"/>
      </w:rPr>
    </w:lvl>
    <w:lvl w:ilvl="6" w:tplc="F6722640" w:tentative="1">
      <w:start w:val="1"/>
      <w:numFmt w:val="bullet"/>
      <w:lvlText w:val=""/>
      <w:lvlJc w:val="left"/>
      <w:pPr>
        <w:ind w:left="5040" w:hanging="360"/>
      </w:pPr>
      <w:rPr>
        <w:rFonts w:ascii="Symbol" w:hAnsi="Symbol" w:hint="default"/>
      </w:rPr>
    </w:lvl>
    <w:lvl w:ilvl="7" w:tplc="CDE8BEEA" w:tentative="1">
      <w:start w:val="1"/>
      <w:numFmt w:val="bullet"/>
      <w:lvlText w:val="o"/>
      <w:lvlJc w:val="left"/>
      <w:pPr>
        <w:ind w:left="5760" w:hanging="360"/>
      </w:pPr>
      <w:rPr>
        <w:rFonts w:ascii="Courier New" w:hAnsi="Courier New" w:cs="Courier New" w:hint="default"/>
      </w:rPr>
    </w:lvl>
    <w:lvl w:ilvl="8" w:tplc="ACD87CDA"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8"/>
  </w:num>
  <w:num w:numId="4">
    <w:abstractNumId w:val="11"/>
  </w:num>
  <w:num w:numId="5">
    <w:abstractNumId w:val="9"/>
  </w:num>
  <w:num w:numId="6">
    <w:abstractNumId w:val="3"/>
  </w:num>
  <w:num w:numId="7">
    <w:abstractNumId w:val="13"/>
  </w:num>
  <w:num w:numId="8">
    <w:abstractNumId w:val="14"/>
  </w:num>
  <w:num w:numId="9">
    <w:abstractNumId w:val="5"/>
  </w:num>
  <w:num w:numId="10">
    <w:abstractNumId w:val="6"/>
  </w:num>
  <w:num w:numId="11">
    <w:abstractNumId w:val="12"/>
  </w:num>
  <w:num w:numId="12">
    <w:abstractNumId w:val="10"/>
  </w:num>
  <w:num w:numId="13">
    <w:abstractNumId w:val="1"/>
  </w:num>
  <w:num w:numId="14">
    <w:abstractNumId w:val="4"/>
  </w:num>
  <w:num w:numId="15">
    <w:abstractNumId w:val="7"/>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3A"/>
    <w:rsid w:val="000015AE"/>
    <w:rsid w:val="00002DC9"/>
    <w:rsid w:val="00007AEC"/>
    <w:rsid w:val="00010E46"/>
    <w:rsid w:val="00014E7D"/>
    <w:rsid w:val="00015C20"/>
    <w:rsid w:val="00015D18"/>
    <w:rsid w:val="00020937"/>
    <w:rsid w:val="00023F7E"/>
    <w:rsid w:val="00024016"/>
    <w:rsid w:val="00026D9D"/>
    <w:rsid w:val="000335AD"/>
    <w:rsid w:val="00040097"/>
    <w:rsid w:val="00042404"/>
    <w:rsid w:val="000437D7"/>
    <w:rsid w:val="00043F77"/>
    <w:rsid w:val="00047CAF"/>
    <w:rsid w:val="00050F1D"/>
    <w:rsid w:val="000566D4"/>
    <w:rsid w:val="000601F8"/>
    <w:rsid w:val="0006205B"/>
    <w:rsid w:val="00062F71"/>
    <w:rsid w:val="0006398F"/>
    <w:rsid w:val="00064DA3"/>
    <w:rsid w:val="000654E5"/>
    <w:rsid w:val="0006688F"/>
    <w:rsid w:val="00067CFC"/>
    <w:rsid w:val="000718DD"/>
    <w:rsid w:val="00071A88"/>
    <w:rsid w:val="00072568"/>
    <w:rsid w:val="000743EF"/>
    <w:rsid w:val="000814D2"/>
    <w:rsid w:val="00083EE0"/>
    <w:rsid w:val="00084542"/>
    <w:rsid w:val="00084572"/>
    <w:rsid w:val="000861C6"/>
    <w:rsid w:val="00087A38"/>
    <w:rsid w:val="00091148"/>
    <w:rsid w:val="000945A5"/>
    <w:rsid w:val="00095295"/>
    <w:rsid w:val="000A1790"/>
    <w:rsid w:val="000A2F63"/>
    <w:rsid w:val="000A394E"/>
    <w:rsid w:val="000A6808"/>
    <w:rsid w:val="000A6D68"/>
    <w:rsid w:val="000B119B"/>
    <w:rsid w:val="000B34CA"/>
    <w:rsid w:val="000B4B97"/>
    <w:rsid w:val="000B6072"/>
    <w:rsid w:val="000B6102"/>
    <w:rsid w:val="000B660D"/>
    <w:rsid w:val="000B6DD1"/>
    <w:rsid w:val="000B6FBE"/>
    <w:rsid w:val="000B75C9"/>
    <w:rsid w:val="000C0C22"/>
    <w:rsid w:val="000C26EE"/>
    <w:rsid w:val="000C2CC1"/>
    <w:rsid w:val="000C3338"/>
    <w:rsid w:val="000C34AE"/>
    <w:rsid w:val="000C4CA7"/>
    <w:rsid w:val="000C535F"/>
    <w:rsid w:val="000C5859"/>
    <w:rsid w:val="000C6988"/>
    <w:rsid w:val="000D12C6"/>
    <w:rsid w:val="000D18E2"/>
    <w:rsid w:val="000D2A1A"/>
    <w:rsid w:val="000D3483"/>
    <w:rsid w:val="000D3912"/>
    <w:rsid w:val="000D5520"/>
    <w:rsid w:val="000D5DED"/>
    <w:rsid w:val="000D73C1"/>
    <w:rsid w:val="000E1E83"/>
    <w:rsid w:val="000E416C"/>
    <w:rsid w:val="000E46BF"/>
    <w:rsid w:val="000E503F"/>
    <w:rsid w:val="000E57FE"/>
    <w:rsid w:val="000E5A13"/>
    <w:rsid w:val="000E7210"/>
    <w:rsid w:val="000E77E5"/>
    <w:rsid w:val="000E7B41"/>
    <w:rsid w:val="000F09DE"/>
    <w:rsid w:val="000F0A2A"/>
    <w:rsid w:val="000F0BED"/>
    <w:rsid w:val="000F1ABC"/>
    <w:rsid w:val="000F432E"/>
    <w:rsid w:val="000F6E8A"/>
    <w:rsid w:val="00102336"/>
    <w:rsid w:val="00104078"/>
    <w:rsid w:val="00104141"/>
    <w:rsid w:val="00106D42"/>
    <w:rsid w:val="00112101"/>
    <w:rsid w:val="00113A65"/>
    <w:rsid w:val="00124D08"/>
    <w:rsid w:val="00125D62"/>
    <w:rsid w:val="00126BBA"/>
    <w:rsid w:val="00126BBB"/>
    <w:rsid w:val="00127904"/>
    <w:rsid w:val="00131F34"/>
    <w:rsid w:val="00140040"/>
    <w:rsid w:val="00140B86"/>
    <w:rsid w:val="00141884"/>
    <w:rsid w:val="0014365B"/>
    <w:rsid w:val="001520CD"/>
    <w:rsid w:val="001543FC"/>
    <w:rsid w:val="00155E8A"/>
    <w:rsid w:val="0016080C"/>
    <w:rsid w:val="00161890"/>
    <w:rsid w:val="00161A56"/>
    <w:rsid w:val="001634CF"/>
    <w:rsid w:val="00170BF8"/>
    <w:rsid w:val="00172B39"/>
    <w:rsid w:val="0017474E"/>
    <w:rsid w:val="001804DB"/>
    <w:rsid w:val="00180F77"/>
    <w:rsid w:val="00181F94"/>
    <w:rsid w:val="001844A5"/>
    <w:rsid w:val="00192720"/>
    <w:rsid w:val="001944D4"/>
    <w:rsid w:val="0019522C"/>
    <w:rsid w:val="00197B5B"/>
    <w:rsid w:val="00197EE6"/>
    <w:rsid w:val="001A1425"/>
    <w:rsid w:val="001A2340"/>
    <w:rsid w:val="001B0129"/>
    <w:rsid w:val="001B0349"/>
    <w:rsid w:val="001B2D1A"/>
    <w:rsid w:val="001B32D5"/>
    <w:rsid w:val="001B5775"/>
    <w:rsid w:val="001B626E"/>
    <w:rsid w:val="001C158C"/>
    <w:rsid w:val="001C168B"/>
    <w:rsid w:val="001C247F"/>
    <w:rsid w:val="001C3806"/>
    <w:rsid w:val="001C5176"/>
    <w:rsid w:val="001C6C66"/>
    <w:rsid w:val="001D07CC"/>
    <w:rsid w:val="001D1087"/>
    <w:rsid w:val="001D19D8"/>
    <w:rsid w:val="001D2AD3"/>
    <w:rsid w:val="001D66CC"/>
    <w:rsid w:val="001D6C15"/>
    <w:rsid w:val="001E0BD9"/>
    <w:rsid w:val="001E14A3"/>
    <w:rsid w:val="001E2336"/>
    <w:rsid w:val="001E3E57"/>
    <w:rsid w:val="001E43FA"/>
    <w:rsid w:val="001E60B2"/>
    <w:rsid w:val="001E799C"/>
    <w:rsid w:val="001F0027"/>
    <w:rsid w:val="001F12D8"/>
    <w:rsid w:val="001F5AB4"/>
    <w:rsid w:val="001F641D"/>
    <w:rsid w:val="001F6E29"/>
    <w:rsid w:val="00201BDE"/>
    <w:rsid w:val="00207106"/>
    <w:rsid w:val="00212D73"/>
    <w:rsid w:val="002148AF"/>
    <w:rsid w:val="00216C36"/>
    <w:rsid w:val="00222474"/>
    <w:rsid w:val="00223860"/>
    <w:rsid w:val="00225AA7"/>
    <w:rsid w:val="0022650C"/>
    <w:rsid w:val="00226B47"/>
    <w:rsid w:val="00230C27"/>
    <w:rsid w:val="002316BF"/>
    <w:rsid w:val="00232401"/>
    <w:rsid w:val="002329B2"/>
    <w:rsid w:val="00235531"/>
    <w:rsid w:val="00241BFB"/>
    <w:rsid w:val="00242476"/>
    <w:rsid w:val="002438AB"/>
    <w:rsid w:val="002536DC"/>
    <w:rsid w:val="0025548C"/>
    <w:rsid w:val="002611FD"/>
    <w:rsid w:val="00264515"/>
    <w:rsid w:val="00265030"/>
    <w:rsid w:val="00267E6F"/>
    <w:rsid w:val="00270FB0"/>
    <w:rsid w:val="0027150A"/>
    <w:rsid w:val="002729A4"/>
    <w:rsid w:val="00275167"/>
    <w:rsid w:val="002763B2"/>
    <w:rsid w:val="00277542"/>
    <w:rsid w:val="0027761D"/>
    <w:rsid w:val="0028151A"/>
    <w:rsid w:val="002828D1"/>
    <w:rsid w:val="00286891"/>
    <w:rsid w:val="00291B16"/>
    <w:rsid w:val="0029243D"/>
    <w:rsid w:val="00292588"/>
    <w:rsid w:val="002930E7"/>
    <w:rsid w:val="00296333"/>
    <w:rsid w:val="002A0352"/>
    <w:rsid w:val="002A1601"/>
    <w:rsid w:val="002A60D1"/>
    <w:rsid w:val="002A7F27"/>
    <w:rsid w:val="002B165F"/>
    <w:rsid w:val="002B2829"/>
    <w:rsid w:val="002B3E1A"/>
    <w:rsid w:val="002B5AED"/>
    <w:rsid w:val="002B5B1D"/>
    <w:rsid w:val="002B7EF4"/>
    <w:rsid w:val="002C6935"/>
    <w:rsid w:val="002D13D7"/>
    <w:rsid w:val="002D2300"/>
    <w:rsid w:val="002D5B60"/>
    <w:rsid w:val="002D6CEC"/>
    <w:rsid w:val="002E59B4"/>
    <w:rsid w:val="002E683C"/>
    <w:rsid w:val="002E6F37"/>
    <w:rsid w:val="002F192F"/>
    <w:rsid w:val="002F1D1A"/>
    <w:rsid w:val="002F2530"/>
    <w:rsid w:val="002F2C5D"/>
    <w:rsid w:val="002F349F"/>
    <w:rsid w:val="002F3BF8"/>
    <w:rsid w:val="002F3FF6"/>
    <w:rsid w:val="002F58ED"/>
    <w:rsid w:val="003005B9"/>
    <w:rsid w:val="00300A05"/>
    <w:rsid w:val="00300D92"/>
    <w:rsid w:val="00305FEF"/>
    <w:rsid w:val="00307317"/>
    <w:rsid w:val="0031357B"/>
    <w:rsid w:val="00314754"/>
    <w:rsid w:val="003155A3"/>
    <w:rsid w:val="003174D3"/>
    <w:rsid w:val="00317B12"/>
    <w:rsid w:val="0032222E"/>
    <w:rsid w:val="00323BB3"/>
    <w:rsid w:val="00327E37"/>
    <w:rsid w:val="00327EDD"/>
    <w:rsid w:val="00331023"/>
    <w:rsid w:val="003337DB"/>
    <w:rsid w:val="00336397"/>
    <w:rsid w:val="0033645B"/>
    <w:rsid w:val="00340FE5"/>
    <w:rsid w:val="0034205D"/>
    <w:rsid w:val="0034295E"/>
    <w:rsid w:val="00343199"/>
    <w:rsid w:val="003434AD"/>
    <w:rsid w:val="0034400E"/>
    <w:rsid w:val="003454B4"/>
    <w:rsid w:val="00345A6D"/>
    <w:rsid w:val="00346073"/>
    <w:rsid w:val="003462E7"/>
    <w:rsid w:val="00351624"/>
    <w:rsid w:val="003518C9"/>
    <w:rsid w:val="00351C43"/>
    <w:rsid w:val="003547F7"/>
    <w:rsid w:val="00355274"/>
    <w:rsid w:val="00355313"/>
    <w:rsid w:val="00355AA7"/>
    <w:rsid w:val="00356AA4"/>
    <w:rsid w:val="00361692"/>
    <w:rsid w:val="00363782"/>
    <w:rsid w:val="00365496"/>
    <w:rsid w:val="00366DA5"/>
    <w:rsid w:val="003717F7"/>
    <w:rsid w:val="00373A2F"/>
    <w:rsid w:val="003755E9"/>
    <w:rsid w:val="00376DE1"/>
    <w:rsid w:val="0038121D"/>
    <w:rsid w:val="00382686"/>
    <w:rsid w:val="00383665"/>
    <w:rsid w:val="0038397F"/>
    <w:rsid w:val="003846A8"/>
    <w:rsid w:val="00384A52"/>
    <w:rsid w:val="00385479"/>
    <w:rsid w:val="0038610D"/>
    <w:rsid w:val="00387C65"/>
    <w:rsid w:val="0039409B"/>
    <w:rsid w:val="003941CE"/>
    <w:rsid w:val="00394EBF"/>
    <w:rsid w:val="0039590B"/>
    <w:rsid w:val="0039595F"/>
    <w:rsid w:val="003967D2"/>
    <w:rsid w:val="003A3845"/>
    <w:rsid w:val="003A6294"/>
    <w:rsid w:val="003A6C3E"/>
    <w:rsid w:val="003A7002"/>
    <w:rsid w:val="003A7AD3"/>
    <w:rsid w:val="003B4116"/>
    <w:rsid w:val="003B52B3"/>
    <w:rsid w:val="003B593E"/>
    <w:rsid w:val="003B7943"/>
    <w:rsid w:val="003C08A0"/>
    <w:rsid w:val="003C0ABD"/>
    <w:rsid w:val="003C2319"/>
    <w:rsid w:val="003C307D"/>
    <w:rsid w:val="003C30E5"/>
    <w:rsid w:val="003C361B"/>
    <w:rsid w:val="003C68EC"/>
    <w:rsid w:val="003D03B4"/>
    <w:rsid w:val="003D10F9"/>
    <w:rsid w:val="003D379F"/>
    <w:rsid w:val="003D7F88"/>
    <w:rsid w:val="003F07FD"/>
    <w:rsid w:val="004007C9"/>
    <w:rsid w:val="00401A36"/>
    <w:rsid w:val="00405B87"/>
    <w:rsid w:val="004061BD"/>
    <w:rsid w:val="004124EF"/>
    <w:rsid w:val="004130D4"/>
    <w:rsid w:val="00414A01"/>
    <w:rsid w:val="00414CD0"/>
    <w:rsid w:val="00415C56"/>
    <w:rsid w:val="00421691"/>
    <w:rsid w:val="00421FEE"/>
    <w:rsid w:val="004267CF"/>
    <w:rsid w:val="00430A84"/>
    <w:rsid w:val="00432EF5"/>
    <w:rsid w:val="0044203F"/>
    <w:rsid w:val="00442F7E"/>
    <w:rsid w:val="004502AC"/>
    <w:rsid w:val="00453D80"/>
    <w:rsid w:val="00454B46"/>
    <w:rsid w:val="0046154F"/>
    <w:rsid w:val="0046239E"/>
    <w:rsid w:val="00462E2C"/>
    <w:rsid w:val="00463F68"/>
    <w:rsid w:val="00465F83"/>
    <w:rsid w:val="00471DF6"/>
    <w:rsid w:val="00472B8C"/>
    <w:rsid w:val="00474035"/>
    <w:rsid w:val="004777A4"/>
    <w:rsid w:val="00481CAD"/>
    <w:rsid w:val="004832D8"/>
    <w:rsid w:val="0048442C"/>
    <w:rsid w:val="004879E7"/>
    <w:rsid w:val="004902DE"/>
    <w:rsid w:val="00491A95"/>
    <w:rsid w:val="004928D2"/>
    <w:rsid w:val="004958A0"/>
    <w:rsid w:val="00497968"/>
    <w:rsid w:val="004A1A48"/>
    <w:rsid w:val="004A7AFA"/>
    <w:rsid w:val="004B15CD"/>
    <w:rsid w:val="004B29FE"/>
    <w:rsid w:val="004B323C"/>
    <w:rsid w:val="004B7D6E"/>
    <w:rsid w:val="004C0852"/>
    <w:rsid w:val="004C3C1A"/>
    <w:rsid w:val="004C51EA"/>
    <w:rsid w:val="004C7BD9"/>
    <w:rsid w:val="004D1D11"/>
    <w:rsid w:val="004D2E88"/>
    <w:rsid w:val="004D5C7C"/>
    <w:rsid w:val="004D67E0"/>
    <w:rsid w:val="004D74EE"/>
    <w:rsid w:val="004E1FB5"/>
    <w:rsid w:val="004E260E"/>
    <w:rsid w:val="004E2CCE"/>
    <w:rsid w:val="004E3C0B"/>
    <w:rsid w:val="004E5143"/>
    <w:rsid w:val="004E55FE"/>
    <w:rsid w:val="004E6E30"/>
    <w:rsid w:val="004F0F05"/>
    <w:rsid w:val="004F5B4E"/>
    <w:rsid w:val="00500BF1"/>
    <w:rsid w:val="005028C1"/>
    <w:rsid w:val="00503D91"/>
    <w:rsid w:val="0050435A"/>
    <w:rsid w:val="00504603"/>
    <w:rsid w:val="00513444"/>
    <w:rsid w:val="00514E34"/>
    <w:rsid w:val="00520334"/>
    <w:rsid w:val="00520A2F"/>
    <w:rsid w:val="00521F02"/>
    <w:rsid w:val="00523D13"/>
    <w:rsid w:val="00525307"/>
    <w:rsid w:val="00533BF3"/>
    <w:rsid w:val="00533F62"/>
    <w:rsid w:val="00541044"/>
    <w:rsid w:val="00542968"/>
    <w:rsid w:val="00543254"/>
    <w:rsid w:val="00543BA8"/>
    <w:rsid w:val="00545171"/>
    <w:rsid w:val="00545592"/>
    <w:rsid w:val="00545854"/>
    <w:rsid w:val="0055391E"/>
    <w:rsid w:val="005563C0"/>
    <w:rsid w:val="00556559"/>
    <w:rsid w:val="00560BFD"/>
    <w:rsid w:val="00561754"/>
    <w:rsid w:val="00562E8C"/>
    <w:rsid w:val="00564B82"/>
    <w:rsid w:val="0056590A"/>
    <w:rsid w:val="0057211F"/>
    <w:rsid w:val="00572A40"/>
    <w:rsid w:val="00580FCD"/>
    <w:rsid w:val="0058171F"/>
    <w:rsid w:val="0058173A"/>
    <w:rsid w:val="00581A39"/>
    <w:rsid w:val="005827C4"/>
    <w:rsid w:val="00583419"/>
    <w:rsid w:val="005905E0"/>
    <w:rsid w:val="00591C01"/>
    <w:rsid w:val="00592495"/>
    <w:rsid w:val="00593C15"/>
    <w:rsid w:val="005A3325"/>
    <w:rsid w:val="005A4915"/>
    <w:rsid w:val="005A56D3"/>
    <w:rsid w:val="005A5D9D"/>
    <w:rsid w:val="005B1623"/>
    <w:rsid w:val="005B3187"/>
    <w:rsid w:val="005B7C62"/>
    <w:rsid w:val="005C1361"/>
    <w:rsid w:val="005C2E4D"/>
    <w:rsid w:val="005C44FE"/>
    <w:rsid w:val="005C4851"/>
    <w:rsid w:val="005C616E"/>
    <w:rsid w:val="005C68B1"/>
    <w:rsid w:val="005C6E42"/>
    <w:rsid w:val="005C73C6"/>
    <w:rsid w:val="005D0C4A"/>
    <w:rsid w:val="005D2CF6"/>
    <w:rsid w:val="005D31F6"/>
    <w:rsid w:val="005D3659"/>
    <w:rsid w:val="005D5179"/>
    <w:rsid w:val="005D6CDB"/>
    <w:rsid w:val="005D6FD9"/>
    <w:rsid w:val="005E2374"/>
    <w:rsid w:val="005E46C2"/>
    <w:rsid w:val="005E50D0"/>
    <w:rsid w:val="005E6C02"/>
    <w:rsid w:val="005F4928"/>
    <w:rsid w:val="005F69D4"/>
    <w:rsid w:val="006005E0"/>
    <w:rsid w:val="0060316E"/>
    <w:rsid w:val="00603255"/>
    <w:rsid w:val="006111DA"/>
    <w:rsid w:val="00611C5A"/>
    <w:rsid w:val="006124DE"/>
    <w:rsid w:val="00612865"/>
    <w:rsid w:val="00615993"/>
    <w:rsid w:val="0062670F"/>
    <w:rsid w:val="00633678"/>
    <w:rsid w:val="00634A78"/>
    <w:rsid w:val="006362FD"/>
    <w:rsid w:val="00636651"/>
    <w:rsid w:val="006404D3"/>
    <w:rsid w:val="0064062C"/>
    <w:rsid w:val="0064064E"/>
    <w:rsid w:val="00640841"/>
    <w:rsid w:val="006442DA"/>
    <w:rsid w:val="0064556D"/>
    <w:rsid w:val="00647582"/>
    <w:rsid w:val="00651E5A"/>
    <w:rsid w:val="00657899"/>
    <w:rsid w:val="0066606B"/>
    <w:rsid w:val="006669FA"/>
    <w:rsid w:val="00667C8F"/>
    <w:rsid w:val="00672516"/>
    <w:rsid w:val="00674522"/>
    <w:rsid w:val="00674936"/>
    <w:rsid w:val="0067617F"/>
    <w:rsid w:val="0067753D"/>
    <w:rsid w:val="006862C7"/>
    <w:rsid w:val="00690E51"/>
    <w:rsid w:val="00691522"/>
    <w:rsid w:val="00697AB9"/>
    <w:rsid w:val="006A0DF1"/>
    <w:rsid w:val="006A571A"/>
    <w:rsid w:val="006B10F6"/>
    <w:rsid w:val="006B1B85"/>
    <w:rsid w:val="006B1C47"/>
    <w:rsid w:val="006B3200"/>
    <w:rsid w:val="006B4E96"/>
    <w:rsid w:val="006B7AEE"/>
    <w:rsid w:val="006C35C0"/>
    <w:rsid w:val="006C3BDC"/>
    <w:rsid w:val="006C3D19"/>
    <w:rsid w:val="006C7809"/>
    <w:rsid w:val="006D2A42"/>
    <w:rsid w:val="006D2A7F"/>
    <w:rsid w:val="006D664A"/>
    <w:rsid w:val="006E2961"/>
    <w:rsid w:val="006E6B00"/>
    <w:rsid w:val="006F1414"/>
    <w:rsid w:val="006F1EF2"/>
    <w:rsid w:val="006F2AB9"/>
    <w:rsid w:val="006F4518"/>
    <w:rsid w:val="006F4F1A"/>
    <w:rsid w:val="006F5283"/>
    <w:rsid w:val="006F5CB0"/>
    <w:rsid w:val="00702A43"/>
    <w:rsid w:val="00702DA0"/>
    <w:rsid w:val="007052B7"/>
    <w:rsid w:val="007060C4"/>
    <w:rsid w:val="00710248"/>
    <w:rsid w:val="00710BF3"/>
    <w:rsid w:val="007119B1"/>
    <w:rsid w:val="00711E92"/>
    <w:rsid w:val="0071299C"/>
    <w:rsid w:val="00712BEA"/>
    <w:rsid w:val="00713E96"/>
    <w:rsid w:val="00716939"/>
    <w:rsid w:val="0072149A"/>
    <w:rsid w:val="007256AF"/>
    <w:rsid w:val="00725D76"/>
    <w:rsid w:val="00726CD6"/>
    <w:rsid w:val="00730CBD"/>
    <w:rsid w:val="007317FF"/>
    <w:rsid w:val="007348A8"/>
    <w:rsid w:val="00734AF8"/>
    <w:rsid w:val="00736FA1"/>
    <w:rsid w:val="007402E0"/>
    <w:rsid w:val="00740535"/>
    <w:rsid w:val="00741A0A"/>
    <w:rsid w:val="00744074"/>
    <w:rsid w:val="00744926"/>
    <w:rsid w:val="007460F3"/>
    <w:rsid w:val="007478B6"/>
    <w:rsid w:val="007500E7"/>
    <w:rsid w:val="00751567"/>
    <w:rsid w:val="00753800"/>
    <w:rsid w:val="00753B9F"/>
    <w:rsid w:val="00754F31"/>
    <w:rsid w:val="0075522F"/>
    <w:rsid w:val="00755741"/>
    <w:rsid w:val="0076168E"/>
    <w:rsid w:val="00764BAC"/>
    <w:rsid w:val="007656EE"/>
    <w:rsid w:val="00771481"/>
    <w:rsid w:val="00771E66"/>
    <w:rsid w:val="00773A23"/>
    <w:rsid w:val="007752BD"/>
    <w:rsid w:val="0078389F"/>
    <w:rsid w:val="00783C41"/>
    <w:rsid w:val="00787DD2"/>
    <w:rsid w:val="00790CCC"/>
    <w:rsid w:val="00790DB8"/>
    <w:rsid w:val="0079116A"/>
    <w:rsid w:val="0079370D"/>
    <w:rsid w:val="00793E83"/>
    <w:rsid w:val="00795857"/>
    <w:rsid w:val="00795B78"/>
    <w:rsid w:val="007A3885"/>
    <w:rsid w:val="007A3959"/>
    <w:rsid w:val="007B0877"/>
    <w:rsid w:val="007B0FE5"/>
    <w:rsid w:val="007B24FD"/>
    <w:rsid w:val="007B320F"/>
    <w:rsid w:val="007B41AE"/>
    <w:rsid w:val="007B5A3A"/>
    <w:rsid w:val="007B5F32"/>
    <w:rsid w:val="007C2197"/>
    <w:rsid w:val="007C4047"/>
    <w:rsid w:val="007C4732"/>
    <w:rsid w:val="007C578B"/>
    <w:rsid w:val="007C58D2"/>
    <w:rsid w:val="007C6AD7"/>
    <w:rsid w:val="007D0E4D"/>
    <w:rsid w:val="007D3716"/>
    <w:rsid w:val="007D7CF0"/>
    <w:rsid w:val="007E3584"/>
    <w:rsid w:val="007E5D8D"/>
    <w:rsid w:val="007E70E9"/>
    <w:rsid w:val="007E791F"/>
    <w:rsid w:val="007F5151"/>
    <w:rsid w:val="007F5D50"/>
    <w:rsid w:val="007F6F29"/>
    <w:rsid w:val="0080165D"/>
    <w:rsid w:val="00813173"/>
    <w:rsid w:val="00814476"/>
    <w:rsid w:val="0081575B"/>
    <w:rsid w:val="008159DE"/>
    <w:rsid w:val="00820991"/>
    <w:rsid w:val="00826922"/>
    <w:rsid w:val="008329FB"/>
    <w:rsid w:val="00834989"/>
    <w:rsid w:val="00840C4F"/>
    <w:rsid w:val="00840E05"/>
    <w:rsid w:val="008448FD"/>
    <w:rsid w:val="00846C41"/>
    <w:rsid w:val="0085195D"/>
    <w:rsid w:val="008525D8"/>
    <w:rsid w:val="0085282D"/>
    <w:rsid w:val="00852A55"/>
    <w:rsid w:val="0085552C"/>
    <w:rsid w:val="00857828"/>
    <w:rsid w:val="008602D7"/>
    <w:rsid w:val="008636AE"/>
    <w:rsid w:val="00864971"/>
    <w:rsid w:val="008709D2"/>
    <w:rsid w:val="008724C8"/>
    <w:rsid w:val="00872CEF"/>
    <w:rsid w:val="00874D77"/>
    <w:rsid w:val="0087527E"/>
    <w:rsid w:val="008752E4"/>
    <w:rsid w:val="0087546B"/>
    <w:rsid w:val="00876534"/>
    <w:rsid w:val="00876ACA"/>
    <w:rsid w:val="00876AED"/>
    <w:rsid w:val="00876C03"/>
    <w:rsid w:val="00884479"/>
    <w:rsid w:val="008879B1"/>
    <w:rsid w:val="008933AD"/>
    <w:rsid w:val="00895341"/>
    <w:rsid w:val="0089749F"/>
    <w:rsid w:val="0089757C"/>
    <w:rsid w:val="008A048B"/>
    <w:rsid w:val="008A2043"/>
    <w:rsid w:val="008A374E"/>
    <w:rsid w:val="008A3975"/>
    <w:rsid w:val="008A4AD1"/>
    <w:rsid w:val="008A4F56"/>
    <w:rsid w:val="008A645C"/>
    <w:rsid w:val="008A7DC5"/>
    <w:rsid w:val="008B3D25"/>
    <w:rsid w:val="008B5746"/>
    <w:rsid w:val="008B6148"/>
    <w:rsid w:val="008B7C82"/>
    <w:rsid w:val="008C1B31"/>
    <w:rsid w:val="008C32E1"/>
    <w:rsid w:val="008C397E"/>
    <w:rsid w:val="008C62CD"/>
    <w:rsid w:val="008D0019"/>
    <w:rsid w:val="008D0107"/>
    <w:rsid w:val="008D6649"/>
    <w:rsid w:val="008D690A"/>
    <w:rsid w:val="008D6B85"/>
    <w:rsid w:val="008D7BD9"/>
    <w:rsid w:val="008E0C50"/>
    <w:rsid w:val="008E5E53"/>
    <w:rsid w:val="008E740A"/>
    <w:rsid w:val="008F25DA"/>
    <w:rsid w:val="008F3909"/>
    <w:rsid w:val="008F48B3"/>
    <w:rsid w:val="008F5D59"/>
    <w:rsid w:val="008F6CD3"/>
    <w:rsid w:val="008F7E72"/>
    <w:rsid w:val="00900493"/>
    <w:rsid w:val="0090460E"/>
    <w:rsid w:val="00913457"/>
    <w:rsid w:val="00914523"/>
    <w:rsid w:val="00915AF1"/>
    <w:rsid w:val="00916A0D"/>
    <w:rsid w:val="00922425"/>
    <w:rsid w:val="00924497"/>
    <w:rsid w:val="00925015"/>
    <w:rsid w:val="009277E3"/>
    <w:rsid w:val="00927940"/>
    <w:rsid w:val="009300A8"/>
    <w:rsid w:val="009324CB"/>
    <w:rsid w:val="00933835"/>
    <w:rsid w:val="00935623"/>
    <w:rsid w:val="00936779"/>
    <w:rsid w:val="009406F8"/>
    <w:rsid w:val="00941540"/>
    <w:rsid w:val="00941772"/>
    <w:rsid w:val="00945951"/>
    <w:rsid w:val="00946454"/>
    <w:rsid w:val="00950E5A"/>
    <w:rsid w:val="00951CDC"/>
    <w:rsid w:val="0095454E"/>
    <w:rsid w:val="0095491D"/>
    <w:rsid w:val="0095633D"/>
    <w:rsid w:val="00956CF6"/>
    <w:rsid w:val="00964EBF"/>
    <w:rsid w:val="009656F9"/>
    <w:rsid w:val="00966C57"/>
    <w:rsid w:val="00967058"/>
    <w:rsid w:val="0096763E"/>
    <w:rsid w:val="009703E3"/>
    <w:rsid w:val="00974A85"/>
    <w:rsid w:val="00974DA9"/>
    <w:rsid w:val="009762D0"/>
    <w:rsid w:val="0097751C"/>
    <w:rsid w:val="00980571"/>
    <w:rsid w:val="00980AE7"/>
    <w:rsid w:val="00986C14"/>
    <w:rsid w:val="009907B6"/>
    <w:rsid w:val="009934EE"/>
    <w:rsid w:val="00995575"/>
    <w:rsid w:val="00996433"/>
    <w:rsid w:val="00996E57"/>
    <w:rsid w:val="00997260"/>
    <w:rsid w:val="009A1856"/>
    <w:rsid w:val="009A1985"/>
    <w:rsid w:val="009A442D"/>
    <w:rsid w:val="009A5C11"/>
    <w:rsid w:val="009A6004"/>
    <w:rsid w:val="009A7C4F"/>
    <w:rsid w:val="009B1C6F"/>
    <w:rsid w:val="009B1DA5"/>
    <w:rsid w:val="009B20EF"/>
    <w:rsid w:val="009B37DC"/>
    <w:rsid w:val="009B3B32"/>
    <w:rsid w:val="009B4370"/>
    <w:rsid w:val="009B5A65"/>
    <w:rsid w:val="009C0F49"/>
    <w:rsid w:val="009C3D7D"/>
    <w:rsid w:val="009C4A56"/>
    <w:rsid w:val="009C6201"/>
    <w:rsid w:val="009C7867"/>
    <w:rsid w:val="009C7F4C"/>
    <w:rsid w:val="009D1036"/>
    <w:rsid w:val="009D25AA"/>
    <w:rsid w:val="009D34E3"/>
    <w:rsid w:val="009D47A3"/>
    <w:rsid w:val="009D64D7"/>
    <w:rsid w:val="009E03DD"/>
    <w:rsid w:val="009E4137"/>
    <w:rsid w:val="009E5030"/>
    <w:rsid w:val="009E68F7"/>
    <w:rsid w:val="009E7849"/>
    <w:rsid w:val="009F0B73"/>
    <w:rsid w:val="009F486C"/>
    <w:rsid w:val="009F510C"/>
    <w:rsid w:val="009F6015"/>
    <w:rsid w:val="009F66E1"/>
    <w:rsid w:val="009F690D"/>
    <w:rsid w:val="009F6F45"/>
    <w:rsid w:val="009F706C"/>
    <w:rsid w:val="009F7217"/>
    <w:rsid w:val="009F76E0"/>
    <w:rsid w:val="00A03169"/>
    <w:rsid w:val="00A032B6"/>
    <w:rsid w:val="00A0448B"/>
    <w:rsid w:val="00A04D6B"/>
    <w:rsid w:val="00A105C5"/>
    <w:rsid w:val="00A1060A"/>
    <w:rsid w:val="00A14F01"/>
    <w:rsid w:val="00A15C1A"/>
    <w:rsid w:val="00A16BBA"/>
    <w:rsid w:val="00A170A6"/>
    <w:rsid w:val="00A203F1"/>
    <w:rsid w:val="00A243BA"/>
    <w:rsid w:val="00A24479"/>
    <w:rsid w:val="00A254BE"/>
    <w:rsid w:val="00A266DE"/>
    <w:rsid w:val="00A26E2B"/>
    <w:rsid w:val="00A27E82"/>
    <w:rsid w:val="00A30840"/>
    <w:rsid w:val="00A325B1"/>
    <w:rsid w:val="00A32A20"/>
    <w:rsid w:val="00A35C87"/>
    <w:rsid w:val="00A35EFC"/>
    <w:rsid w:val="00A40070"/>
    <w:rsid w:val="00A43F26"/>
    <w:rsid w:val="00A45A28"/>
    <w:rsid w:val="00A460AD"/>
    <w:rsid w:val="00A47B20"/>
    <w:rsid w:val="00A52C5A"/>
    <w:rsid w:val="00A567A0"/>
    <w:rsid w:val="00A57497"/>
    <w:rsid w:val="00A579DA"/>
    <w:rsid w:val="00A57B53"/>
    <w:rsid w:val="00A60F1C"/>
    <w:rsid w:val="00A62B50"/>
    <w:rsid w:val="00A62B7A"/>
    <w:rsid w:val="00A63A9C"/>
    <w:rsid w:val="00A672CE"/>
    <w:rsid w:val="00A67FDC"/>
    <w:rsid w:val="00A7163A"/>
    <w:rsid w:val="00A7389A"/>
    <w:rsid w:val="00A7390E"/>
    <w:rsid w:val="00A7420D"/>
    <w:rsid w:val="00A77896"/>
    <w:rsid w:val="00A810BE"/>
    <w:rsid w:val="00A81E97"/>
    <w:rsid w:val="00A82787"/>
    <w:rsid w:val="00A840F6"/>
    <w:rsid w:val="00A847E5"/>
    <w:rsid w:val="00A854D0"/>
    <w:rsid w:val="00A864E7"/>
    <w:rsid w:val="00A9033E"/>
    <w:rsid w:val="00A90830"/>
    <w:rsid w:val="00A91E70"/>
    <w:rsid w:val="00A95F86"/>
    <w:rsid w:val="00A9765D"/>
    <w:rsid w:val="00AA43D3"/>
    <w:rsid w:val="00AA5BB8"/>
    <w:rsid w:val="00AA792B"/>
    <w:rsid w:val="00AB0007"/>
    <w:rsid w:val="00AB1DED"/>
    <w:rsid w:val="00AB2B0C"/>
    <w:rsid w:val="00AB3500"/>
    <w:rsid w:val="00AB4FDE"/>
    <w:rsid w:val="00AB5E29"/>
    <w:rsid w:val="00AB62C5"/>
    <w:rsid w:val="00AB6D3A"/>
    <w:rsid w:val="00AC12D6"/>
    <w:rsid w:val="00AC45A9"/>
    <w:rsid w:val="00AD3BD9"/>
    <w:rsid w:val="00AE0108"/>
    <w:rsid w:val="00AE0723"/>
    <w:rsid w:val="00AE5855"/>
    <w:rsid w:val="00AE5A5A"/>
    <w:rsid w:val="00AE7AE5"/>
    <w:rsid w:val="00AF0B23"/>
    <w:rsid w:val="00AF1871"/>
    <w:rsid w:val="00AF1DA9"/>
    <w:rsid w:val="00AF20ED"/>
    <w:rsid w:val="00AF28EE"/>
    <w:rsid w:val="00AF5A5D"/>
    <w:rsid w:val="00AF6B9F"/>
    <w:rsid w:val="00AF74D3"/>
    <w:rsid w:val="00B01E1D"/>
    <w:rsid w:val="00B0300A"/>
    <w:rsid w:val="00B03528"/>
    <w:rsid w:val="00B04287"/>
    <w:rsid w:val="00B06C5C"/>
    <w:rsid w:val="00B078CF"/>
    <w:rsid w:val="00B07B41"/>
    <w:rsid w:val="00B13FA8"/>
    <w:rsid w:val="00B161F8"/>
    <w:rsid w:val="00B164E4"/>
    <w:rsid w:val="00B2032D"/>
    <w:rsid w:val="00B207AD"/>
    <w:rsid w:val="00B2447A"/>
    <w:rsid w:val="00B24726"/>
    <w:rsid w:val="00B30193"/>
    <w:rsid w:val="00B333C4"/>
    <w:rsid w:val="00B431E3"/>
    <w:rsid w:val="00B44A42"/>
    <w:rsid w:val="00B46210"/>
    <w:rsid w:val="00B472D5"/>
    <w:rsid w:val="00B47D16"/>
    <w:rsid w:val="00B51354"/>
    <w:rsid w:val="00B5461F"/>
    <w:rsid w:val="00B55A9C"/>
    <w:rsid w:val="00B56AA5"/>
    <w:rsid w:val="00B607CC"/>
    <w:rsid w:val="00B64EAB"/>
    <w:rsid w:val="00B65679"/>
    <w:rsid w:val="00B65C0F"/>
    <w:rsid w:val="00B7205A"/>
    <w:rsid w:val="00B74EA1"/>
    <w:rsid w:val="00B761A0"/>
    <w:rsid w:val="00B80CC8"/>
    <w:rsid w:val="00B84E45"/>
    <w:rsid w:val="00B87143"/>
    <w:rsid w:val="00B87E8E"/>
    <w:rsid w:val="00B97287"/>
    <w:rsid w:val="00B97731"/>
    <w:rsid w:val="00BA08FC"/>
    <w:rsid w:val="00BA22B2"/>
    <w:rsid w:val="00BA3630"/>
    <w:rsid w:val="00BB01E0"/>
    <w:rsid w:val="00BB2ADA"/>
    <w:rsid w:val="00BB35A6"/>
    <w:rsid w:val="00BB4D2B"/>
    <w:rsid w:val="00BB4DD6"/>
    <w:rsid w:val="00BC10B1"/>
    <w:rsid w:val="00BC1594"/>
    <w:rsid w:val="00BC298A"/>
    <w:rsid w:val="00BC3227"/>
    <w:rsid w:val="00BC3FA0"/>
    <w:rsid w:val="00BC4CDB"/>
    <w:rsid w:val="00BC574E"/>
    <w:rsid w:val="00BC7121"/>
    <w:rsid w:val="00BC789B"/>
    <w:rsid w:val="00BD3849"/>
    <w:rsid w:val="00BD6C49"/>
    <w:rsid w:val="00BD7CBD"/>
    <w:rsid w:val="00BE0FD1"/>
    <w:rsid w:val="00BF1CC7"/>
    <w:rsid w:val="00C016E3"/>
    <w:rsid w:val="00C01AEC"/>
    <w:rsid w:val="00C03719"/>
    <w:rsid w:val="00C043C7"/>
    <w:rsid w:val="00C04B04"/>
    <w:rsid w:val="00C16164"/>
    <w:rsid w:val="00C16E62"/>
    <w:rsid w:val="00C177B3"/>
    <w:rsid w:val="00C21A09"/>
    <w:rsid w:val="00C21D57"/>
    <w:rsid w:val="00C2209D"/>
    <w:rsid w:val="00C234A6"/>
    <w:rsid w:val="00C23A71"/>
    <w:rsid w:val="00C24491"/>
    <w:rsid w:val="00C24AB5"/>
    <w:rsid w:val="00C24C70"/>
    <w:rsid w:val="00C2512E"/>
    <w:rsid w:val="00C256F9"/>
    <w:rsid w:val="00C347EF"/>
    <w:rsid w:val="00C431AE"/>
    <w:rsid w:val="00C50A83"/>
    <w:rsid w:val="00C51969"/>
    <w:rsid w:val="00C532E1"/>
    <w:rsid w:val="00C54951"/>
    <w:rsid w:val="00C552B5"/>
    <w:rsid w:val="00C563AE"/>
    <w:rsid w:val="00C56647"/>
    <w:rsid w:val="00C56FB0"/>
    <w:rsid w:val="00C60F32"/>
    <w:rsid w:val="00C61E5B"/>
    <w:rsid w:val="00C621AF"/>
    <w:rsid w:val="00C67E13"/>
    <w:rsid w:val="00C72F82"/>
    <w:rsid w:val="00C7322E"/>
    <w:rsid w:val="00C73CEF"/>
    <w:rsid w:val="00C7573C"/>
    <w:rsid w:val="00C75926"/>
    <w:rsid w:val="00C92B22"/>
    <w:rsid w:val="00C938A8"/>
    <w:rsid w:val="00C955B3"/>
    <w:rsid w:val="00CA1088"/>
    <w:rsid w:val="00CB3590"/>
    <w:rsid w:val="00CB58A3"/>
    <w:rsid w:val="00CC14DA"/>
    <w:rsid w:val="00CC21CD"/>
    <w:rsid w:val="00CC23C4"/>
    <w:rsid w:val="00CC2563"/>
    <w:rsid w:val="00CC4C06"/>
    <w:rsid w:val="00CC5881"/>
    <w:rsid w:val="00CC59A3"/>
    <w:rsid w:val="00CC7C8F"/>
    <w:rsid w:val="00CD1CE1"/>
    <w:rsid w:val="00CD6768"/>
    <w:rsid w:val="00CD7BF2"/>
    <w:rsid w:val="00CE034B"/>
    <w:rsid w:val="00CE0E95"/>
    <w:rsid w:val="00CE55DF"/>
    <w:rsid w:val="00CE6734"/>
    <w:rsid w:val="00CF11FA"/>
    <w:rsid w:val="00CF1650"/>
    <w:rsid w:val="00CF34B6"/>
    <w:rsid w:val="00CF6E76"/>
    <w:rsid w:val="00D01E0E"/>
    <w:rsid w:val="00D05133"/>
    <w:rsid w:val="00D13A79"/>
    <w:rsid w:val="00D15894"/>
    <w:rsid w:val="00D15D83"/>
    <w:rsid w:val="00D164A2"/>
    <w:rsid w:val="00D16FCF"/>
    <w:rsid w:val="00D17EA9"/>
    <w:rsid w:val="00D21F00"/>
    <w:rsid w:val="00D22393"/>
    <w:rsid w:val="00D23BB5"/>
    <w:rsid w:val="00D254EC"/>
    <w:rsid w:val="00D341C7"/>
    <w:rsid w:val="00D37772"/>
    <w:rsid w:val="00D4249F"/>
    <w:rsid w:val="00D438D2"/>
    <w:rsid w:val="00D4398B"/>
    <w:rsid w:val="00D43E5E"/>
    <w:rsid w:val="00D46F78"/>
    <w:rsid w:val="00D51417"/>
    <w:rsid w:val="00D52ACF"/>
    <w:rsid w:val="00D5606F"/>
    <w:rsid w:val="00D56169"/>
    <w:rsid w:val="00D57738"/>
    <w:rsid w:val="00D64C97"/>
    <w:rsid w:val="00D6594C"/>
    <w:rsid w:val="00D6787F"/>
    <w:rsid w:val="00D67A97"/>
    <w:rsid w:val="00D708D6"/>
    <w:rsid w:val="00D70F29"/>
    <w:rsid w:val="00D71B71"/>
    <w:rsid w:val="00D72CE0"/>
    <w:rsid w:val="00D75567"/>
    <w:rsid w:val="00D76199"/>
    <w:rsid w:val="00D764A8"/>
    <w:rsid w:val="00D85434"/>
    <w:rsid w:val="00D90CBD"/>
    <w:rsid w:val="00D91183"/>
    <w:rsid w:val="00D91973"/>
    <w:rsid w:val="00D92FD0"/>
    <w:rsid w:val="00D944FD"/>
    <w:rsid w:val="00D94E50"/>
    <w:rsid w:val="00D94FE2"/>
    <w:rsid w:val="00D9560E"/>
    <w:rsid w:val="00D968B3"/>
    <w:rsid w:val="00DA05D5"/>
    <w:rsid w:val="00DA5A06"/>
    <w:rsid w:val="00DA6665"/>
    <w:rsid w:val="00DB15BA"/>
    <w:rsid w:val="00DB3825"/>
    <w:rsid w:val="00DB46B2"/>
    <w:rsid w:val="00DB5212"/>
    <w:rsid w:val="00DB5BAA"/>
    <w:rsid w:val="00DB6DD5"/>
    <w:rsid w:val="00DC1084"/>
    <w:rsid w:val="00DC242B"/>
    <w:rsid w:val="00DC2FCF"/>
    <w:rsid w:val="00DC301F"/>
    <w:rsid w:val="00DC4F68"/>
    <w:rsid w:val="00DD2447"/>
    <w:rsid w:val="00DE076A"/>
    <w:rsid w:val="00DE0A94"/>
    <w:rsid w:val="00DE2EA3"/>
    <w:rsid w:val="00DE455C"/>
    <w:rsid w:val="00DE505D"/>
    <w:rsid w:val="00DE782E"/>
    <w:rsid w:val="00DF09A0"/>
    <w:rsid w:val="00DF184E"/>
    <w:rsid w:val="00DF2549"/>
    <w:rsid w:val="00DF41C1"/>
    <w:rsid w:val="00DF5B66"/>
    <w:rsid w:val="00E12AB9"/>
    <w:rsid w:val="00E1389A"/>
    <w:rsid w:val="00E1442C"/>
    <w:rsid w:val="00E1610E"/>
    <w:rsid w:val="00E173CD"/>
    <w:rsid w:val="00E17A56"/>
    <w:rsid w:val="00E20026"/>
    <w:rsid w:val="00E20317"/>
    <w:rsid w:val="00E216CC"/>
    <w:rsid w:val="00E23F52"/>
    <w:rsid w:val="00E24E2E"/>
    <w:rsid w:val="00E256F4"/>
    <w:rsid w:val="00E26382"/>
    <w:rsid w:val="00E2688E"/>
    <w:rsid w:val="00E271BB"/>
    <w:rsid w:val="00E301E3"/>
    <w:rsid w:val="00E307FB"/>
    <w:rsid w:val="00E30AE1"/>
    <w:rsid w:val="00E311DC"/>
    <w:rsid w:val="00E33DD1"/>
    <w:rsid w:val="00E35CA0"/>
    <w:rsid w:val="00E41FC9"/>
    <w:rsid w:val="00E42471"/>
    <w:rsid w:val="00E43832"/>
    <w:rsid w:val="00E44B15"/>
    <w:rsid w:val="00E4582F"/>
    <w:rsid w:val="00E46118"/>
    <w:rsid w:val="00E46B43"/>
    <w:rsid w:val="00E509AD"/>
    <w:rsid w:val="00E51997"/>
    <w:rsid w:val="00E53FD3"/>
    <w:rsid w:val="00E55511"/>
    <w:rsid w:val="00E55F5B"/>
    <w:rsid w:val="00E617F9"/>
    <w:rsid w:val="00E61FA3"/>
    <w:rsid w:val="00E627E4"/>
    <w:rsid w:val="00E62E6F"/>
    <w:rsid w:val="00E63D31"/>
    <w:rsid w:val="00E646BC"/>
    <w:rsid w:val="00E6549A"/>
    <w:rsid w:val="00E670E3"/>
    <w:rsid w:val="00E71268"/>
    <w:rsid w:val="00E77CC3"/>
    <w:rsid w:val="00E80C28"/>
    <w:rsid w:val="00E83C0E"/>
    <w:rsid w:val="00E8527C"/>
    <w:rsid w:val="00E901A1"/>
    <w:rsid w:val="00E91A80"/>
    <w:rsid w:val="00E94E47"/>
    <w:rsid w:val="00E9635D"/>
    <w:rsid w:val="00EA08CA"/>
    <w:rsid w:val="00EA3946"/>
    <w:rsid w:val="00EA72EF"/>
    <w:rsid w:val="00EB0DC4"/>
    <w:rsid w:val="00EB414D"/>
    <w:rsid w:val="00EB6D82"/>
    <w:rsid w:val="00EB77C3"/>
    <w:rsid w:val="00EC10F9"/>
    <w:rsid w:val="00EC4A58"/>
    <w:rsid w:val="00EC50A4"/>
    <w:rsid w:val="00EC7EF2"/>
    <w:rsid w:val="00ED171F"/>
    <w:rsid w:val="00ED193D"/>
    <w:rsid w:val="00ED251D"/>
    <w:rsid w:val="00EE068F"/>
    <w:rsid w:val="00EE1B0B"/>
    <w:rsid w:val="00EE34CB"/>
    <w:rsid w:val="00EE3ACF"/>
    <w:rsid w:val="00EE4A06"/>
    <w:rsid w:val="00EE4A36"/>
    <w:rsid w:val="00EE4FED"/>
    <w:rsid w:val="00EE5A81"/>
    <w:rsid w:val="00EF30D4"/>
    <w:rsid w:val="00EF3764"/>
    <w:rsid w:val="00EF46A5"/>
    <w:rsid w:val="00F01F2A"/>
    <w:rsid w:val="00F02D9F"/>
    <w:rsid w:val="00F12CE8"/>
    <w:rsid w:val="00F14F19"/>
    <w:rsid w:val="00F160F7"/>
    <w:rsid w:val="00F23C86"/>
    <w:rsid w:val="00F23EBA"/>
    <w:rsid w:val="00F271EB"/>
    <w:rsid w:val="00F31D6C"/>
    <w:rsid w:val="00F32CB5"/>
    <w:rsid w:val="00F338CA"/>
    <w:rsid w:val="00F338E7"/>
    <w:rsid w:val="00F34298"/>
    <w:rsid w:val="00F35E63"/>
    <w:rsid w:val="00F36276"/>
    <w:rsid w:val="00F36D47"/>
    <w:rsid w:val="00F37167"/>
    <w:rsid w:val="00F37B17"/>
    <w:rsid w:val="00F40780"/>
    <w:rsid w:val="00F45DFB"/>
    <w:rsid w:val="00F46C13"/>
    <w:rsid w:val="00F5064E"/>
    <w:rsid w:val="00F54045"/>
    <w:rsid w:val="00F60950"/>
    <w:rsid w:val="00F62A9E"/>
    <w:rsid w:val="00F62C70"/>
    <w:rsid w:val="00F645E6"/>
    <w:rsid w:val="00F76D9C"/>
    <w:rsid w:val="00F81E5C"/>
    <w:rsid w:val="00F822DC"/>
    <w:rsid w:val="00F8568C"/>
    <w:rsid w:val="00F85B95"/>
    <w:rsid w:val="00F860A3"/>
    <w:rsid w:val="00F86139"/>
    <w:rsid w:val="00F876B0"/>
    <w:rsid w:val="00F91DDA"/>
    <w:rsid w:val="00F923C5"/>
    <w:rsid w:val="00FA0B61"/>
    <w:rsid w:val="00FA60D9"/>
    <w:rsid w:val="00FA6118"/>
    <w:rsid w:val="00FB13A1"/>
    <w:rsid w:val="00FB1C4F"/>
    <w:rsid w:val="00FB3877"/>
    <w:rsid w:val="00FB51B7"/>
    <w:rsid w:val="00FC015A"/>
    <w:rsid w:val="00FC1DCE"/>
    <w:rsid w:val="00FC27DD"/>
    <w:rsid w:val="00FC5E95"/>
    <w:rsid w:val="00FC6078"/>
    <w:rsid w:val="00FC7F8C"/>
    <w:rsid w:val="00FD0419"/>
    <w:rsid w:val="00FD2070"/>
    <w:rsid w:val="00FD232B"/>
    <w:rsid w:val="00FD2ED6"/>
    <w:rsid w:val="00FD689A"/>
    <w:rsid w:val="00FE0F86"/>
    <w:rsid w:val="00FE16F3"/>
    <w:rsid w:val="00FE3194"/>
    <w:rsid w:val="00FE7DC1"/>
    <w:rsid w:val="00FE7F72"/>
    <w:rsid w:val="00FF5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C481A4B0-4C1D-42A0-B5A4-279823BD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A3A"/>
    <w:rPr>
      <w:sz w:val="24"/>
      <w:szCs w:val="24"/>
    </w:rPr>
  </w:style>
  <w:style w:type="paragraph" w:styleId="Heading1">
    <w:name w:val="heading 1"/>
    <w:basedOn w:val="Normal"/>
    <w:next w:val="Normal"/>
    <w:link w:val="Heading1Char"/>
    <w:qFormat/>
    <w:rsid w:val="00B01E1D"/>
    <w:pPr>
      <w:outlineLvl w:val="0"/>
    </w:pPr>
    <w:rPr>
      <w:rFonts w:ascii="Arial" w:hAnsi="Arial" w:cs="Arial"/>
      <w:b/>
      <w:sz w:val="28"/>
      <w:szCs w:val="28"/>
    </w:rPr>
  </w:style>
  <w:style w:type="paragraph" w:styleId="Heading2">
    <w:name w:val="heading 2"/>
    <w:basedOn w:val="Normal"/>
    <w:next w:val="Normal"/>
    <w:link w:val="Heading2Char"/>
    <w:unhideWhenUsed/>
    <w:qFormat/>
    <w:rsid w:val="003005B9"/>
    <w:pPr>
      <w:outlineLvl w:val="1"/>
    </w:pPr>
    <w:rPr>
      <w:rFonts w:ascii="Arial" w:hAnsi="Arial" w:cs="Arial"/>
      <w:b/>
    </w:rPr>
  </w:style>
  <w:style w:type="paragraph" w:styleId="Heading3">
    <w:name w:val="heading 3"/>
    <w:basedOn w:val="Heading2"/>
    <w:next w:val="Normal"/>
    <w:link w:val="Heading3Char"/>
    <w:unhideWhenUsed/>
    <w:qFormat/>
    <w:rsid w:val="005F4928"/>
    <w:pPr>
      <w:outlineLvl w:val="2"/>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B5A3A"/>
    <w:pPr>
      <w:jc w:val="center"/>
    </w:pPr>
    <w:rPr>
      <w:rFonts w:ascii="Arial" w:hAnsi="Arial" w:cs="Arial"/>
      <w:sz w:val="32"/>
      <w:szCs w:val="32"/>
    </w:rPr>
  </w:style>
  <w:style w:type="character" w:customStyle="1" w:styleId="TitleChar">
    <w:name w:val="Title Char"/>
    <w:basedOn w:val="DefaultParagraphFont"/>
    <w:link w:val="Title"/>
    <w:rsid w:val="007B5A3A"/>
    <w:rPr>
      <w:rFonts w:ascii="Arial" w:hAnsi="Arial" w:cs="Arial"/>
      <w:sz w:val="32"/>
      <w:szCs w:val="32"/>
    </w:rPr>
  </w:style>
  <w:style w:type="paragraph" w:styleId="BalloonText">
    <w:name w:val="Balloon Text"/>
    <w:basedOn w:val="Normal"/>
    <w:link w:val="BalloonTextChar"/>
    <w:rsid w:val="007B5A3A"/>
    <w:rPr>
      <w:rFonts w:ascii="Tahoma" w:hAnsi="Tahoma" w:cs="Tahoma"/>
      <w:sz w:val="16"/>
      <w:szCs w:val="16"/>
    </w:rPr>
  </w:style>
  <w:style w:type="character" w:customStyle="1" w:styleId="BalloonTextChar">
    <w:name w:val="Balloon Text Char"/>
    <w:basedOn w:val="DefaultParagraphFont"/>
    <w:link w:val="BalloonText"/>
    <w:rsid w:val="007B5A3A"/>
    <w:rPr>
      <w:rFonts w:ascii="Tahoma" w:hAnsi="Tahoma" w:cs="Tahoma"/>
      <w:sz w:val="16"/>
      <w:szCs w:val="16"/>
    </w:rPr>
  </w:style>
  <w:style w:type="character" w:customStyle="1" w:styleId="Heading1Char">
    <w:name w:val="Heading 1 Char"/>
    <w:basedOn w:val="DefaultParagraphFont"/>
    <w:link w:val="Heading1"/>
    <w:rsid w:val="00B01E1D"/>
    <w:rPr>
      <w:rFonts w:ascii="Arial" w:hAnsi="Arial" w:cs="Arial"/>
      <w:b/>
      <w:sz w:val="28"/>
      <w:szCs w:val="28"/>
    </w:rPr>
  </w:style>
  <w:style w:type="character" w:customStyle="1" w:styleId="Heading2Char">
    <w:name w:val="Heading 2 Char"/>
    <w:basedOn w:val="DefaultParagraphFont"/>
    <w:link w:val="Heading2"/>
    <w:rsid w:val="003005B9"/>
    <w:rPr>
      <w:rFonts w:ascii="Arial" w:hAnsi="Arial" w:cs="Arial"/>
      <w:b/>
      <w:sz w:val="24"/>
      <w:szCs w:val="24"/>
    </w:rPr>
  </w:style>
  <w:style w:type="character" w:customStyle="1" w:styleId="Heading3Char">
    <w:name w:val="Heading 3 Char"/>
    <w:basedOn w:val="DefaultParagraphFont"/>
    <w:link w:val="Heading3"/>
    <w:rsid w:val="005F4928"/>
    <w:rPr>
      <w:rFonts w:ascii="Arial" w:hAnsi="Arial" w:cs="Arial"/>
      <w:b/>
      <w:sz w:val="22"/>
      <w:szCs w:val="22"/>
    </w:rPr>
  </w:style>
  <w:style w:type="paragraph" w:styleId="TOC1">
    <w:name w:val="toc 1"/>
    <w:basedOn w:val="Normal"/>
    <w:next w:val="Normal"/>
    <w:autoRedefine/>
    <w:uiPriority w:val="39"/>
    <w:rsid w:val="009E5030"/>
    <w:pPr>
      <w:tabs>
        <w:tab w:val="right" w:leader="hyphen" w:pos="9344"/>
      </w:tabs>
      <w:spacing w:after="100"/>
    </w:pPr>
    <w:rPr>
      <w:rFonts w:ascii="Arial" w:hAnsi="Arial" w:cs="Arial"/>
      <w:noProof/>
      <w:sz w:val="22"/>
      <w:szCs w:val="22"/>
    </w:rPr>
  </w:style>
  <w:style w:type="paragraph" w:styleId="TOC2">
    <w:name w:val="toc 2"/>
    <w:basedOn w:val="Normal"/>
    <w:next w:val="Normal"/>
    <w:autoRedefine/>
    <w:uiPriority w:val="39"/>
    <w:rsid w:val="009E5030"/>
    <w:pPr>
      <w:tabs>
        <w:tab w:val="right" w:leader="hyphen" w:pos="9344"/>
      </w:tabs>
      <w:spacing w:after="100"/>
      <w:ind w:left="240"/>
    </w:pPr>
    <w:rPr>
      <w:rFonts w:ascii="Arial" w:hAnsi="Arial" w:cs="Arial"/>
      <w:noProof/>
      <w:sz w:val="22"/>
      <w:szCs w:val="22"/>
    </w:rPr>
  </w:style>
  <w:style w:type="paragraph" w:styleId="TOC3">
    <w:name w:val="toc 3"/>
    <w:basedOn w:val="Normal"/>
    <w:next w:val="Normal"/>
    <w:autoRedefine/>
    <w:uiPriority w:val="39"/>
    <w:rsid w:val="0050435A"/>
    <w:pPr>
      <w:spacing w:after="100"/>
      <w:ind w:left="480"/>
    </w:pPr>
  </w:style>
  <w:style w:type="character" w:styleId="Hyperlink">
    <w:name w:val="Hyperlink"/>
    <w:basedOn w:val="DefaultParagraphFont"/>
    <w:uiPriority w:val="99"/>
    <w:unhideWhenUsed/>
    <w:rsid w:val="0050435A"/>
    <w:rPr>
      <w:color w:val="0000FF" w:themeColor="hyperlink"/>
      <w:u w:val="single"/>
    </w:rPr>
  </w:style>
  <w:style w:type="paragraph" w:styleId="FootnoteText">
    <w:name w:val="footnote text"/>
    <w:basedOn w:val="Normal"/>
    <w:link w:val="FootnoteTextChar"/>
    <w:uiPriority w:val="99"/>
    <w:unhideWhenUsed/>
    <w:rsid w:val="004E3C0B"/>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rsid w:val="004E3C0B"/>
    <w:rPr>
      <w:rFonts w:asciiTheme="minorHAnsi" w:eastAsiaTheme="minorHAnsi" w:hAnsiTheme="minorHAnsi" w:cstheme="minorBidi"/>
      <w:lang w:eastAsia="en-US"/>
    </w:rPr>
  </w:style>
  <w:style w:type="character" w:styleId="FootnoteReference">
    <w:name w:val="footnote reference"/>
    <w:basedOn w:val="DefaultParagraphFont"/>
    <w:unhideWhenUsed/>
    <w:rsid w:val="004E3C0B"/>
    <w:rPr>
      <w:vertAlign w:val="superscript"/>
    </w:rPr>
  </w:style>
  <w:style w:type="paragraph" w:styleId="ListParagraph">
    <w:name w:val="List Paragraph"/>
    <w:basedOn w:val="Normal"/>
    <w:uiPriority w:val="34"/>
    <w:qFormat/>
    <w:rsid w:val="0087546B"/>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D37772"/>
    <w:rPr>
      <w:sz w:val="16"/>
      <w:szCs w:val="16"/>
    </w:rPr>
  </w:style>
  <w:style w:type="paragraph" w:styleId="CommentText">
    <w:name w:val="annotation text"/>
    <w:basedOn w:val="Normal"/>
    <w:link w:val="CommentTextChar"/>
    <w:uiPriority w:val="99"/>
    <w:unhideWhenUsed/>
    <w:rsid w:val="00D37772"/>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D37772"/>
    <w:rPr>
      <w:rFonts w:asciiTheme="minorHAnsi" w:eastAsiaTheme="minorHAnsi" w:hAnsiTheme="minorHAnsi" w:cstheme="minorBidi"/>
      <w:lang w:eastAsia="en-US"/>
    </w:rPr>
  </w:style>
  <w:style w:type="paragraph" w:styleId="PlainText">
    <w:name w:val="Plain Text"/>
    <w:basedOn w:val="Normal"/>
    <w:link w:val="PlainTextChar"/>
    <w:uiPriority w:val="99"/>
    <w:unhideWhenUsed/>
    <w:rsid w:val="00C21D57"/>
    <w:rPr>
      <w:rFonts w:ascii="Calibri" w:hAnsi="Calibri" w:cs="Consolas"/>
      <w:sz w:val="22"/>
      <w:szCs w:val="21"/>
      <w:lang w:eastAsia="en-US"/>
    </w:rPr>
  </w:style>
  <w:style w:type="character" w:customStyle="1" w:styleId="PlainTextChar">
    <w:name w:val="Plain Text Char"/>
    <w:basedOn w:val="DefaultParagraphFont"/>
    <w:link w:val="PlainText"/>
    <w:uiPriority w:val="99"/>
    <w:rsid w:val="00C21D57"/>
    <w:rPr>
      <w:rFonts w:ascii="Calibri" w:hAnsi="Calibri" w:cs="Consolas"/>
      <w:sz w:val="22"/>
      <w:szCs w:val="21"/>
      <w:lang w:eastAsia="en-US"/>
    </w:rPr>
  </w:style>
  <w:style w:type="paragraph" w:styleId="CommentSubject">
    <w:name w:val="annotation subject"/>
    <w:basedOn w:val="CommentText"/>
    <w:next w:val="CommentText"/>
    <w:link w:val="CommentSubjectChar"/>
    <w:rsid w:val="006404D3"/>
    <w:pPr>
      <w:spacing w:after="0"/>
    </w:pPr>
    <w:rPr>
      <w:rFonts w:ascii="Times New Roman" w:eastAsia="Times New Roman" w:hAnsi="Times New Roman" w:cs="Times New Roman"/>
      <w:b/>
      <w:bCs/>
      <w:lang w:eastAsia="en-AU"/>
    </w:rPr>
  </w:style>
  <w:style w:type="character" w:customStyle="1" w:styleId="CommentSubjectChar">
    <w:name w:val="Comment Subject Char"/>
    <w:basedOn w:val="CommentTextChar"/>
    <w:link w:val="CommentSubject"/>
    <w:rsid w:val="006404D3"/>
    <w:rPr>
      <w:rFonts w:asciiTheme="minorHAnsi" w:eastAsiaTheme="minorHAnsi" w:hAnsiTheme="minorHAnsi" w:cstheme="minorBidi"/>
      <w:b/>
      <w:bCs/>
      <w:lang w:eastAsia="en-US"/>
    </w:rPr>
  </w:style>
  <w:style w:type="paragraph" w:styleId="Revision">
    <w:name w:val="Revision"/>
    <w:hidden/>
    <w:uiPriority w:val="99"/>
    <w:semiHidden/>
    <w:rsid w:val="00DF2549"/>
    <w:rPr>
      <w:sz w:val="24"/>
      <w:szCs w:val="24"/>
    </w:rPr>
  </w:style>
  <w:style w:type="paragraph" w:styleId="Header">
    <w:name w:val="header"/>
    <w:basedOn w:val="Normal"/>
    <w:link w:val="HeaderChar"/>
    <w:rsid w:val="006F1414"/>
    <w:pPr>
      <w:tabs>
        <w:tab w:val="center" w:pos="4513"/>
        <w:tab w:val="right" w:pos="9026"/>
      </w:tabs>
    </w:pPr>
  </w:style>
  <w:style w:type="character" w:customStyle="1" w:styleId="HeaderChar">
    <w:name w:val="Header Char"/>
    <w:basedOn w:val="DefaultParagraphFont"/>
    <w:link w:val="Header"/>
    <w:rsid w:val="006F1414"/>
    <w:rPr>
      <w:sz w:val="24"/>
      <w:szCs w:val="24"/>
    </w:rPr>
  </w:style>
  <w:style w:type="paragraph" w:styleId="Footer">
    <w:name w:val="footer"/>
    <w:basedOn w:val="Normal"/>
    <w:link w:val="FooterChar"/>
    <w:uiPriority w:val="99"/>
    <w:rsid w:val="006F1414"/>
    <w:pPr>
      <w:tabs>
        <w:tab w:val="center" w:pos="4513"/>
        <w:tab w:val="right" w:pos="9026"/>
      </w:tabs>
    </w:pPr>
  </w:style>
  <w:style w:type="character" w:customStyle="1" w:styleId="FooterChar">
    <w:name w:val="Footer Char"/>
    <w:basedOn w:val="DefaultParagraphFont"/>
    <w:link w:val="Footer"/>
    <w:uiPriority w:val="99"/>
    <w:rsid w:val="006F1414"/>
    <w:rPr>
      <w:sz w:val="24"/>
      <w:szCs w:val="24"/>
    </w:rPr>
  </w:style>
  <w:style w:type="character" w:styleId="Emphasis">
    <w:name w:val="Emphasis"/>
    <w:qFormat/>
    <w:rsid w:val="003462E7"/>
    <w:rPr>
      <w:rFonts w:ascii="Arial" w:hAnsi="Arial" w:cs="Arial"/>
      <w: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3665">
      <w:bodyDiv w:val="1"/>
      <w:marLeft w:val="0"/>
      <w:marRight w:val="0"/>
      <w:marTop w:val="0"/>
      <w:marBottom w:val="0"/>
      <w:divBdr>
        <w:top w:val="none" w:sz="0" w:space="0" w:color="auto"/>
        <w:left w:val="none" w:sz="0" w:space="0" w:color="auto"/>
        <w:bottom w:val="none" w:sz="0" w:space="0" w:color="auto"/>
        <w:right w:val="none" w:sz="0" w:space="0" w:color="auto"/>
      </w:divBdr>
    </w:div>
    <w:div w:id="625048159">
      <w:bodyDiv w:val="1"/>
      <w:marLeft w:val="0"/>
      <w:marRight w:val="0"/>
      <w:marTop w:val="0"/>
      <w:marBottom w:val="0"/>
      <w:divBdr>
        <w:top w:val="none" w:sz="0" w:space="0" w:color="auto"/>
        <w:left w:val="none" w:sz="0" w:space="0" w:color="auto"/>
        <w:bottom w:val="none" w:sz="0" w:space="0" w:color="auto"/>
        <w:right w:val="none" w:sz="0" w:space="0" w:color="auto"/>
      </w:divBdr>
      <w:divsChild>
        <w:div w:id="68357605">
          <w:marLeft w:val="0"/>
          <w:marRight w:val="0"/>
          <w:marTop w:val="0"/>
          <w:marBottom w:val="0"/>
          <w:divBdr>
            <w:top w:val="none" w:sz="0" w:space="0" w:color="auto"/>
            <w:left w:val="none" w:sz="0" w:space="0" w:color="auto"/>
            <w:bottom w:val="none" w:sz="0" w:space="0" w:color="auto"/>
            <w:right w:val="none" w:sz="0" w:space="0" w:color="auto"/>
          </w:divBdr>
          <w:divsChild>
            <w:div w:id="33233668">
              <w:marLeft w:val="0"/>
              <w:marRight w:val="0"/>
              <w:marTop w:val="0"/>
              <w:marBottom w:val="0"/>
              <w:divBdr>
                <w:top w:val="none" w:sz="0" w:space="0" w:color="auto"/>
                <w:left w:val="none" w:sz="0" w:space="0" w:color="auto"/>
                <w:bottom w:val="none" w:sz="0" w:space="0" w:color="auto"/>
                <w:right w:val="none" w:sz="0" w:space="0" w:color="auto"/>
              </w:divBdr>
              <w:divsChild>
                <w:div w:id="141503581">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sChild>
    </w:div>
    <w:div w:id="710231648">
      <w:bodyDiv w:val="1"/>
      <w:marLeft w:val="0"/>
      <w:marRight w:val="0"/>
      <w:marTop w:val="0"/>
      <w:marBottom w:val="0"/>
      <w:divBdr>
        <w:top w:val="none" w:sz="0" w:space="0" w:color="auto"/>
        <w:left w:val="none" w:sz="0" w:space="0" w:color="auto"/>
        <w:bottom w:val="none" w:sz="0" w:space="0" w:color="auto"/>
        <w:right w:val="none" w:sz="0" w:space="0" w:color="auto"/>
      </w:divBdr>
    </w:div>
    <w:div w:id="799417924">
      <w:bodyDiv w:val="1"/>
      <w:marLeft w:val="0"/>
      <w:marRight w:val="0"/>
      <w:marTop w:val="0"/>
      <w:marBottom w:val="0"/>
      <w:divBdr>
        <w:top w:val="none" w:sz="0" w:space="0" w:color="auto"/>
        <w:left w:val="none" w:sz="0" w:space="0" w:color="auto"/>
        <w:bottom w:val="none" w:sz="0" w:space="0" w:color="auto"/>
        <w:right w:val="none" w:sz="0" w:space="0" w:color="auto"/>
      </w:divBdr>
    </w:div>
    <w:div w:id="958684322">
      <w:bodyDiv w:val="1"/>
      <w:marLeft w:val="0"/>
      <w:marRight w:val="0"/>
      <w:marTop w:val="0"/>
      <w:marBottom w:val="0"/>
      <w:divBdr>
        <w:top w:val="none" w:sz="0" w:space="0" w:color="auto"/>
        <w:left w:val="none" w:sz="0" w:space="0" w:color="auto"/>
        <w:bottom w:val="none" w:sz="0" w:space="0" w:color="auto"/>
        <w:right w:val="none" w:sz="0" w:space="0" w:color="auto"/>
      </w:divBdr>
    </w:div>
    <w:div w:id="985889267">
      <w:bodyDiv w:val="1"/>
      <w:marLeft w:val="0"/>
      <w:marRight w:val="0"/>
      <w:marTop w:val="0"/>
      <w:marBottom w:val="0"/>
      <w:divBdr>
        <w:top w:val="none" w:sz="0" w:space="0" w:color="auto"/>
        <w:left w:val="none" w:sz="0" w:space="0" w:color="auto"/>
        <w:bottom w:val="none" w:sz="0" w:space="0" w:color="auto"/>
        <w:right w:val="none" w:sz="0" w:space="0" w:color="auto"/>
      </w:divBdr>
    </w:div>
    <w:div w:id="987171381">
      <w:bodyDiv w:val="1"/>
      <w:marLeft w:val="0"/>
      <w:marRight w:val="0"/>
      <w:marTop w:val="0"/>
      <w:marBottom w:val="0"/>
      <w:divBdr>
        <w:top w:val="none" w:sz="0" w:space="0" w:color="auto"/>
        <w:left w:val="none" w:sz="0" w:space="0" w:color="auto"/>
        <w:bottom w:val="none" w:sz="0" w:space="0" w:color="auto"/>
        <w:right w:val="none" w:sz="0" w:space="0" w:color="auto"/>
      </w:divBdr>
    </w:div>
    <w:div w:id="993411624">
      <w:bodyDiv w:val="1"/>
      <w:marLeft w:val="0"/>
      <w:marRight w:val="0"/>
      <w:marTop w:val="0"/>
      <w:marBottom w:val="0"/>
      <w:divBdr>
        <w:top w:val="none" w:sz="0" w:space="0" w:color="auto"/>
        <w:left w:val="none" w:sz="0" w:space="0" w:color="auto"/>
        <w:bottom w:val="none" w:sz="0" w:space="0" w:color="auto"/>
        <w:right w:val="none" w:sz="0" w:space="0" w:color="auto"/>
      </w:divBdr>
    </w:div>
    <w:div w:id="1064136365">
      <w:bodyDiv w:val="1"/>
      <w:marLeft w:val="0"/>
      <w:marRight w:val="0"/>
      <w:marTop w:val="0"/>
      <w:marBottom w:val="0"/>
      <w:divBdr>
        <w:top w:val="none" w:sz="0" w:space="0" w:color="auto"/>
        <w:left w:val="none" w:sz="0" w:space="0" w:color="auto"/>
        <w:bottom w:val="none" w:sz="0" w:space="0" w:color="auto"/>
        <w:right w:val="none" w:sz="0" w:space="0" w:color="auto"/>
      </w:divBdr>
    </w:div>
    <w:div w:id="1080785531">
      <w:bodyDiv w:val="1"/>
      <w:marLeft w:val="0"/>
      <w:marRight w:val="0"/>
      <w:marTop w:val="0"/>
      <w:marBottom w:val="0"/>
      <w:divBdr>
        <w:top w:val="none" w:sz="0" w:space="0" w:color="auto"/>
        <w:left w:val="none" w:sz="0" w:space="0" w:color="auto"/>
        <w:bottom w:val="none" w:sz="0" w:space="0" w:color="auto"/>
        <w:right w:val="none" w:sz="0" w:space="0" w:color="auto"/>
      </w:divBdr>
    </w:div>
    <w:div w:id="1210727785">
      <w:bodyDiv w:val="1"/>
      <w:marLeft w:val="0"/>
      <w:marRight w:val="0"/>
      <w:marTop w:val="0"/>
      <w:marBottom w:val="0"/>
      <w:divBdr>
        <w:top w:val="none" w:sz="0" w:space="0" w:color="auto"/>
        <w:left w:val="none" w:sz="0" w:space="0" w:color="auto"/>
        <w:bottom w:val="none" w:sz="0" w:space="0" w:color="auto"/>
        <w:right w:val="none" w:sz="0" w:space="0" w:color="auto"/>
      </w:divBdr>
    </w:div>
    <w:div w:id="1374843358">
      <w:bodyDiv w:val="1"/>
      <w:marLeft w:val="0"/>
      <w:marRight w:val="0"/>
      <w:marTop w:val="0"/>
      <w:marBottom w:val="0"/>
      <w:divBdr>
        <w:top w:val="none" w:sz="0" w:space="0" w:color="auto"/>
        <w:left w:val="none" w:sz="0" w:space="0" w:color="auto"/>
        <w:bottom w:val="none" w:sz="0" w:space="0" w:color="auto"/>
        <w:right w:val="none" w:sz="0" w:space="0" w:color="auto"/>
      </w:divBdr>
    </w:div>
    <w:div w:id="1492477850">
      <w:bodyDiv w:val="1"/>
      <w:marLeft w:val="0"/>
      <w:marRight w:val="0"/>
      <w:marTop w:val="0"/>
      <w:marBottom w:val="0"/>
      <w:divBdr>
        <w:top w:val="none" w:sz="0" w:space="0" w:color="auto"/>
        <w:left w:val="none" w:sz="0" w:space="0" w:color="auto"/>
        <w:bottom w:val="none" w:sz="0" w:space="0" w:color="auto"/>
        <w:right w:val="none" w:sz="0" w:space="0" w:color="auto"/>
      </w:divBdr>
    </w:div>
    <w:div w:id="1532915812">
      <w:bodyDiv w:val="1"/>
      <w:marLeft w:val="0"/>
      <w:marRight w:val="0"/>
      <w:marTop w:val="0"/>
      <w:marBottom w:val="0"/>
      <w:divBdr>
        <w:top w:val="none" w:sz="0" w:space="0" w:color="auto"/>
        <w:left w:val="none" w:sz="0" w:space="0" w:color="auto"/>
        <w:bottom w:val="none" w:sz="0" w:space="0" w:color="auto"/>
        <w:right w:val="none" w:sz="0" w:space="0" w:color="auto"/>
      </w:divBdr>
    </w:div>
    <w:div w:id="1547794506">
      <w:bodyDiv w:val="1"/>
      <w:marLeft w:val="0"/>
      <w:marRight w:val="0"/>
      <w:marTop w:val="0"/>
      <w:marBottom w:val="0"/>
      <w:divBdr>
        <w:top w:val="none" w:sz="0" w:space="0" w:color="auto"/>
        <w:left w:val="none" w:sz="0" w:space="0" w:color="auto"/>
        <w:bottom w:val="none" w:sz="0" w:space="0" w:color="auto"/>
        <w:right w:val="none" w:sz="0" w:space="0" w:color="auto"/>
      </w:divBdr>
    </w:div>
    <w:div w:id="1718121178">
      <w:bodyDiv w:val="1"/>
      <w:marLeft w:val="0"/>
      <w:marRight w:val="0"/>
      <w:marTop w:val="0"/>
      <w:marBottom w:val="0"/>
      <w:divBdr>
        <w:top w:val="none" w:sz="0" w:space="0" w:color="auto"/>
        <w:left w:val="none" w:sz="0" w:space="0" w:color="auto"/>
        <w:bottom w:val="none" w:sz="0" w:space="0" w:color="auto"/>
        <w:right w:val="none" w:sz="0" w:space="0" w:color="auto"/>
      </w:divBdr>
    </w:div>
    <w:div w:id="1780024870">
      <w:bodyDiv w:val="1"/>
      <w:marLeft w:val="0"/>
      <w:marRight w:val="0"/>
      <w:marTop w:val="0"/>
      <w:marBottom w:val="0"/>
      <w:divBdr>
        <w:top w:val="none" w:sz="0" w:space="0" w:color="auto"/>
        <w:left w:val="none" w:sz="0" w:space="0" w:color="auto"/>
        <w:bottom w:val="none" w:sz="0" w:space="0" w:color="auto"/>
        <w:right w:val="none" w:sz="0" w:space="0" w:color="auto"/>
      </w:divBdr>
    </w:div>
    <w:div w:id="1905874566">
      <w:bodyDiv w:val="1"/>
      <w:marLeft w:val="0"/>
      <w:marRight w:val="0"/>
      <w:marTop w:val="0"/>
      <w:marBottom w:val="0"/>
      <w:divBdr>
        <w:top w:val="none" w:sz="0" w:space="0" w:color="auto"/>
        <w:left w:val="none" w:sz="0" w:space="0" w:color="auto"/>
        <w:bottom w:val="none" w:sz="0" w:space="0" w:color="auto"/>
        <w:right w:val="none" w:sz="0" w:space="0" w:color="auto"/>
      </w:divBdr>
    </w:div>
    <w:div w:id="1917930849">
      <w:bodyDiv w:val="1"/>
      <w:marLeft w:val="0"/>
      <w:marRight w:val="0"/>
      <w:marTop w:val="0"/>
      <w:marBottom w:val="0"/>
      <w:divBdr>
        <w:top w:val="none" w:sz="0" w:space="0" w:color="auto"/>
        <w:left w:val="none" w:sz="0" w:space="0" w:color="auto"/>
        <w:bottom w:val="none" w:sz="0" w:space="0" w:color="auto"/>
        <w:right w:val="none" w:sz="0" w:space="0" w:color="auto"/>
      </w:divBdr>
    </w:div>
    <w:div w:id="1974286181">
      <w:bodyDiv w:val="1"/>
      <w:marLeft w:val="0"/>
      <w:marRight w:val="0"/>
      <w:marTop w:val="0"/>
      <w:marBottom w:val="0"/>
      <w:divBdr>
        <w:top w:val="none" w:sz="0" w:space="0" w:color="auto"/>
        <w:left w:val="none" w:sz="0" w:space="0" w:color="auto"/>
        <w:bottom w:val="none" w:sz="0" w:space="0" w:color="auto"/>
        <w:right w:val="none" w:sz="0" w:space="0" w:color="auto"/>
      </w:divBdr>
    </w:div>
    <w:div w:id="197756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jpeg"/><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ustlii.edu.au/au/legis/cth/consol_act/caaca199738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image" Target="media/image3.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pc.gov.au/__data/assets/pdf_file/0009/134676/infrastructure-draft-volume2.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2" Type="http://schemas.openxmlformats.org/officeDocument/2006/relationships/oleObject" Target="file:///\\EPNAS100\SPECIAL$\OFSC\Reporting%20and%20Communication\Review%202014%20documents\Accreditation%20Survey.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EPNAS002\KB2508$\Desktop\Audit%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lang="en-AU" sz="1200" b="1" i="0" u="none" strike="noStrike" kern="1200" baseline="0">
                <a:solidFill>
                  <a:sysClr val="windowText" lastClr="000000"/>
                </a:solidFill>
                <a:latin typeface="+mn-lt"/>
                <a:ea typeface="+mn-ea"/>
                <a:cs typeface="+mn-cs"/>
              </a:defRPr>
            </a:pPr>
            <a:r>
              <a:rPr lang="en-AU" sz="1200" b="1" i="0" u="none" strike="noStrike" kern="1200" baseline="0">
                <a:solidFill>
                  <a:sysClr val="windowText" lastClr="000000"/>
                </a:solidFill>
                <a:latin typeface="+mn-lt"/>
                <a:ea typeface="+mn-ea"/>
                <a:cs typeface="+mn-cs"/>
              </a:rPr>
              <a:t>Has accreditation improved workplace safety and whole of organisation safety culture?</a:t>
            </a:r>
          </a:p>
          <a:p>
            <a:pPr algn="ctr" rtl="0">
              <a:defRPr lang="en-AU" sz="1200" b="1" i="0" u="none" strike="noStrike" kern="1200" baseline="0">
                <a:solidFill>
                  <a:sysClr val="windowText" lastClr="000000"/>
                </a:solidFill>
                <a:latin typeface="+mn-lt"/>
                <a:ea typeface="+mn-ea"/>
                <a:cs typeface="+mn-cs"/>
              </a:defRPr>
            </a:pPr>
            <a:r>
              <a:rPr lang="en-AU" sz="1200" b="1" i="0" u="none" strike="noStrike" kern="1200" baseline="0">
                <a:solidFill>
                  <a:sysClr val="windowText" lastClr="000000"/>
                </a:solidFill>
                <a:latin typeface="+mn-lt"/>
                <a:ea typeface="+mn-ea"/>
                <a:cs typeface="+mn-cs"/>
              </a:rPr>
              <a:t>(percentage that responded yes) </a:t>
            </a:r>
          </a:p>
        </c:rich>
      </c:tx>
      <c:layout/>
      <c:overlay val="0"/>
    </c:title>
    <c:autoTitleDeleted val="0"/>
    <c:plotArea>
      <c:layout>
        <c:manualLayout>
          <c:layoutTarget val="inner"/>
          <c:xMode val="edge"/>
          <c:yMode val="edge"/>
          <c:x val="0.10854885927720573"/>
          <c:y val="0.22356900413626307"/>
          <c:w val="0.7141111447607511"/>
          <c:h val="0.50930480548570167"/>
        </c:manualLayout>
      </c:layout>
      <c:barChart>
        <c:barDir val="col"/>
        <c:grouping val="clustered"/>
        <c:varyColors val="0"/>
        <c:ser>
          <c:idx val="0"/>
          <c:order val="0"/>
          <c:tx>
            <c:strRef>
              <c:f>Graphs!$N$103</c:f>
              <c:strCache>
                <c:ptCount val="1"/>
                <c:pt idx="0">
                  <c:v>Safety improvement</c:v>
                </c:pt>
              </c:strCache>
            </c:strRef>
          </c:tx>
          <c:invertIfNegative val="0"/>
          <c:cat>
            <c:strRef>
              <c:f>Graphs!$O$102:$Y$102</c:f>
              <c:strCache>
                <c:ptCount val="11"/>
                <c:pt idx="0">
                  <c:v>1 to 19 employees</c:v>
                </c:pt>
                <c:pt idx="1">
                  <c:v>20 to 199 employees</c:v>
                </c:pt>
                <c:pt idx="2">
                  <c:v>200 + employees</c:v>
                </c:pt>
                <c:pt idx="3">
                  <c:v>Civil</c:v>
                </c:pt>
                <c:pt idx="4">
                  <c:v>Commercial</c:v>
                </c:pt>
                <c:pt idx="5">
                  <c:v>Residential</c:v>
                </c:pt>
                <c:pt idx="6">
                  <c:v>&lt; 1 year</c:v>
                </c:pt>
                <c:pt idx="7">
                  <c:v>1 year &lt; 3 years</c:v>
                </c:pt>
                <c:pt idx="8">
                  <c:v>3 years &lt; 5 years</c:v>
                </c:pt>
                <c:pt idx="9">
                  <c:v>&gt; 5 years</c:v>
                </c:pt>
                <c:pt idx="10">
                  <c:v>All respondents</c:v>
                </c:pt>
              </c:strCache>
            </c:strRef>
          </c:cat>
          <c:val>
            <c:numRef>
              <c:f>Graphs!$O$103:$Y$103</c:f>
              <c:numCache>
                <c:formatCode>0.00%</c:formatCode>
                <c:ptCount val="11"/>
                <c:pt idx="0">
                  <c:v>0.94444444444444442</c:v>
                </c:pt>
                <c:pt idx="1">
                  <c:v>0.80597014925373134</c:v>
                </c:pt>
                <c:pt idx="2">
                  <c:v>0.70731707317073167</c:v>
                </c:pt>
                <c:pt idx="3">
                  <c:v>0.80597014925373134</c:v>
                </c:pt>
                <c:pt idx="4">
                  <c:v>0.80232558139534882</c:v>
                </c:pt>
                <c:pt idx="5">
                  <c:v>0.86206896551724133</c:v>
                </c:pt>
                <c:pt idx="6">
                  <c:v>0.85</c:v>
                </c:pt>
                <c:pt idx="7">
                  <c:v>0.82499999999999996</c:v>
                </c:pt>
                <c:pt idx="8">
                  <c:v>0.83899999999999997</c:v>
                </c:pt>
                <c:pt idx="9">
                  <c:v>0.68600000000000005</c:v>
                </c:pt>
                <c:pt idx="10">
                  <c:v>0.79365079365079361</c:v>
                </c:pt>
              </c:numCache>
            </c:numRef>
          </c:val>
          <c:extLst>
            <c:ext xmlns:c16="http://schemas.microsoft.com/office/drawing/2014/chart" uri="{C3380CC4-5D6E-409C-BE32-E72D297353CC}">
              <c16:uniqueId val="{00000000-7629-421F-81FA-0D0621CB5817}"/>
            </c:ext>
          </c:extLst>
        </c:ser>
        <c:ser>
          <c:idx val="1"/>
          <c:order val="1"/>
          <c:tx>
            <c:strRef>
              <c:f>Graphs!$N$104</c:f>
              <c:strCache>
                <c:ptCount val="1"/>
                <c:pt idx="0">
                  <c:v>Safety culture improvement</c:v>
                </c:pt>
              </c:strCache>
            </c:strRef>
          </c:tx>
          <c:invertIfNegative val="0"/>
          <c:cat>
            <c:strRef>
              <c:f>Graphs!$O$102:$Y$102</c:f>
              <c:strCache>
                <c:ptCount val="11"/>
                <c:pt idx="0">
                  <c:v>1 to 19 employees</c:v>
                </c:pt>
                <c:pt idx="1">
                  <c:v>20 to 199 employees</c:v>
                </c:pt>
                <c:pt idx="2">
                  <c:v>200 + employees</c:v>
                </c:pt>
                <c:pt idx="3">
                  <c:v>Civil</c:v>
                </c:pt>
                <c:pt idx="4">
                  <c:v>Commercial</c:v>
                </c:pt>
                <c:pt idx="5">
                  <c:v>Residential</c:v>
                </c:pt>
                <c:pt idx="6">
                  <c:v>&lt; 1 year</c:v>
                </c:pt>
                <c:pt idx="7">
                  <c:v>1 year &lt; 3 years</c:v>
                </c:pt>
                <c:pt idx="8">
                  <c:v>3 years &lt; 5 years</c:v>
                </c:pt>
                <c:pt idx="9">
                  <c:v>&gt; 5 years</c:v>
                </c:pt>
                <c:pt idx="10">
                  <c:v>All respondents</c:v>
                </c:pt>
              </c:strCache>
            </c:strRef>
          </c:cat>
          <c:val>
            <c:numRef>
              <c:f>Graphs!$O$104:$Y$104</c:f>
              <c:numCache>
                <c:formatCode>0.00%</c:formatCode>
                <c:ptCount val="11"/>
                <c:pt idx="0">
                  <c:v>0.88888888888888884</c:v>
                </c:pt>
                <c:pt idx="1">
                  <c:v>0.80597014925373134</c:v>
                </c:pt>
                <c:pt idx="2">
                  <c:v>0.68292682926829273</c:v>
                </c:pt>
                <c:pt idx="3">
                  <c:v>0.83582089552238803</c:v>
                </c:pt>
                <c:pt idx="4">
                  <c:v>0.7558139534883721</c:v>
                </c:pt>
                <c:pt idx="5">
                  <c:v>0.7931034482758621</c:v>
                </c:pt>
                <c:pt idx="6">
                  <c:v>0.9</c:v>
                </c:pt>
                <c:pt idx="7">
                  <c:v>0.875</c:v>
                </c:pt>
                <c:pt idx="8">
                  <c:v>0.74199999999999999</c:v>
                </c:pt>
                <c:pt idx="9">
                  <c:v>0.629</c:v>
                </c:pt>
                <c:pt idx="10">
                  <c:v>0.77777777777777779</c:v>
                </c:pt>
              </c:numCache>
            </c:numRef>
          </c:val>
          <c:extLst>
            <c:ext xmlns:c16="http://schemas.microsoft.com/office/drawing/2014/chart" uri="{C3380CC4-5D6E-409C-BE32-E72D297353CC}">
              <c16:uniqueId val="{00000001-7629-421F-81FA-0D0621CB5817}"/>
            </c:ext>
          </c:extLst>
        </c:ser>
        <c:dLbls>
          <c:showLegendKey val="0"/>
          <c:showVal val="0"/>
          <c:showCatName val="0"/>
          <c:showSerName val="0"/>
          <c:showPercent val="0"/>
          <c:showBubbleSize val="0"/>
        </c:dLbls>
        <c:gapWidth val="150"/>
        <c:axId val="111907968"/>
        <c:axId val="111909888"/>
      </c:barChart>
      <c:catAx>
        <c:axId val="111907968"/>
        <c:scaling>
          <c:orientation val="minMax"/>
        </c:scaling>
        <c:delete val="0"/>
        <c:axPos val="b"/>
        <c:numFmt formatCode="General" sourceLinked="0"/>
        <c:majorTickMark val="out"/>
        <c:minorTickMark val="none"/>
        <c:tickLblPos val="nextTo"/>
        <c:crossAx val="111909888"/>
        <c:crosses val="autoZero"/>
        <c:auto val="1"/>
        <c:lblAlgn val="ctr"/>
        <c:lblOffset val="100"/>
        <c:noMultiLvlLbl val="0"/>
      </c:catAx>
      <c:valAx>
        <c:axId val="111909888"/>
        <c:scaling>
          <c:orientation val="minMax"/>
        </c:scaling>
        <c:delete val="0"/>
        <c:axPos val="l"/>
        <c:majorGridlines/>
        <c:numFmt formatCode="0.00%" sourceLinked="1"/>
        <c:majorTickMark val="out"/>
        <c:minorTickMark val="none"/>
        <c:tickLblPos val="nextTo"/>
        <c:crossAx val="111907968"/>
        <c:crosses val="autoZero"/>
        <c:crossBetween val="between"/>
      </c:valAx>
    </c:plotArea>
    <c:legend>
      <c:legendPos val="r"/>
      <c:layout>
        <c:manualLayout>
          <c:xMode val="edge"/>
          <c:yMode val="edge"/>
          <c:x val="0.83548051685846958"/>
          <c:y val="0.40712756455181326"/>
          <c:w val="0.15169897032101756"/>
          <c:h val="0.2483973011226999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AU" sz="1200"/>
              <a:t>Self-assessed</a:t>
            </a:r>
            <a:r>
              <a:rPr lang="en-AU" sz="1200" baseline="0"/>
              <a:t> c</a:t>
            </a:r>
            <a:r>
              <a:rPr lang="en-AU" sz="1200"/>
              <a:t>ost of achieving and maintaining accreditation</a:t>
            </a:r>
          </a:p>
          <a:p>
            <a:pPr>
              <a:defRPr sz="1400"/>
            </a:pPr>
            <a:r>
              <a:rPr lang="en-AU" sz="800" i="1"/>
              <a:t>(Winsorised</a:t>
            </a:r>
            <a:r>
              <a:rPr lang="en-AU" sz="800" i="1" baseline="0"/>
              <a:t> mean)</a:t>
            </a:r>
            <a:endParaRPr lang="en-AU" sz="800" i="1"/>
          </a:p>
        </c:rich>
      </c:tx>
      <c:layout/>
      <c:overlay val="0"/>
    </c:title>
    <c:autoTitleDeleted val="0"/>
    <c:plotArea>
      <c:layout>
        <c:manualLayout>
          <c:layoutTarget val="inner"/>
          <c:xMode val="edge"/>
          <c:yMode val="edge"/>
          <c:x val="8.1827802346624484E-2"/>
          <c:y val="0.12209663909514346"/>
          <c:w val="0.7453822395911851"/>
          <c:h val="0.62469692529128651"/>
        </c:manualLayout>
      </c:layout>
      <c:barChart>
        <c:barDir val="col"/>
        <c:grouping val="clustered"/>
        <c:varyColors val="0"/>
        <c:ser>
          <c:idx val="0"/>
          <c:order val="0"/>
          <c:tx>
            <c:strRef>
              <c:f>Graphs!$N$211</c:f>
              <c:strCache>
                <c:ptCount val="1"/>
                <c:pt idx="0">
                  <c:v>Achieving Accreditation</c:v>
                </c:pt>
              </c:strCache>
            </c:strRef>
          </c:tx>
          <c:invertIfNegative val="0"/>
          <c:cat>
            <c:strRef>
              <c:f>Graphs!$O$210:$X$210</c:f>
              <c:strCache>
                <c:ptCount val="10"/>
                <c:pt idx="0">
                  <c:v>1 to 19 employees</c:v>
                </c:pt>
                <c:pt idx="1">
                  <c:v>20 to 199 employees</c:v>
                </c:pt>
                <c:pt idx="2">
                  <c:v>200 + employees</c:v>
                </c:pt>
                <c:pt idx="3">
                  <c:v>Civil</c:v>
                </c:pt>
                <c:pt idx="4">
                  <c:v>Commercial</c:v>
                </c:pt>
                <c:pt idx="5">
                  <c:v>Residential</c:v>
                </c:pt>
                <c:pt idx="6">
                  <c:v>0 years &lt; 3 years</c:v>
                </c:pt>
                <c:pt idx="7">
                  <c:v>3 years &lt; 5 years</c:v>
                </c:pt>
                <c:pt idx="8">
                  <c:v>&gt; 5 years</c:v>
                </c:pt>
                <c:pt idx="9">
                  <c:v>All respondents</c:v>
                </c:pt>
              </c:strCache>
            </c:strRef>
          </c:cat>
          <c:val>
            <c:numRef>
              <c:f>Graphs!$O$211:$X$211</c:f>
              <c:numCache>
                <c:formatCode>"$"#,##0_);[Red]\("$"#,##0\)</c:formatCode>
                <c:ptCount val="10"/>
                <c:pt idx="0">
                  <c:v>75500</c:v>
                </c:pt>
                <c:pt idx="1">
                  <c:v>131420</c:v>
                </c:pt>
                <c:pt idx="2">
                  <c:v>85294.117647058825</c:v>
                </c:pt>
                <c:pt idx="3">
                  <c:v>97724.137931034478</c:v>
                </c:pt>
                <c:pt idx="4">
                  <c:v>115707.69230769231</c:v>
                </c:pt>
                <c:pt idx="5">
                  <c:v>129400</c:v>
                </c:pt>
                <c:pt idx="6">
                  <c:v>129274.50980392157</c:v>
                </c:pt>
                <c:pt idx="7">
                  <c:v>95333.333333333328</c:v>
                </c:pt>
                <c:pt idx="8">
                  <c:v>82080</c:v>
                </c:pt>
                <c:pt idx="9" formatCode="&quot;$&quot;#,##0">
                  <c:v>111290</c:v>
                </c:pt>
              </c:numCache>
            </c:numRef>
          </c:val>
          <c:extLst>
            <c:ext xmlns:c16="http://schemas.microsoft.com/office/drawing/2014/chart" uri="{C3380CC4-5D6E-409C-BE32-E72D297353CC}">
              <c16:uniqueId val="{00000000-295C-49B9-8C37-A0AEA5328335}"/>
            </c:ext>
          </c:extLst>
        </c:ser>
        <c:ser>
          <c:idx val="1"/>
          <c:order val="1"/>
          <c:tx>
            <c:strRef>
              <c:f>Graphs!$N$212</c:f>
              <c:strCache>
                <c:ptCount val="1"/>
                <c:pt idx="0">
                  <c:v>Maintaining Accreditation (cost p.a)</c:v>
                </c:pt>
              </c:strCache>
            </c:strRef>
          </c:tx>
          <c:invertIfNegative val="0"/>
          <c:cat>
            <c:strRef>
              <c:f>Graphs!$O$210:$X$210</c:f>
              <c:strCache>
                <c:ptCount val="10"/>
                <c:pt idx="0">
                  <c:v>1 to 19 employees</c:v>
                </c:pt>
                <c:pt idx="1">
                  <c:v>20 to 199 employees</c:v>
                </c:pt>
                <c:pt idx="2">
                  <c:v>200 + employees</c:v>
                </c:pt>
                <c:pt idx="3">
                  <c:v>Civil</c:v>
                </c:pt>
                <c:pt idx="4">
                  <c:v>Commercial</c:v>
                </c:pt>
                <c:pt idx="5">
                  <c:v>Residential</c:v>
                </c:pt>
                <c:pt idx="6">
                  <c:v>0 years &lt; 3 years</c:v>
                </c:pt>
                <c:pt idx="7">
                  <c:v>3 years &lt; 5 years</c:v>
                </c:pt>
                <c:pt idx="8">
                  <c:v>&gt; 5 years</c:v>
                </c:pt>
                <c:pt idx="9">
                  <c:v>All respondents</c:v>
                </c:pt>
              </c:strCache>
            </c:strRef>
          </c:cat>
          <c:val>
            <c:numRef>
              <c:f>Graphs!$O$212:$X$212</c:f>
              <c:numCache>
                <c:formatCode>"$"#,##0_);[Red]\("$"#,##0\)</c:formatCode>
                <c:ptCount val="10"/>
                <c:pt idx="0">
                  <c:v>38461.538461538461</c:v>
                </c:pt>
                <c:pt idx="1">
                  <c:v>57978.723404255317</c:v>
                </c:pt>
                <c:pt idx="2">
                  <c:v>30859.515151515152</c:v>
                </c:pt>
                <c:pt idx="3">
                  <c:v>33638.943396226416</c:v>
                </c:pt>
                <c:pt idx="4">
                  <c:v>54302.779661016946</c:v>
                </c:pt>
                <c:pt idx="5">
                  <c:v>51921.052631578947</c:v>
                </c:pt>
                <c:pt idx="6">
                  <c:v>57610.545454545456</c:v>
                </c:pt>
                <c:pt idx="7">
                  <c:v>43478.260869565216</c:v>
                </c:pt>
                <c:pt idx="8">
                  <c:v>24250</c:v>
                </c:pt>
                <c:pt idx="9" formatCode="&quot;$&quot;#,##0">
                  <c:v>48278.107526881722</c:v>
                </c:pt>
              </c:numCache>
            </c:numRef>
          </c:val>
          <c:extLst>
            <c:ext xmlns:c16="http://schemas.microsoft.com/office/drawing/2014/chart" uri="{C3380CC4-5D6E-409C-BE32-E72D297353CC}">
              <c16:uniqueId val="{00000001-295C-49B9-8C37-A0AEA5328335}"/>
            </c:ext>
          </c:extLst>
        </c:ser>
        <c:dLbls>
          <c:showLegendKey val="0"/>
          <c:showVal val="0"/>
          <c:showCatName val="0"/>
          <c:showSerName val="0"/>
          <c:showPercent val="0"/>
          <c:showBubbleSize val="0"/>
        </c:dLbls>
        <c:gapWidth val="150"/>
        <c:axId val="116135808"/>
        <c:axId val="116188672"/>
      </c:barChart>
      <c:catAx>
        <c:axId val="116135808"/>
        <c:scaling>
          <c:orientation val="minMax"/>
        </c:scaling>
        <c:delete val="0"/>
        <c:axPos val="b"/>
        <c:numFmt formatCode="General" sourceLinked="0"/>
        <c:majorTickMark val="out"/>
        <c:minorTickMark val="none"/>
        <c:tickLblPos val="nextTo"/>
        <c:crossAx val="116188672"/>
        <c:crosses val="autoZero"/>
        <c:auto val="1"/>
        <c:lblAlgn val="ctr"/>
        <c:lblOffset val="100"/>
        <c:noMultiLvlLbl val="0"/>
      </c:catAx>
      <c:valAx>
        <c:axId val="116188672"/>
        <c:scaling>
          <c:orientation val="minMax"/>
        </c:scaling>
        <c:delete val="0"/>
        <c:axPos val="l"/>
        <c:majorGridlines/>
        <c:numFmt formatCode="&quot;$&quot;#,##0_);[Red]\(&quot;$&quot;#,##0\)" sourceLinked="1"/>
        <c:majorTickMark val="out"/>
        <c:minorTickMark val="none"/>
        <c:tickLblPos val="nextTo"/>
        <c:crossAx val="116135808"/>
        <c:crosses val="autoZero"/>
        <c:crossBetween val="between"/>
      </c:valAx>
    </c:plotArea>
    <c:legend>
      <c:legendPos val="r"/>
      <c:layout>
        <c:manualLayout>
          <c:xMode val="edge"/>
          <c:yMode val="edge"/>
          <c:x val="0.83698135671185436"/>
          <c:y val="0.33542395289918786"/>
          <c:w val="0.15388617659905915"/>
          <c:h val="0.25886976286773089"/>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lang="en-AU" sz="1200" b="1" i="0" u="none" strike="noStrike" kern="1200" baseline="0">
                <a:solidFill>
                  <a:sysClr val="windowText" lastClr="000000"/>
                </a:solidFill>
                <a:latin typeface="+mn-lt"/>
                <a:ea typeface="+mn-ea"/>
                <a:cs typeface="+mn-cs"/>
              </a:defRPr>
            </a:pPr>
            <a:r>
              <a:rPr lang="en-AU" sz="1200" b="1" i="0" u="none" strike="noStrike" kern="1200" baseline="0">
                <a:solidFill>
                  <a:sysClr val="windowText" lastClr="000000"/>
                </a:solidFill>
                <a:latin typeface="+mn-lt"/>
                <a:ea typeface="+mn-ea"/>
                <a:cs typeface="+mn-cs"/>
              </a:rPr>
              <a:t>Does Scheme accreditation represent value for money? </a:t>
            </a:r>
          </a:p>
          <a:p>
            <a:pPr algn="ctr" rtl="0">
              <a:defRPr lang="en-AU" sz="1200" b="1" i="0" u="none" strike="noStrike" kern="1200" baseline="0">
                <a:solidFill>
                  <a:sysClr val="windowText" lastClr="000000"/>
                </a:solidFill>
                <a:latin typeface="+mn-lt"/>
                <a:ea typeface="+mn-ea"/>
                <a:cs typeface="+mn-cs"/>
              </a:defRPr>
            </a:pPr>
            <a:r>
              <a:rPr lang="en-AU" sz="1200" b="1" i="0" u="none" strike="noStrike" kern="1200" baseline="0">
                <a:solidFill>
                  <a:sysClr val="windowText" lastClr="000000"/>
                </a:solidFill>
                <a:latin typeface="+mn-lt"/>
                <a:ea typeface="+mn-ea"/>
                <a:cs typeface="+mn-cs"/>
              </a:rPr>
              <a:t>(percentage that responded yes)</a:t>
            </a:r>
          </a:p>
        </c:rich>
      </c:tx>
      <c:layout/>
      <c:overlay val="0"/>
    </c:title>
    <c:autoTitleDeleted val="0"/>
    <c:plotArea>
      <c:layout/>
      <c:barChart>
        <c:barDir val="col"/>
        <c:grouping val="clustered"/>
        <c:varyColors val="0"/>
        <c:ser>
          <c:idx val="0"/>
          <c:order val="0"/>
          <c:tx>
            <c:strRef>
              <c:f>Graphs!$N$70</c:f>
              <c:strCache>
                <c:ptCount val="1"/>
                <c:pt idx="0">
                  <c:v>% Yes</c:v>
                </c:pt>
              </c:strCache>
            </c:strRef>
          </c:tx>
          <c:invertIfNegative val="0"/>
          <c:dPt>
            <c:idx val="3"/>
            <c:invertIfNegative val="0"/>
            <c:bubble3D val="0"/>
            <c:spPr>
              <a:solidFill>
                <a:schemeClr val="accent2"/>
              </a:solidFill>
            </c:spPr>
            <c:extLst>
              <c:ext xmlns:c16="http://schemas.microsoft.com/office/drawing/2014/chart" uri="{C3380CC4-5D6E-409C-BE32-E72D297353CC}">
                <c16:uniqueId val="{00000001-965A-4863-9513-14B0B6FC9D6E}"/>
              </c:ext>
            </c:extLst>
          </c:dPt>
          <c:dPt>
            <c:idx val="4"/>
            <c:invertIfNegative val="0"/>
            <c:bubble3D val="0"/>
            <c:spPr>
              <a:solidFill>
                <a:schemeClr val="accent2"/>
              </a:solidFill>
            </c:spPr>
            <c:extLst>
              <c:ext xmlns:c16="http://schemas.microsoft.com/office/drawing/2014/chart" uri="{C3380CC4-5D6E-409C-BE32-E72D297353CC}">
                <c16:uniqueId val="{00000003-965A-4863-9513-14B0B6FC9D6E}"/>
              </c:ext>
            </c:extLst>
          </c:dPt>
          <c:dPt>
            <c:idx val="5"/>
            <c:invertIfNegative val="0"/>
            <c:bubble3D val="0"/>
            <c:spPr>
              <a:solidFill>
                <a:schemeClr val="accent2"/>
              </a:solidFill>
            </c:spPr>
            <c:extLst>
              <c:ext xmlns:c16="http://schemas.microsoft.com/office/drawing/2014/chart" uri="{C3380CC4-5D6E-409C-BE32-E72D297353CC}">
                <c16:uniqueId val="{00000005-965A-4863-9513-14B0B6FC9D6E}"/>
              </c:ext>
            </c:extLst>
          </c:dPt>
          <c:dPt>
            <c:idx val="6"/>
            <c:invertIfNegative val="0"/>
            <c:bubble3D val="0"/>
            <c:spPr>
              <a:solidFill>
                <a:schemeClr val="accent3"/>
              </a:solidFill>
            </c:spPr>
            <c:extLst>
              <c:ext xmlns:c16="http://schemas.microsoft.com/office/drawing/2014/chart" uri="{C3380CC4-5D6E-409C-BE32-E72D297353CC}">
                <c16:uniqueId val="{00000007-965A-4863-9513-14B0B6FC9D6E}"/>
              </c:ext>
            </c:extLst>
          </c:dPt>
          <c:dPt>
            <c:idx val="7"/>
            <c:invertIfNegative val="0"/>
            <c:bubble3D val="0"/>
            <c:spPr>
              <a:solidFill>
                <a:schemeClr val="accent3"/>
              </a:solidFill>
            </c:spPr>
            <c:extLst>
              <c:ext xmlns:c16="http://schemas.microsoft.com/office/drawing/2014/chart" uri="{C3380CC4-5D6E-409C-BE32-E72D297353CC}">
                <c16:uniqueId val="{00000009-965A-4863-9513-14B0B6FC9D6E}"/>
              </c:ext>
            </c:extLst>
          </c:dPt>
          <c:dPt>
            <c:idx val="8"/>
            <c:invertIfNegative val="0"/>
            <c:bubble3D val="0"/>
            <c:spPr>
              <a:solidFill>
                <a:schemeClr val="accent3"/>
              </a:solidFill>
            </c:spPr>
            <c:extLst>
              <c:ext xmlns:c16="http://schemas.microsoft.com/office/drawing/2014/chart" uri="{C3380CC4-5D6E-409C-BE32-E72D297353CC}">
                <c16:uniqueId val="{0000000B-965A-4863-9513-14B0B6FC9D6E}"/>
              </c:ext>
            </c:extLst>
          </c:dPt>
          <c:dPt>
            <c:idx val="9"/>
            <c:invertIfNegative val="0"/>
            <c:bubble3D val="0"/>
            <c:spPr>
              <a:solidFill>
                <a:schemeClr val="accent3"/>
              </a:solidFill>
            </c:spPr>
            <c:extLst>
              <c:ext xmlns:c16="http://schemas.microsoft.com/office/drawing/2014/chart" uri="{C3380CC4-5D6E-409C-BE32-E72D297353CC}">
                <c16:uniqueId val="{0000000D-965A-4863-9513-14B0B6FC9D6E}"/>
              </c:ext>
            </c:extLst>
          </c:dPt>
          <c:dPt>
            <c:idx val="10"/>
            <c:invertIfNegative val="0"/>
            <c:bubble3D val="0"/>
            <c:spPr>
              <a:solidFill>
                <a:schemeClr val="accent6"/>
              </a:solidFill>
            </c:spPr>
            <c:extLst>
              <c:ext xmlns:c16="http://schemas.microsoft.com/office/drawing/2014/chart" uri="{C3380CC4-5D6E-409C-BE32-E72D297353CC}">
                <c16:uniqueId val="{0000000F-965A-4863-9513-14B0B6FC9D6E}"/>
              </c:ext>
            </c:extLst>
          </c:dPt>
          <c:cat>
            <c:strRef>
              <c:f>Graphs!$O$69:$Y$69</c:f>
              <c:strCache>
                <c:ptCount val="11"/>
                <c:pt idx="0">
                  <c:v>1 to 19 employees</c:v>
                </c:pt>
                <c:pt idx="1">
                  <c:v>20 to 199 employees</c:v>
                </c:pt>
                <c:pt idx="2">
                  <c:v>200 + employees</c:v>
                </c:pt>
                <c:pt idx="3">
                  <c:v>Civil</c:v>
                </c:pt>
                <c:pt idx="4">
                  <c:v>Commercial</c:v>
                </c:pt>
                <c:pt idx="5">
                  <c:v>Residential</c:v>
                </c:pt>
                <c:pt idx="6">
                  <c:v>&lt; 1 year</c:v>
                </c:pt>
                <c:pt idx="7">
                  <c:v>1 year &lt; 3 years</c:v>
                </c:pt>
                <c:pt idx="8">
                  <c:v>3 years &lt; 5 years</c:v>
                </c:pt>
                <c:pt idx="9">
                  <c:v>&gt; 5 years</c:v>
                </c:pt>
                <c:pt idx="10">
                  <c:v>All respondents</c:v>
                </c:pt>
              </c:strCache>
            </c:strRef>
          </c:cat>
          <c:val>
            <c:numRef>
              <c:f>Graphs!$O$70:$Y$70</c:f>
              <c:numCache>
                <c:formatCode>0.00%</c:formatCode>
                <c:ptCount val="11"/>
                <c:pt idx="0">
                  <c:v>0.4118</c:v>
                </c:pt>
                <c:pt idx="1">
                  <c:v>0.63639999999999997</c:v>
                </c:pt>
                <c:pt idx="2">
                  <c:v>0.70730000000000004</c:v>
                </c:pt>
                <c:pt idx="3">
                  <c:v>0.71641791044776115</c:v>
                </c:pt>
                <c:pt idx="4">
                  <c:v>0.56470588235294117</c:v>
                </c:pt>
                <c:pt idx="5">
                  <c:v>0.5357142857142857</c:v>
                </c:pt>
                <c:pt idx="6">
                  <c:v>0.8</c:v>
                </c:pt>
                <c:pt idx="7">
                  <c:v>0.57499999999999996</c:v>
                </c:pt>
                <c:pt idx="8">
                  <c:v>0.66700000000000004</c:v>
                </c:pt>
                <c:pt idx="9">
                  <c:v>0.55900000000000005</c:v>
                </c:pt>
                <c:pt idx="10">
                  <c:v>0.62903225806451613</c:v>
                </c:pt>
              </c:numCache>
            </c:numRef>
          </c:val>
          <c:extLst>
            <c:ext xmlns:c16="http://schemas.microsoft.com/office/drawing/2014/chart" uri="{C3380CC4-5D6E-409C-BE32-E72D297353CC}">
              <c16:uniqueId val="{00000010-965A-4863-9513-14B0B6FC9D6E}"/>
            </c:ext>
          </c:extLst>
        </c:ser>
        <c:dLbls>
          <c:showLegendKey val="0"/>
          <c:showVal val="0"/>
          <c:showCatName val="0"/>
          <c:showSerName val="0"/>
          <c:showPercent val="0"/>
          <c:showBubbleSize val="0"/>
        </c:dLbls>
        <c:gapWidth val="150"/>
        <c:axId val="159963776"/>
        <c:axId val="167543936"/>
      </c:barChart>
      <c:catAx>
        <c:axId val="159963776"/>
        <c:scaling>
          <c:orientation val="minMax"/>
        </c:scaling>
        <c:delete val="0"/>
        <c:axPos val="b"/>
        <c:numFmt formatCode="General" sourceLinked="0"/>
        <c:majorTickMark val="out"/>
        <c:minorTickMark val="none"/>
        <c:tickLblPos val="nextTo"/>
        <c:crossAx val="167543936"/>
        <c:crosses val="autoZero"/>
        <c:auto val="1"/>
        <c:lblAlgn val="ctr"/>
        <c:lblOffset val="100"/>
        <c:noMultiLvlLbl val="0"/>
      </c:catAx>
      <c:valAx>
        <c:axId val="167543936"/>
        <c:scaling>
          <c:orientation val="minMax"/>
          <c:max val="1"/>
        </c:scaling>
        <c:delete val="0"/>
        <c:axPos val="l"/>
        <c:majorGridlines/>
        <c:numFmt formatCode="0.00%" sourceLinked="1"/>
        <c:majorTickMark val="out"/>
        <c:minorTickMark val="none"/>
        <c:tickLblPos val="nextTo"/>
        <c:crossAx val="159963776"/>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200"/>
            </a:pPr>
            <a:r>
              <a:rPr lang="en-AU" sz="1200"/>
              <a:t>Audit and Accreditation numbers</a:t>
            </a:r>
          </a:p>
        </c:rich>
      </c:tx>
      <c:layout>
        <c:manualLayout>
          <c:xMode val="edge"/>
          <c:yMode val="edge"/>
          <c:x val="0.3253472263335504"/>
          <c:y val="2.1080362302192332E-2"/>
        </c:manualLayout>
      </c:layout>
      <c:overlay val="0"/>
    </c:title>
    <c:autoTitleDeleted val="0"/>
    <c:plotArea>
      <c:layout>
        <c:manualLayout>
          <c:layoutTarget val="inner"/>
          <c:xMode val="edge"/>
          <c:yMode val="edge"/>
          <c:x val="9.8629250291082035E-2"/>
          <c:y val="0.11349387692586171"/>
          <c:w val="0.67510735469992855"/>
          <c:h val="0.65285908226988865"/>
        </c:manualLayout>
      </c:layout>
      <c:barChart>
        <c:barDir val="col"/>
        <c:grouping val="stacked"/>
        <c:varyColors val="0"/>
        <c:ser>
          <c:idx val="0"/>
          <c:order val="0"/>
          <c:tx>
            <c:strRef>
              <c:f>Sheet1!$A$2</c:f>
              <c:strCache>
                <c:ptCount val="1"/>
                <c:pt idx="0">
                  <c:v>Accreditation</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Sheet1!$B$2:$I$2</c:f>
              <c:numCache>
                <c:formatCode>General</c:formatCode>
                <c:ptCount val="8"/>
                <c:pt idx="0">
                  <c:v>110</c:v>
                </c:pt>
                <c:pt idx="1">
                  <c:v>145</c:v>
                </c:pt>
                <c:pt idx="2">
                  <c:v>164</c:v>
                </c:pt>
                <c:pt idx="3">
                  <c:v>165</c:v>
                </c:pt>
                <c:pt idx="4">
                  <c:v>114</c:v>
                </c:pt>
                <c:pt idx="5">
                  <c:v>144</c:v>
                </c:pt>
                <c:pt idx="6">
                  <c:v>133</c:v>
                </c:pt>
                <c:pt idx="7">
                  <c:v>163</c:v>
                </c:pt>
              </c:numCache>
            </c:numRef>
          </c:val>
          <c:extLst>
            <c:ext xmlns:c16="http://schemas.microsoft.com/office/drawing/2014/chart" uri="{C3380CC4-5D6E-409C-BE32-E72D297353CC}">
              <c16:uniqueId val="{00000000-8743-4919-BFCB-DBEB1C5D5630}"/>
            </c:ext>
          </c:extLst>
        </c:ser>
        <c:ser>
          <c:idx val="1"/>
          <c:order val="1"/>
          <c:tx>
            <c:strRef>
              <c:f>Sheet1!$A$3</c:f>
              <c:strCache>
                <c:ptCount val="1"/>
                <c:pt idx="0">
                  <c:v>Reaccreditation</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Sheet1!$B$3:$I$3</c:f>
              <c:numCache>
                <c:formatCode>General</c:formatCode>
                <c:ptCount val="8"/>
                <c:pt idx="0">
                  <c:v>0</c:v>
                </c:pt>
                <c:pt idx="1">
                  <c:v>0</c:v>
                </c:pt>
                <c:pt idx="2">
                  <c:v>0</c:v>
                </c:pt>
                <c:pt idx="3">
                  <c:v>49</c:v>
                </c:pt>
                <c:pt idx="4">
                  <c:v>92</c:v>
                </c:pt>
                <c:pt idx="5">
                  <c:v>88</c:v>
                </c:pt>
                <c:pt idx="6">
                  <c:v>128</c:v>
                </c:pt>
                <c:pt idx="7">
                  <c:v>141</c:v>
                </c:pt>
              </c:numCache>
            </c:numRef>
          </c:val>
          <c:extLst>
            <c:ext xmlns:c16="http://schemas.microsoft.com/office/drawing/2014/chart" uri="{C3380CC4-5D6E-409C-BE32-E72D297353CC}">
              <c16:uniqueId val="{00000001-8743-4919-BFCB-DBEB1C5D5630}"/>
            </c:ext>
          </c:extLst>
        </c:ser>
        <c:ser>
          <c:idx val="2"/>
          <c:order val="2"/>
          <c:tx>
            <c:strRef>
              <c:f>Sheet1!$A$4</c:f>
              <c:strCache>
                <c:ptCount val="1"/>
                <c:pt idx="0">
                  <c:v>Maintenance</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Sheet1!$B$4:$I$4</c:f>
              <c:numCache>
                <c:formatCode>General</c:formatCode>
                <c:ptCount val="8"/>
                <c:pt idx="0">
                  <c:v>39</c:v>
                </c:pt>
                <c:pt idx="1">
                  <c:v>112</c:v>
                </c:pt>
                <c:pt idx="2">
                  <c:v>227</c:v>
                </c:pt>
                <c:pt idx="3">
                  <c:v>119</c:v>
                </c:pt>
                <c:pt idx="4">
                  <c:v>131</c:v>
                </c:pt>
                <c:pt idx="5">
                  <c:v>127</c:v>
                </c:pt>
                <c:pt idx="6">
                  <c:v>85</c:v>
                </c:pt>
                <c:pt idx="7">
                  <c:v>53</c:v>
                </c:pt>
              </c:numCache>
            </c:numRef>
          </c:val>
          <c:extLst>
            <c:ext xmlns:c16="http://schemas.microsoft.com/office/drawing/2014/chart" uri="{C3380CC4-5D6E-409C-BE32-E72D297353CC}">
              <c16:uniqueId val="{00000002-8743-4919-BFCB-DBEB1C5D5630}"/>
            </c:ext>
          </c:extLst>
        </c:ser>
        <c:ser>
          <c:idx val="3"/>
          <c:order val="3"/>
          <c:tx>
            <c:strRef>
              <c:f>Sheet1!$A$5</c:f>
              <c:strCache>
                <c:ptCount val="1"/>
                <c:pt idx="0">
                  <c:v>Compliance</c:v>
                </c:pt>
              </c:strCache>
            </c:strRef>
          </c:tx>
          <c:invertIfNegative val="0"/>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Sheet1!$B$5:$I$5</c:f>
              <c:numCache>
                <c:formatCode>General</c:formatCode>
                <c:ptCount val="8"/>
                <c:pt idx="0">
                  <c:v>0</c:v>
                </c:pt>
                <c:pt idx="1">
                  <c:v>0</c:v>
                </c:pt>
                <c:pt idx="2">
                  <c:v>13</c:v>
                </c:pt>
                <c:pt idx="3">
                  <c:v>24</c:v>
                </c:pt>
                <c:pt idx="4">
                  <c:v>21</c:v>
                </c:pt>
                <c:pt idx="5">
                  <c:v>21</c:v>
                </c:pt>
                <c:pt idx="6">
                  <c:v>9</c:v>
                </c:pt>
                <c:pt idx="7">
                  <c:v>12</c:v>
                </c:pt>
              </c:numCache>
            </c:numRef>
          </c:val>
          <c:extLst>
            <c:ext xmlns:c16="http://schemas.microsoft.com/office/drawing/2014/chart" uri="{C3380CC4-5D6E-409C-BE32-E72D297353CC}">
              <c16:uniqueId val="{00000003-8743-4919-BFCB-DBEB1C5D5630}"/>
            </c:ext>
          </c:extLst>
        </c:ser>
        <c:dLbls>
          <c:showLegendKey val="0"/>
          <c:showVal val="0"/>
          <c:showCatName val="0"/>
          <c:showSerName val="0"/>
          <c:showPercent val="0"/>
          <c:showBubbleSize val="0"/>
        </c:dLbls>
        <c:gapWidth val="150"/>
        <c:overlap val="100"/>
        <c:axId val="53620736"/>
        <c:axId val="53623040"/>
      </c:barChart>
      <c:lineChart>
        <c:grouping val="standard"/>
        <c:varyColors val="0"/>
        <c:ser>
          <c:idx val="4"/>
          <c:order val="4"/>
          <c:tx>
            <c:strRef>
              <c:f>Sheet1!$A$6</c:f>
              <c:strCache>
                <c:ptCount val="1"/>
                <c:pt idx="0">
                  <c:v>Accredited Companies</c:v>
                </c:pt>
              </c:strCache>
            </c:strRef>
          </c:tx>
          <c:spPr>
            <a:ln w="22225">
              <a:solidFill>
                <a:srgbClr val="FF0000"/>
              </a:solidFill>
            </a:ln>
          </c:spPr>
          <c:marker>
            <c:spPr>
              <a:ln>
                <a:solidFill>
                  <a:srgbClr val="FF0000"/>
                </a:solidFill>
              </a:ln>
            </c:spPr>
          </c:marker>
          <c:cat>
            <c:strRef>
              <c:f>Sheet1!$B$1:$I$1</c:f>
              <c:strCache>
                <c:ptCount val="8"/>
                <c:pt idx="0">
                  <c:v>2006/07</c:v>
                </c:pt>
                <c:pt idx="1">
                  <c:v>2007/08</c:v>
                </c:pt>
                <c:pt idx="2">
                  <c:v>2008/09</c:v>
                </c:pt>
                <c:pt idx="3">
                  <c:v>2009/10</c:v>
                </c:pt>
                <c:pt idx="4">
                  <c:v>2010/11</c:v>
                </c:pt>
                <c:pt idx="5">
                  <c:v>2011/12</c:v>
                </c:pt>
                <c:pt idx="6">
                  <c:v>2012/13</c:v>
                </c:pt>
                <c:pt idx="7">
                  <c:v>2013/14 year to date</c:v>
                </c:pt>
              </c:strCache>
            </c:strRef>
          </c:cat>
          <c:val>
            <c:numRef>
              <c:f>Sheet1!$B$6:$I$6</c:f>
              <c:numCache>
                <c:formatCode>General</c:formatCode>
                <c:ptCount val="8"/>
                <c:pt idx="0">
                  <c:v>25</c:v>
                </c:pt>
                <c:pt idx="1">
                  <c:v>97</c:v>
                </c:pt>
                <c:pt idx="2">
                  <c:v>147</c:v>
                </c:pt>
                <c:pt idx="3">
                  <c:v>195</c:v>
                </c:pt>
                <c:pt idx="4">
                  <c:v>221</c:v>
                </c:pt>
                <c:pt idx="5">
                  <c:v>253</c:v>
                </c:pt>
                <c:pt idx="6">
                  <c:v>293</c:v>
                </c:pt>
                <c:pt idx="7">
                  <c:v>299</c:v>
                </c:pt>
              </c:numCache>
            </c:numRef>
          </c:val>
          <c:smooth val="0"/>
          <c:extLst>
            <c:ext xmlns:c16="http://schemas.microsoft.com/office/drawing/2014/chart" uri="{C3380CC4-5D6E-409C-BE32-E72D297353CC}">
              <c16:uniqueId val="{00000004-8743-4919-BFCB-DBEB1C5D5630}"/>
            </c:ext>
          </c:extLst>
        </c:ser>
        <c:dLbls>
          <c:showLegendKey val="0"/>
          <c:showVal val="0"/>
          <c:showCatName val="0"/>
          <c:showSerName val="0"/>
          <c:showPercent val="0"/>
          <c:showBubbleSize val="0"/>
        </c:dLbls>
        <c:marker val="1"/>
        <c:smooth val="0"/>
        <c:axId val="53620736"/>
        <c:axId val="53623040"/>
      </c:lineChart>
      <c:catAx>
        <c:axId val="53620736"/>
        <c:scaling>
          <c:orientation val="minMax"/>
        </c:scaling>
        <c:delete val="0"/>
        <c:axPos val="b"/>
        <c:title>
          <c:tx>
            <c:rich>
              <a:bodyPr/>
              <a:lstStyle/>
              <a:p>
                <a:pPr>
                  <a:defRPr/>
                </a:pPr>
                <a:r>
                  <a:rPr lang="en-US"/>
                  <a:t>Year</a:t>
                </a:r>
              </a:p>
            </c:rich>
          </c:tx>
          <c:layout>
            <c:manualLayout>
              <c:xMode val="edge"/>
              <c:yMode val="edge"/>
              <c:x val="0.42561379516186526"/>
              <c:y val="0.83914737297996789"/>
            </c:manualLayout>
          </c:layout>
          <c:overlay val="0"/>
        </c:title>
        <c:numFmt formatCode="General" sourceLinked="0"/>
        <c:majorTickMark val="out"/>
        <c:minorTickMark val="none"/>
        <c:tickLblPos val="nextTo"/>
        <c:crossAx val="53623040"/>
        <c:crosses val="autoZero"/>
        <c:auto val="1"/>
        <c:lblAlgn val="ctr"/>
        <c:lblOffset val="100"/>
        <c:noMultiLvlLbl val="0"/>
      </c:catAx>
      <c:valAx>
        <c:axId val="53623040"/>
        <c:scaling>
          <c:orientation val="minMax"/>
        </c:scaling>
        <c:delete val="0"/>
        <c:axPos val="l"/>
        <c:majorGridlines/>
        <c:title>
          <c:tx>
            <c:rich>
              <a:bodyPr rot="-5400000" vert="horz"/>
              <a:lstStyle/>
              <a:p>
                <a:pPr>
                  <a:defRPr/>
                </a:pPr>
                <a:r>
                  <a:rPr lang="en-AU"/>
                  <a:t>Number of Audits</a:t>
                </a:r>
              </a:p>
            </c:rich>
          </c:tx>
          <c:layout>
            <c:manualLayout>
              <c:xMode val="edge"/>
              <c:yMode val="edge"/>
              <c:x val="6.4117444035091953E-3"/>
              <c:y val="0.32616721318323272"/>
            </c:manualLayout>
          </c:layout>
          <c:overlay val="0"/>
        </c:title>
        <c:numFmt formatCode="General" sourceLinked="1"/>
        <c:majorTickMark val="out"/>
        <c:minorTickMark val="none"/>
        <c:tickLblPos val="nextTo"/>
        <c:crossAx val="53620736"/>
        <c:crosses val="autoZero"/>
        <c:crossBetween val="between"/>
      </c:valAx>
      <c:spPr>
        <a:noFill/>
        <a:ln w="25400">
          <a:noFill/>
        </a:ln>
      </c:spPr>
    </c:plotArea>
    <c:legend>
      <c:legendPos val="r"/>
      <c:layout>
        <c:manualLayout>
          <c:xMode val="edge"/>
          <c:yMode val="edge"/>
          <c:x val="0.80149919333477815"/>
          <c:y val="0.24124731092963517"/>
          <c:w val="0.19850080666522188"/>
          <c:h val="0.43647945863530985"/>
        </c:manualLayout>
      </c:layout>
      <c:overlay val="0"/>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0.30339</cdr:x>
      <cdr:y>0.95682</cdr:y>
    </cdr:from>
    <cdr:to>
      <cdr:x>0.42839</cdr:x>
      <cdr:y>1</cdr:y>
    </cdr:to>
    <cdr:sp macro="" textlink="">
      <cdr:nvSpPr>
        <cdr:cNvPr id="2" name="TextBox 1"/>
        <cdr:cNvSpPr txBox="1"/>
      </cdr:nvSpPr>
      <cdr:spPr>
        <a:xfrm xmlns:a="http://schemas.openxmlformats.org/drawingml/2006/main">
          <a:off x="2219327" y="4010024"/>
          <a:ext cx="914400" cy="1809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0.17057</cdr:x>
      <cdr:y>0.91079</cdr:y>
    </cdr:from>
    <cdr:to>
      <cdr:x>0.76302</cdr:x>
      <cdr:y>1</cdr:y>
    </cdr:to>
    <cdr:sp macro="" textlink="">
      <cdr:nvSpPr>
        <cdr:cNvPr id="3" name="TextBox 2"/>
        <cdr:cNvSpPr txBox="1"/>
      </cdr:nvSpPr>
      <cdr:spPr>
        <a:xfrm xmlns:a="http://schemas.openxmlformats.org/drawingml/2006/main">
          <a:off x="1247776" y="4181474"/>
          <a:ext cx="4333875" cy="4095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en-AU"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A4EEF5B4-B660-4321-9D97-D74D007FC2A5}">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3B884A7-7697-40CC-B02C-DB33EBDA1F35}">
  <ds:schemaRefs>
    <ds:schemaRef ds:uri="http://schemas.microsoft.com/sharepoint/v3/contenttype/forms"/>
  </ds:schemaRefs>
</ds:datastoreItem>
</file>

<file path=customXml/itemProps3.xml><?xml version="1.0" encoding="utf-8"?>
<ds:datastoreItem xmlns:ds="http://schemas.openxmlformats.org/officeDocument/2006/customXml" ds:itemID="{6EE893F7-191C-4178-A47E-C4EC20E9F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C46D80-EBE2-4538-B009-A57FB488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22638</Words>
  <Characters>129039</Characters>
  <Application>Microsoft Office Word</Application>
  <DocSecurity>4</DocSecurity>
  <Lines>1075</Lines>
  <Paragraphs>302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151375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SIMMS,Daniel</cp:lastModifiedBy>
  <cp:revision>2</cp:revision>
  <cp:lastPrinted>2014-06-13T02:41:00Z</cp:lastPrinted>
  <dcterms:created xsi:type="dcterms:W3CDTF">2020-02-04T21:54:00Z</dcterms:created>
  <dcterms:modified xsi:type="dcterms:W3CDTF">2020-02-04T21:54:00Z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