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DC" w:rsidRPr="005B5BC0" w:rsidRDefault="00CE0EDC" w:rsidP="005B5BC0">
      <w:pPr>
        <w:pStyle w:val="Heading1"/>
      </w:pPr>
      <w:bookmarkStart w:id="0" w:name="_GoBack"/>
      <w:bookmarkEnd w:id="0"/>
      <w:r w:rsidRPr="005B5BC0">
        <w:t>KPI 1 – Regulators do not unnecessarily impede the efficient operation of regulated entities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7001"/>
        <w:gridCol w:w="7458"/>
      </w:tblGrid>
      <w:tr w:rsidR="00CE0EDC" w:rsidTr="005B5BC0">
        <w:trPr>
          <w:tblHeader/>
        </w:trPr>
        <w:tc>
          <w:tcPr>
            <w:tcW w:w="7001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7458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CE0EDC" w:rsidTr="00CE0EDC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1.1 The 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uses appropriate methods to provide support and guidance for regulated entities in their dealings with the OFSC and continuously improves those methods in light of experience.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CE0EDC" w:rsidRPr="0025249A" w:rsidRDefault="00CE0EDC" w:rsidP="00CE0EDC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Pr="0025249A" w:rsidRDefault="00CE0EDC" w:rsidP="00CE0EDC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58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1.1.1 </w:t>
            </w:r>
            <w:r w:rsidRPr="00C15ABE">
              <w:rPr>
                <w:rFonts w:asciiTheme="minorHAnsi" w:hAnsiTheme="minorHAnsi" w:cstheme="minorHAnsi"/>
                <w:sz w:val="22"/>
                <w:szCs w:val="22"/>
              </w:rPr>
              <w:t>Provide a summary of the methods used to support regulated entities in their interaction with the OFSC including any changes or improvements in response to areas of misunderstanding or concern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E0EDC" w:rsidTr="00CE0EDC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1.2 The 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engages with regulated entities and peak bodies to c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ontinuous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improve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by monitoring and refining practices and requirements where practicable.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58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1.2.1 The 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provides a summary of interaction with key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stakeholders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how the OFSC has refined practices and processes as a result of this interaction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1.2.2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details of the mechanisms for regulated entities to provide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feedback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 an analysis of that feedback and how the OFSC has responded.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EDC" w:rsidTr="00CE0EDC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1.3 The OFSC undertakes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periodic formal reviews.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58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1.3.1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formal review of t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he 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Scheme is undertaken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at least every five years. 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1.3.2 The OFSC will review financial thresholds every 3 years to ensure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coverage of regulated entities is not expanded in real terms.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B5BC0" w:rsidRDefault="005B5BC0" w:rsidP="005B5BC0"/>
    <w:p w:rsidR="00CE0EDC" w:rsidRDefault="005B5BC0" w:rsidP="005B5BC0">
      <w:pPr>
        <w:pStyle w:val="Heading1"/>
      </w:pPr>
      <w:r w:rsidRPr="005B5BC0">
        <w:t>KPI 2 – Communication with regulated entities is clear, targeted and effective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7001"/>
        <w:gridCol w:w="7458"/>
      </w:tblGrid>
      <w:tr w:rsidR="00CE0EDC" w:rsidTr="005B5BC0">
        <w:trPr>
          <w:tblHeader/>
        </w:trPr>
        <w:tc>
          <w:tcPr>
            <w:tcW w:w="7001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7458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CE0EDC" w:rsidTr="005B5BC0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2.1 The 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provides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information and advice that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is up to date, clear, accessible, concise and appropriate to the target audience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make it easier for regulated entities to comply with their obligations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58" w:type="dxa"/>
          </w:tcPr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2.1.1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a summary of processes to ensure consistent, clear and targeted advice to regulated entities including information about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guidance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the requirements of Scheme criteria.</w:t>
            </w: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2.1.2 Provide a summary of processes used to ensure consistency of approach in dealing with regulated entities, including in relation to audit findings by Federal Safety Officers.</w:t>
            </w: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2.1.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details of the mechanisms available for regulated entities to provide feedback including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responses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EDC" w:rsidTr="005B5BC0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2.2 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dealings with regulated entities are undertaken in a transparent and timely manner with clear advice about actions required and the reasons. </w:t>
            </w:r>
          </w:p>
        </w:tc>
        <w:tc>
          <w:tcPr>
            <w:tcW w:w="7458" w:type="dxa"/>
          </w:tcPr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2.2.1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Provide a summary of key OFSC KPIs relating to turnaround times in dealing with entities in relation to each key element of the regulatory process: (a) assessment of a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pplications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(b) arranging site audits and (c) providing feedback about audit findings and actions required.  </w:t>
            </w: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2.2.2 Refine and discuss OFSC business process KPIs with stakeholders.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2.2.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a summary about arrangements to ensure clarity and openness in the OFSC’s dealings with regulated entities.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EDC" w:rsidRDefault="00CE0EDC"/>
    <w:p w:rsidR="0025249A" w:rsidRDefault="005B5BC0" w:rsidP="005B5BC0">
      <w:pPr>
        <w:pStyle w:val="Heading1"/>
      </w:pPr>
      <w:r w:rsidRPr="0025249A">
        <w:t>KPI 3 – Actions undertaken by regulators are proportionate to the regulatory risk being managed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7001"/>
        <w:gridCol w:w="7458"/>
      </w:tblGrid>
      <w:tr w:rsidR="00CE0EDC" w:rsidTr="005B5BC0">
        <w:tc>
          <w:tcPr>
            <w:tcW w:w="7001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7458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CE0EDC" w:rsidTr="005B5BC0">
        <w:tc>
          <w:tcPr>
            <w:tcW w:w="7001" w:type="dxa"/>
          </w:tcPr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3.1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That the OFSC applies a risk-based, proportionate approach to compliance obligations, engagement and regulatory enforcement actions. The risk-based compliance model is regularly re-assessed.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58" w:type="dxa"/>
          </w:tcPr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3.1.1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a summary of how the OFSC applies a risk-based approach to compliance monitoring and enforcement action. Give examples of the resulting differential regulatory impacts for regulated entities to demonstrate proportionality. </w:t>
            </w: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3.1.2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a summary of engagement and feedback in relation to the risk based compliance model and any resulting changes.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EDC" w:rsidTr="005B5BC0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3.2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OFSC recognises the compliance record of regulated entities including using earned autonomy for those with a strong compliance track record. All available relevant data on compliance is considered. </w:t>
            </w:r>
          </w:p>
        </w:tc>
        <w:tc>
          <w:tcPr>
            <w:tcW w:w="7458" w:type="dxa"/>
          </w:tcPr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3.2.1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a summary report of arrangements that demonstrates that regulated entities can earn a reduced compliance burden. </w:t>
            </w: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3.2.2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Describe the data used in assessing and analysing r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isk ratings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regulated entities. </w:t>
            </w:r>
          </w:p>
        </w:tc>
      </w:tr>
    </w:tbl>
    <w:p w:rsidR="00CE0EDC" w:rsidRDefault="00CE0EDC"/>
    <w:p w:rsidR="00CE0EDC" w:rsidRDefault="00CE0EDC"/>
    <w:p w:rsidR="00CE0EDC" w:rsidRDefault="00CE0EDC"/>
    <w:p w:rsidR="00CE0EDC" w:rsidRDefault="00CE0EDC"/>
    <w:p w:rsidR="00CE0EDC" w:rsidRDefault="00CE0EDC"/>
    <w:p w:rsidR="00CE0EDC" w:rsidRDefault="00CE0EDC"/>
    <w:p w:rsidR="0025249A" w:rsidRDefault="0025249A"/>
    <w:p w:rsidR="005B5BC0" w:rsidRDefault="005B5BC0" w:rsidP="005B5BC0">
      <w:pPr>
        <w:pStyle w:val="Heading1"/>
      </w:pPr>
    </w:p>
    <w:p w:rsidR="00CE0EDC" w:rsidRDefault="005B5BC0" w:rsidP="005B5BC0">
      <w:pPr>
        <w:pStyle w:val="Heading1"/>
      </w:pPr>
      <w:r w:rsidRPr="005B5BC0">
        <w:t>KPI 4 – Compliance and monitoring approaches are streamlined and coordinated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7001"/>
        <w:gridCol w:w="7458"/>
      </w:tblGrid>
      <w:tr w:rsidR="00CE0EDC" w:rsidTr="005B5BC0">
        <w:tc>
          <w:tcPr>
            <w:tcW w:w="7001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7458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CE0EDC" w:rsidTr="005B5BC0">
        <w:tc>
          <w:tcPr>
            <w:tcW w:w="7001" w:type="dxa"/>
          </w:tcPr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4.1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OFSC takes a streamlined and co-ordinated approach by working with States and Territories to ensure maximum recognition of the Scheme as meeting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the Workplace Health and Safety components of their pre-qualification schemes.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58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4.1.1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OFSC will provide a summary report about its interactions with regulators including t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he extent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which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Scheme accreditation is recognised by state and territory jurisdictions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automatically meeting their requirements to avoid unnecessary duplication of regulatory burden).</w:t>
            </w:r>
          </w:p>
        </w:tc>
      </w:tr>
      <w:tr w:rsidR="00CE0EDC" w:rsidTr="005B5BC0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4.2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Regulated entities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are provided with sufficient notice of intended site audits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0E5240">
              <w:rPr>
                <w:rFonts w:asciiTheme="minorHAnsi" w:hAnsiTheme="minorHAnsi" w:cstheme="minorHAnsi"/>
                <w:sz w:val="22"/>
                <w:szCs w:val="22"/>
              </w:rPr>
              <w:t>mutually acceptable audit dates are negotiated to minimise business interruption</w:t>
            </w:r>
            <w:r w:rsidRPr="0025249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458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4.2.1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OFSC will provide a summary report on processes to ensure reasonable consideration is given to business requirements of regulated entities when arranging compliance audits. </w:t>
            </w:r>
          </w:p>
        </w:tc>
      </w:tr>
    </w:tbl>
    <w:p w:rsidR="00CE0EDC" w:rsidRDefault="00CE0EDC"/>
    <w:p w:rsidR="0025249A" w:rsidRDefault="005B5BC0" w:rsidP="005B5BC0">
      <w:pPr>
        <w:pStyle w:val="Heading1"/>
      </w:pPr>
      <w:r w:rsidRPr="0025249A">
        <w:t>KPI 5 - Regulators are open and transparent in their dealings with regulated entities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7001"/>
        <w:gridCol w:w="7458"/>
      </w:tblGrid>
      <w:tr w:rsidR="00CE0EDC" w:rsidTr="005B5BC0">
        <w:tc>
          <w:tcPr>
            <w:tcW w:w="7001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7458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CE0EDC" w:rsidTr="005B5BC0">
        <w:tc>
          <w:tcPr>
            <w:tcW w:w="7001" w:type="dxa"/>
          </w:tcPr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5.1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OFSC publishes its risk based framework, assessment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a range of guidance material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in a format which is clear, understandable and accessible.  </w:t>
            </w: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58" w:type="dxa"/>
          </w:tcPr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5.1.1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Provide a summary of k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ey documents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have been published.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EDC" w:rsidTr="005B5BC0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5.2 The OFSC demonstrates responsiveness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requests from regulated entities about the operation of Scheme and implementation approaches. The OFSC is open and responsive to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formal complaints.</w:t>
            </w:r>
          </w:p>
        </w:tc>
        <w:tc>
          <w:tcPr>
            <w:tcW w:w="7458" w:type="dxa"/>
          </w:tcPr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5.2.1 The OFSC will provide a summary of mechanisms by which regulated entities can access advice about the operation of the Scheme and regulatory decisions impacting them. </w:t>
            </w: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5.2.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OFSC will provide a summary of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formal complaints submitted throughout the reporting period and action undertaken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response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F7D5A" w:rsidRDefault="003F7D5A">
      <w:r>
        <w:br w:type="page"/>
      </w:r>
    </w:p>
    <w:p w:rsidR="005B5BC0" w:rsidRDefault="005B5BC0" w:rsidP="005B5BC0">
      <w:pPr>
        <w:pStyle w:val="Heading1"/>
      </w:pPr>
    </w:p>
    <w:p w:rsidR="0025249A" w:rsidRDefault="0025249A" w:rsidP="005B5BC0">
      <w:pPr>
        <w:pStyle w:val="Heading1"/>
      </w:pPr>
      <w:r>
        <w:t xml:space="preserve"> </w:t>
      </w:r>
      <w:r w:rsidR="005B5BC0" w:rsidRPr="005B5BC0">
        <w:t>KPI 6 – Regulators actively contribute to the continuous improvement of regulatory frameworks</w:t>
      </w: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7001"/>
        <w:gridCol w:w="7458"/>
      </w:tblGrid>
      <w:tr w:rsidR="00CE0EDC" w:rsidTr="005B5BC0">
        <w:tc>
          <w:tcPr>
            <w:tcW w:w="7001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Measure</w:t>
            </w:r>
          </w:p>
        </w:tc>
        <w:tc>
          <w:tcPr>
            <w:tcW w:w="7458" w:type="dxa"/>
            <w:shd w:val="clear" w:color="auto" w:fill="CECBBC"/>
          </w:tcPr>
          <w:p w:rsidR="00CE0EDC" w:rsidRDefault="00CE0EDC" w:rsidP="00631179">
            <w:r w:rsidRPr="0025249A"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</w:p>
        </w:tc>
      </w:tr>
      <w:tr w:rsidR="00CE0EDC" w:rsidTr="005B5BC0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6.1 The 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co-operative and collaborative relationships with regulated entities and their representatives to make it easy for them to contribute to continuous improvements including options for reducing compliance costs.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58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6.1.1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a summary of the OFSC’s interactions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with industry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bodies and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Government agencies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outcomes in relation to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continuous improvement of the regulatory framework.  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E0EDC" w:rsidTr="005B5BC0">
        <w:tc>
          <w:tcPr>
            <w:tcW w:w="7001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6.2 The 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cooperative and collaborative relationships with stakeholders involved in work health and safety regulatory activities. </w:t>
            </w:r>
          </w:p>
          <w:p w:rsidR="00CE0EDC" w:rsidRPr="0025249A" w:rsidRDefault="00CE0EDC" w:rsidP="00CE0E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58" w:type="dxa"/>
          </w:tcPr>
          <w:p w:rsidR="00CE0EDC" w:rsidRPr="0025249A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6.2.1 The OFSC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provide a summary report on discussions 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with relevant state and territory and other WHS regulators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during the reporting period.</w:t>
            </w:r>
            <w:r w:rsidRPr="002524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E0EDC" w:rsidRPr="001B3568" w:rsidRDefault="00CE0EDC" w:rsidP="00CE0E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5249A" w:rsidRDefault="0025249A"/>
    <w:p w:rsidR="003E0E5D" w:rsidRDefault="003E0E5D"/>
    <w:p w:rsidR="003E0E5D" w:rsidRDefault="003E0E5D"/>
    <w:p w:rsidR="009622D5" w:rsidRPr="003E0E5D" w:rsidRDefault="009622D5" w:rsidP="00795ED5">
      <w:pPr>
        <w:rPr>
          <w:rFonts w:asciiTheme="minorHAnsi" w:hAnsiTheme="minorHAnsi" w:cstheme="minorHAnsi"/>
        </w:rPr>
      </w:pPr>
    </w:p>
    <w:sectPr w:rsidR="009622D5" w:rsidRPr="003E0E5D" w:rsidSect="005B5BC0">
      <w:headerReference w:type="default" r:id="rId11"/>
      <w:headerReference w:type="first" r:id="rId12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FD" w:rsidRDefault="008425FD" w:rsidP="009203E2">
      <w:r>
        <w:separator/>
      </w:r>
    </w:p>
  </w:endnote>
  <w:endnote w:type="continuationSeparator" w:id="0">
    <w:p w:rsidR="008425FD" w:rsidRDefault="008425FD" w:rsidP="0092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FD" w:rsidRDefault="008425FD" w:rsidP="009203E2">
      <w:r>
        <w:separator/>
      </w:r>
    </w:p>
  </w:footnote>
  <w:footnote w:type="continuationSeparator" w:id="0">
    <w:p w:rsidR="008425FD" w:rsidRDefault="008425FD" w:rsidP="0092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BF" w:rsidRPr="005B5BC0" w:rsidRDefault="007B50BF" w:rsidP="005B5BC0">
    <w:pPr>
      <w:jc w:val="center"/>
      <w:rPr>
        <w:b/>
      </w:rPr>
    </w:pPr>
    <w:r w:rsidRPr="005B5BC0">
      <w:rPr>
        <w:b/>
      </w:rPr>
      <w:t>OFFICE OF THE FEDERAL SAFETY COMMISSIONER – REGULATOR PERFORMANCE FRAMEWORK - MEASURES</w:t>
    </w:r>
  </w:p>
  <w:p w:rsidR="003112E9" w:rsidRDefault="00311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C0" w:rsidRPr="005B5BC0" w:rsidRDefault="005B5BC0" w:rsidP="005B5BC0">
    <w:pPr>
      <w:pStyle w:val="Title"/>
    </w:pPr>
    <w:r w:rsidRPr="005B5BC0">
      <w:t>OFFICE OF THE FEDERAL SAFETY COMMISSIONER – REGULATOR PERFORMANCE FRAMEWORK - MEASURES</w:t>
    </w:r>
  </w:p>
  <w:p w:rsidR="005B5BC0" w:rsidRDefault="005B5B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567"/>
    <w:multiLevelType w:val="hybridMultilevel"/>
    <w:tmpl w:val="A8E26858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B2A"/>
    <w:multiLevelType w:val="hybridMultilevel"/>
    <w:tmpl w:val="93441D2E"/>
    <w:lvl w:ilvl="0" w:tplc="D9B814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27767"/>
    <w:multiLevelType w:val="hybridMultilevel"/>
    <w:tmpl w:val="E93651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D7722"/>
    <w:multiLevelType w:val="hybridMultilevel"/>
    <w:tmpl w:val="50F2C7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233CA7"/>
    <w:multiLevelType w:val="multilevel"/>
    <w:tmpl w:val="12B4C87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2A3866"/>
    <w:multiLevelType w:val="hybridMultilevel"/>
    <w:tmpl w:val="BECC1B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111FE6"/>
    <w:multiLevelType w:val="multilevel"/>
    <w:tmpl w:val="FBB4C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A53B7E"/>
    <w:multiLevelType w:val="hybridMultilevel"/>
    <w:tmpl w:val="9DA8CBA0"/>
    <w:lvl w:ilvl="0" w:tplc="46D61014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 w15:restartNumberingAfterBreak="0">
    <w:nsid w:val="242266DE"/>
    <w:multiLevelType w:val="hybridMultilevel"/>
    <w:tmpl w:val="707A78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307BA1"/>
    <w:multiLevelType w:val="hybridMultilevel"/>
    <w:tmpl w:val="BAD6375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9256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0806A8"/>
    <w:multiLevelType w:val="hybridMultilevel"/>
    <w:tmpl w:val="15885E3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7440A30"/>
    <w:multiLevelType w:val="hybridMultilevel"/>
    <w:tmpl w:val="F9605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105E"/>
    <w:multiLevelType w:val="hybridMultilevel"/>
    <w:tmpl w:val="402AF5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6F25C5"/>
    <w:multiLevelType w:val="hybridMultilevel"/>
    <w:tmpl w:val="516CF7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E1B9B"/>
    <w:multiLevelType w:val="hybridMultilevel"/>
    <w:tmpl w:val="6076EAB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C177D89"/>
    <w:multiLevelType w:val="hybridMultilevel"/>
    <w:tmpl w:val="7B40E7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AE51B7"/>
    <w:multiLevelType w:val="hybridMultilevel"/>
    <w:tmpl w:val="27A420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4C4482"/>
    <w:multiLevelType w:val="hybridMultilevel"/>
    <w:tmpl w:val="F54E7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3754E"/>
    <w:multiLevelType w:val="hybridMultilevel"/>
    <w:tmpl w:val="96327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286492"/>
    <w:multiLevelType w:val="hybridMultilevel"/>
    <w:tmpl w:val="BE24E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4747C"/>
    <w:multiLevelType w:val="multilevel"/>
    <w:tmpl w:val="01E4E9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1F1F95"/>
    <w:multiLevelType w:val="multilevel"/>
    <w:tmpl w:val="88D00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F425E"/>
    <w:multiLevelType w:val="hybridMultilevel"/>
    <w:tmpl w:val="B92670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323EA5"/>
    <w:multiLevelType w:val="hybridMultilevel"/>
    <w:tmpl w:val="F20EB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F44BAC"/>
    <w:multiLevelType w:val="hybridMultilevel"/>
    <w:tmpl w:val="19F403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F7387"/>
    <w:multiLevelType w:val="multilevel"/>
    <w:tmpl w:val="007007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626B7E08"/>
    <w:multiLevelType w:val="multilevel"/>
    <w:tmpl w:val="A4FCE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4D17D07"/>
    <w:multiLevelType w:val="hybridMultilevel"/>
    <w:tmpl w:val="B574A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C306DD"/>
    <w:multiLevelType w:val="hybridMultilevel"/>
    <w:tmpl w:val="F6AA8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BC0CE5"/>
    <w:multiLevelType w:val="hybridMultilevel"/>
    <w:tmpl w:val="E10AE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CF4752"/>
    <w:multiLevelType w:val="hybridMultilevel"/>
    <w:tmpl w:val="0F72D1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C348DE"/>
    <w:multiLevelType w:val="hybridMultilevel"/>
    <w:tmpl w:val="0748C112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69B3"/>
    <w:multiLevelType w:val="hybridMultilevel"/>
    <w:tmpl w:val="AC2A3BC2"/>
    <w:lvl w:ilvl="0" w:tplc="0C0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</w:abstractNum>
  <w:abstractNum w:abstractNumId="34" w15:restartNumberingAfterBreak="0">
    <w:nsid w:val="7160305E"/>
    <w:multiLevelType w:val="hybridMultilevel"/>
    <w:tmpl w:val="EC60C294"/>
    <w:lvl w:ilvl="0" w:tplc="F710C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83CA2"/>
    <w:multiLevelType w:val="multilevel"/>
    <w:tmpl w:val="88C0A0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321041"/>
    <w:multiLevelType w:val="hybridMultilevel"/>
    <w:tmpl w:val="6D6C45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3F42C2"/>
    <w:multiLevelType w:val="multilevel"/>
    <w:tmpl w:val="C2DA9694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20"/>
  </w:num>
  <w:num w:numId="6">
    <w:abstractNumId w:val="13"/>
  </w:num>
  <w:num w:numId="7">
    <w:abstractNumId w:val="33"/>
  </w:num>
  <w:num w:numId="8">
    <w:abstractNumId w:val="14"/>
  </w:num>
  <w:num w:numId="9">
    <w:abstractNumId w:val="36"/>
  </w:num>
  <w:num w:numId="10">
    <w:abstractNumId w:val="28"/>
  </w:num>
  <w:num w:numId="11">
    <w:abstractNumId w:val="15"/>
  </w:num>
  <w:num w:numId="12">
    <w:abstractNumId w:val="29"/>
  </w:num>
  <w:num w:numId="13">
    <w:abstractNumId w:val="11"/>
  </w:num>
  <w:num w:numId="14">
    <w:abstractNumId w:val="5"/>
  </w:num>
  <w:num w:numId="15">
    <w:abstractNumId w:val="12"/>
  </w:num>
  <w:num w:numId="16">
    <w:abstractNumId w:val="3"/>
  </w:num>
  <w:num w:numId="17">
    <w:abstractNumId w:val="10"/>
  </w:num>
  <w:num w:numId="18">
    <w:abstractNumId w:val="19"/>
  </w:num>
  <w:num w:numId="19">
    <w:abstractNumId w:val="8"/>
  </w:num>
  <w:num w:numId="20">
    <w:abstractNumId w:val="24"/>
  </w:num>
  <w:num w:numId="21">
    <w:abstractNumId w:val="31"/>
  </w:num>
  <w:num w:numId="22">
    <w:abstractNumId w:val="30"/>
  </w:num>
  <w:num w:numId="23">
    <w:abstractNumId w:val="17"/>
  </w:num>
  <w:num w:numId="24">
    <w:abstractNumId w:val="34"/>
  </w:num>
  <w:num w:numId="25">
    <w:abstractNumId w:val="9"/>
  </w:num>
  <w:num w:numId="26">
    <w:abstractNumId w:val="32"/>
  </w:num>
  <w:num w:numId="27">
    <w:abstractNumId w:val="0"/>
  </w:num>
  <w:num w:numId="28">
    <w:abstractNumId w:val="22"/>
  </w:num>
  <w:num w:numId="29">
    <w:abstractNumId w:val="4"/>
  </w:num>
  <w:num w:numId="30">
    <w:abstractNumId w:val="25"/>
  </w:num>
  <w:num w:numId="31">
    <w:abstractNumId w:val="21"/>
  </w:num>
  <w:num w:numId="32">
    <w:abstractNumId w:val="6"/>
  </w:num>
  <w:num w:numId="33">
    <w:abstractNumId w:val="35"/>
  </w:num>
  <w:num w:numId="34">
    <w:abstractNumId w:val="27"/>
  </w:num>
  <w:num w:numId="35">
    <w:abstractNumId w:val="37"/>
  </w:num>
  <w:num w:numId="36">
    <w:abstractNumId w:val="1"/>
  </w:num>
  <w:num w:numId="37">
    <w:abstractNumId w:val="2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1F"/>
    <w:rsid w:val="0000223C"/>
    <w:rsid w:val="0000459B"/>
    <w:rsid w:val="00010DEF"/>
    <w:rsid w:val="00016135"/>
    <w:rsid w:val="00020FC8"/>
    <w:rsid w:val="00023181"/>
    <w:rsid w:val="00030191"/>
    <w:rsid w:val="0004267A"/>
    <w:rsid w:val="00046BF8"/>
    <w:rsid w:val="00054831"/>
    <w:rsid w:val="00056B6B"/>
    <w:rsid w:val="0007050D"/>
    <w:rsid w:val="00076469"/>
    <w:rsid w:val="00086263"/>
    <w:rsid w:val="000A46F4"/>
    <w:rsid w:val="000B4B41"/>
    <w:rsid w:val="000C13AF"/>
    <w:rsid w:val="000C1E01"/>
    <w:rsid w:val="000C393F"/>
    <w:rsid w:val="000C5EC3"/>
    <w:rsid w:val="000D2386"/>
    <w:rsid w:val="000D3DFF"/>
    <w:rsid w:val="000E251F"/>
    <w:rsid w:val="000E4C4E"/>
    <w:rsid w:val="000E5240"/>
    <w:rsid w:val="000E6151"/>
    <w:rsid w:val="000F0AF5"/>
    <w:rsid w:val="000F1A3B"/>
    <w:rsid w:val="000F25CF"/>
    <w:rsid w:val="00116506"/>
    <w:rsid w:val="00165A0B"/>
    <w:rsid w:val="0016712C"/>
    <w:rsid w:val="0016753D"/>
    <w:rsid w:val="00167A9E"/>
    <w:rsid w:val="001845D1"/>
    <w:rsid w:val="00187B2B"/>
    <w:rsid w:val="00191C70"/>
    <w:rsid w:val="00197C25"/>
    <w:rsid w:val="001A0053"/>
    <w:rsid w:val="001A6C54"/>
    <w:rsid w:val="001A6FB2"/>
    <w:rsid w:val="001B28BC"/>
    <w:rsid w:val="001B32C7"/>
    <w:rsid w:val="001B3568"/>
    <w:rsid w:val="001B6A53"/>
    <w:rsid w:val="001C12C4"/>
    <w:rsid w:val="001C12CF"/>
    <w:rsid w:val="001C611C"/>
    <w:rsid w:val="001C7BF4"/>
    <w:rsid w:val="001D0A69"/>
    <w:rsid w:val="001D2EC4"/>
    <w:rsid w:val="001D59D0"/>
    <w:rsid w:val="001E0831"/>
    <w:rsid w:val="001E7687"/>
    <w:rsid w:val="001F0493"/>
    <w:rsid w:val="001F0C1D"/>
    <w:rsid w:val="001F0E1F"/>
    <w:rsid w:val="00202A72"/>
    <w:rsid w:val="00204CD3"/>
    <w:rsid w:val="002104B1"/>
    <w:rsid w:val="00222A5A"/>
    <w:rsid w:val="00224D9F"/>
    <w:rsid w:val="00232394"/>
    <w:rsid w:val="00234B1C"/>
    <w:rsid w:val="00235B8E"/>
    <w:rsid w:val="002372C4"/>
    <w:rsid w:val="002400D6"/>
    <w:rsid w:val="002411BF"/>
    <w:rsid w:val="0024329D"/>
    <w:rsid w:val="00243A3E"/>
    <w:rsid w:val="00247FA1"/>
    <w:rsid w:val="00247FF4"/>
    <w:rsid w:val="0025249A"/>
    <w:rsid w:val="00254761"/>
    <w:rsid w:val="00257588"/>
    <w:rsid w:val="00267825"/>
    <w:rsid w:val="00267F32"/>
    <w:rsid w:val="00273AFA"/>
    <w:rsid w:val="00275AE6"/>
    <w:rsid w:val="00280987"/>
    <w:rsid w:val="00281A20"/>
    <w:rsid w:val="00294576"/>
    <w:rsid w:val="00295743"/>
    <w:rsid w:val="00297E05"/>
    <w:rsid w:val="002A2C58"/>
    <w:rsid w:val="002B30A7"/>
    <w:rsid w:val="002B7BBE"/>
    <w:rsid w:val="002C2B17"/>
    <w:rsid w:val="002C4ABF"/>
    <w:rsid w:val="002D1729"/>
    <w:rsid w:val="002D6A91"/>
    <w:rsid w:val="002E0249"/>
    <w:rsid w:val="002E053C"/>
    <w:rsid w:val="002E1376"/>
    <w:rsid w:val="002E3920"/>
    <w:rsid w:val="002F296E"/>
    <w:rsid w:val="002F5CDB"/>
    <w:rsid w:val="003112E9"/>
    <w:rsid w:val="00312FC9"/>
    <w:rsid w:val="00316D56"/>
    <w:rsid w:val="0033298E"/>
    <w:rsid w:val="003337F7"/>
    <w:rsid w:val="003377C0"/>
    <w:rsid w:val="00345846"/>
    <w:rsid w:val="00357FE6"/>
    <w:rsid w:val="003601F3"/>
    <w:rsid w:val="003609C0"/>
    <w:rsid w:val="00365C69"/>
    <w:rsid w:val="00374109"/>
    <w:rsid w:val="00383A5D"/>
    <w:rsid w:val="00386638"/>
    <w:rsid w:val="003A0D5C"/>
    <w:rsid w:val="003A6102"/>
    <w:rsid w:val="003B38AE"/>
    <w:rsid w:val="003C022B"/>
    <w:rsid w:val="003C2875"/>
    <w:rsid w:val="003C4467"/>
    <w:rsid w:val="003C682F"/>
    <w:rsid w:val="003C7E7B"/>
    <w:rsid w:val="003D7AB5"/>
    <w:rsid w:val="003E0E5D"/>
    <w:rsid w:val="003E1559"/>
    <w:rsid w:val="003E2686"/>
    <w:rsid w:val="003E38CC"/>
    <w:rsid w:val="003E3EE0"/>
    <w:rsid w:val="003E6E9A"/>
    <w:rsid w:val="003F7D5A"/>
    <w:rsid w:val="00400311"/>
    <w:rsid w:val="004038A8"/>
    <w:rsid w:val="00404953"/>
    <w:rsid w:val="0040705D"/>
    <w:rsid w:val="004130C2"/>
    <w:rsid w:val="004204F3"/>
    <w:rsid w:val="00421FDD"/>
    <w:rsid w:val="004240EA"/>
    <w:rsid w:val="00430D66"/>
    <w:rsid w:val="0044203F"/>
    <w:rsid w:val="00443B86"/>
    <w:rsid w:val="00454BA2"/>
    <w:rsid w:val="004619A1"/>
    <w:rsid w:val="00470F24"/>
    <w:rsid w:val="0047500E"/>
    <w:rsid w:val="004759D2"/>
    <w:rsid w:val="00481D3B"/>
    <w:rsid w:val="004828A9"/>
    <w:rsid w:val="004B08B4"/>
    <w:rsid w:val="004B1C97"/>
    <w:rsid w:val="004B3620"/>
    <w:rsid w:val="004B4EE2"/>
    <w:rsid w:val="004C22C9"/>
    <w:rsid w:val="004C31EA"/>
    <w:rsid w:val="004C65A5"/>
    <w:rsid w:val="004C73B1"/>
    <w:rsid w:val="004D7587"/>
    <w:rsid w:val="004F4F92"/>
    <w:rsid w:val="004F55E2"/>
    <w:rsid w:val="004F7281"/>
    <w:rsid w:val="0050174C"/>
    <w:rsid w:val="00503025"/>
    <w:rsid w:val="005034C3"/>
    <w:rsid w:val="00505613"/>
    <w:rsid w:val="0051503B"/>
    <w:rsid w:val="0051776C"/>
    <w:rsid w:val="005359C2"/>
    <w:rsid w:val="00542D5A"/>
    <w:rsid w:val="005438EB"/>
    <w:rsid w:val="00544560"/>
    <w:rsid w:val="00556B9E"/>
    <w:rsid w:val="00563B99"/>
    <w:rsid w:val="005655FB"/>
    <w:rsid w:val="00575978"/>
    <w:rsid w:val="00581087"/>
    <w:rsid w:val="00582694"/>
    <w:rsid w:val="0058553D"/>
    <w:rsid w:val="00587D87"/>
    <w:rsid w:val="00592518"/>
    <w:rsid w:val="00594A97"/>
    <w:rsid w:val="00594AB9"/>
    <w:rsid w:val="00595A17"/>
    <w:rsid w:val="00596B38"/>
    <w:rsid w:val="0059716F"/>
    <w:rsid w:val="005B0619"/>
    <w:rsid w:val="005B5B90"/>
    <w:rsid w:val="005B5BC0"/>
    <w:rsid w:val="005C48FD"/>
    <w:rsid w:val="005C57CE"/>
    <w:rsid w:val="005D68DE"/>
    <w:rsid w:val="005E67E6"/>
    <w:rsid w:val="005F2B1B"/>
    <w:rsid w:val="005F4AFB"/>
    <w:rsid w:val="00602903"/>
    <w:rsid w:val="00602C9B"/>
    <w:rsid w:val="006052A6"/>
    <w:rsid w:val="00606ADA"/>
    <w:rsid w:val="00607B3F"/>
    <w:rsid w:val="00616FAA"/>
    <w:rsid w:val="00623789"/>
    <w:rsid w:val="00626CD0"/>
    <w:rsid w:val="00635404"/>
    <w:rsid w:val="00644373"/>
    <w:rsid w:val="00653243"/>
    <w:rsid w:val="00670850"/>
    <w:rsid w:val="0067136C"/>
    <w:rsid w:val="006713D6"/>
    <w:rsid w:val="00674017"/>
    <w:rsid w:val="00677763"/>
    <w:rsid w:val="0069005A"/>
    <w:rsid w:val="00691F1F"/>
    <w:rsid w:val="00693724"/>
    <w:rsid w:val="006B4B9A"/>
    <w:rsid w:val="006B4BE8"/>
    <w:rsid w:val="006C38EB"/>
    <w:rsid w:val="006C3E86"/>
    <w:rsid w:val="006C49F8"/>
    <w:rsid w:val="006C7F72"/>
    <w:rsid w:val="006E4D13"/>
    <w:rsid w:val="006F3E86"/>
    <w:rsid w:val="0070466B"/>
    <w:rsid w:val="00706FA5"/>
    <w:rsid w:val="00711C93"/>
    <w:rsid w:val="007126AA"/>
    <w:rsid w:val="00713499"/>
    <w:rsid w:val="00714EE3"/>
    <w:rsid w:val="00715834"/>
    <w:rsid w:val="00724239"/>
    <w:rsid w:val="007505B0"/>
    <w:rsid w:val="007556B9"/>
    <w:rsid w:val="00761DE9"/>
    <w:rsid w:val="00764891"/>
    <w:rsid w:val="007661CB"/>
    <w:rsid w:val="00773365"/>
    <w:rsid w:val="00782492"/>
    <w:rsid w:val="00782E4C"/>
    <w:rsid w:val="00783771"/>
    <w:rsid w:val="0078580E"/>
    <w:rsid w:val="00792C51"/>
    <w:rsid w:val="00795EC8"/>
    <w:rsid w:val="00795ED5"/>
    <w:rsid w:val="00796EED"/>
    <w:rsid w:val="00797A8B"/>
    <w:rsid w:val="007A1857"/>
    <w:rsid w:val="007A712C"/>
    <w:rsid w:val="007B3201"/>
    <w:rsid w:val="007B50BF"/>
    <w:rsid w:val="007B783B"/>
    <w:rsid w:val="007C1607"/>
    <w:rsid w:val="007D13A8"/>
    <w:rsid w:val="007D202F"/>
    <w:rsid w:val="007D2BB9"/>
    <w:rsid w:val="007D35DF"/>
    <w:rsid w:val="007E27EB"/>
    <w:rsid w:val="007E5850"/>
    <w:rsid w:val="007F1968"/>
    <w:rsid w:val="0081448C"/>
    <w:rsid w:val="00814C76"/>
    <w:rsid w:val="00837509"/>
    <w:rsid w:val="00840545"/>
    <w:rsid w:val="008425FD"/>
    <w:rsid w:val="008446D9"/>
    <w:rsid w:val="00845B71"/>
    <w:rsid w:val="00850847"/>
    <w:rsid w:val="00850A92"/>
    <w:rsid w:val="00853BBB"/>
    <w:rsid w:val="0086175E"/>
    <w:rsid w:val="00865C0A"/>
    <w:rsid w:val="00870C2B"/>
    <w:rsid w:val="00871BB8"/>
    <w:rsid w:val="0087255C"/>
    <w:rsid w:val="00873859"/>
    <w:rsid w:val="00881BEF"/>
    <w:rsid w:val="008821C9"/>
    <w:rsid w:val="0088383B"/>
    <w:rsid w:val="00887142"/>
    <w:rsid w:val="0089062C"/>
    <w:rsid w:val="00894070"/>
    <w:rsid w:val="008A07C9"/>
    <w:rsid w:val="008A509E"/>
    <w:rsid w:val="008C2427"/>
    <w:rsid w:val="008C5D40"/>
    <w:rsid w:val="008E76D7"/>
    <w:rsid w:val="008F0CA0"/>
    <w:rsid w:val="008F3792"/>
    <w:rsid w:val="008F3817"/>
    <w:rsid w:val="00910018"/>
    <w:rsid w:val="00920293"/>
    <w:rsid w:val="009203E2"/>
    <w:rsid w:val="00923F23"/>
    <w:rsid w:val="00934E44"/>
    <w:rsid w:val="009357DD"/>
    <w:rsid w:val="00936E9C"/>
    <w:rsid w:val="009372C7"/>
    <w:rsid w:val="00937707"/>
    <w:rsid w:val="00946336"/>
    <w:rsid w:val="0095523D"/>
    <w:rsid w:val="00956810"/>
    <w:rsid w:val="009579DC"/>
    <w:rsid w:val="009622D5"/>
    <w:rsid w:val="009629A2"/>
    <w:rsid w:val="009642E0"/>
    <w:rsid w:val="009646CD"/>
    <w:rsid w:val="00967DB0"/>
    <w:rsid w:val="00971B78"/>
    <w:rsid w:val="00973290"/>
    <w:rsid w:val="00974B6E"/>
    <w:rsid w:val="00980332"/>
    <w:rsid w:val="009819F9"/>
    <w:rsid w:val="00985389"/>
    <w:rsid w:val="00990164"/>
    <w:rsid w:val="009A2EC0"/>
    <w:rsid w:val="009B1678"/>
    <w:rsid w:val="009B509D"/>
    <w:rsid w:val="009B53C1"/>
    <w:rsid w:val="009B5726"/>
    <w:rsid w:val="009B6004"/>
    <w:rsid w:val="009C4346"/>
    <w:rsid w:val="009D0382"/>
    <w:rsid w:val="009D1FAC"/>
    <w:rsid w:val="009D404F"/>
    <w:rsid w:val="009D54E7"/>
    <w:rsid w:val="009D7594"/>
    <w:rsid w:val="009E05A7"/>
    <w:rsid w:val="009E6726"/>
    <w:rsid w:val="009E73B4"/>
    <w:rsid w:val="009F1CFB"/>
    <w:rsid w:val="009F21FD"/>
    <w:rsid w:val="009F6B23"/>
    <w:rsid w:val="00A177E0"/>
    <w:rsid w:val="00A20D3A"/>
    <w:rsid w:val="00A2203B"/>
    <w:rsid w:val="00A225E9"/>
    <w:rsid w:val="00A273F0"/>
    <w:rsid w:val="00A365C1"/>
    <w:rsid w:val="00A462F7"/>
    <w:rsid w:val="00A52409"/>
    <w:rsid w:val="00A57F5B"/>
    <w:rsid w:val="00A8249B"/>
    <w:rsid w:val="00A861AB"/>
    <w:rsid w:val="00A901E1"/>
    <w:rsid w:val="00A9028A"/>
    <w:rsid w:val="00A94426"/>
    <w:rsid w:val="00A963A6"/>
    <w:rsid w:val="00A97FC8"/>
    <w:rsid w:val="00AA4CDA"/>
    <w:rsid w:val="00AB162E"/>
    <w:rsid w:val="00AB78F4"/>
    <w:rsid w:val="00AC0F67"/>
    <w:rsid w:val="00AC4C03"/>
    <w:rsid w:val="00AE3ECE"/>
    <w:rsid w:val="00AE7A99"/>
    <w:rsid w:val="00AF1CB8"/>
    <w:rsid w:val="00AF402F"/>
    <w:rsid w:val="00AF573A"/>
    <w:rsid w:val="00AF65FC"/>
    <w:rsid w:val="00B004C8"/>
    <w:rsid w:val="00B020B2"/>
    <w:rsid w:val="00B02CED"/>
    <w:rsid w:val="00B03978"/>
    <w:rsid w:val="00B061E4"/>
    <w:rsid w:val="00B11E22"/>
    <w:rsid w:val="00B20115"/>
    <w:rsid w:val="00B21FF9"/>
    <w:rsid w:val="00B23E41"/>
    <w:rsid w:val="00B276CA"/>
    <w:rsid w:val="00B322F7"/>
    <w:rsid w:val="00B35904"/>
    <w:rsid w:val="00B3603D"/>
    <w:rsid w:val="00B36A5D"/>
    <w:rsid w:val="00B46429"/>
    <w:rsid w:val="00B52AE0"/>
    <w:rsid w:val="00B54608"/>
    <w:rsid w:val="00B5558C"/>
    <w:rsid w:val="00B64308"/>
    <w:rsid w:val="00B7078E"/>
    <w:rsid w:val="00B81242"/>
    <w:rsid w:val="00B87814"/>
    <w:rsid w:val="00B956AC"/>
    <w:rsid w:val="00B96F86"/>
    <w:rsid w:val="00BA17C5"/>
    <w:rsid w:val="00BA259E"/>
    <w:rsid w:val="00BA6866"/>
    <w:rsid w:val="00BB34BC"/>
    <w:rsid w:val="00BC0919"/>
    <w:rsid w:val="00BC36CE"/>
    <w:rsid w:val="00BD5840"/>
    <w:rsid w:val="00BE7DA7"/>
    <w:rsid w:val="00C0298A"/>
    <w:rsid w:val="00C07ECC"/>
    <w:rsid w:val="00C1245E"/>
    <w:rsid w:val="00C139F3"/>
    <w:rsid w:val="00C15ABE"/>
    <w:rsid w:val="00C15CAB"/>
    <w:rsid w:val="00C15EF7"/>
    <w:rsid w:val="00C216F8"/>
    <w:rsid w:val="00C2382D"/>
    <w:rsid w:val="00C269B6"/>
    <w:rsid w:val="00C32A05"/>
    <w:rsid w:val="00C33266"/>
    <w:rsid w:val="00C33D39"/>
    <w:rsid w:val="00C42318"/>
    <w:rsid w:val="00C50740"/>
    <w:rsid w:val="00C51818"/>
    <w:rsid w:val="00C57ED9"/>
    <w:rsid w:val="00C612C1"/>
    <w:rsid w:val="00C750B6"/>
    <w:rsid w:val="00C80EC2"/>
    <w:rsid w:val="00C84D9C"/>
    <w:rsid w:val="00C939B6"/>
    <w:rsid w:val="00C93BBE"/>
    <w:rsid w:val="00C94651"/>
    <w:rsid w:val="00CA044B"/>
    <w:rsid w:val="00CA687E"/>
    <w:rsid w:val="00CB0303"/>
    <w:rsid w:val="00CB45C7"/>
    <w:rsid w:val="00CB6F7A"/>
    <w:rsid w:val="00CB71BC"/>
    <w:rsid w:val="00CB7B6F"/>
    <w:rsid w:val="00CC0F90"/>
    <w:rsid w:val="00CE09E7"/>
    <w:rsid w:val="00CE0EDC"/>
    <w:rsid w:val="00CE111C"/>
    <w:rsid w:val="00CE3319"/>
    <w:rsid w:val="00D05A5C"/>
    <w:rsid w:val="00D07236"/>
    <w:rsid w:val="00D16FCF"/>
    <w:rsid w:val="00D26830"/>
    <w:rsid w:val="00D3387F"/>
    <w:rsid w:val="00D41107"/>
    <w:rsid w:val="00D42C67"/>
    <w:rsid w:val="00D44847"/>
    <w:rsid w:val="00D45BE5"/>
    <w:rsid w:val="00D45FF3"/>
    <w:rsid w:val="00D5069D"/>
    <w:rsid w:val="00D50B95"/>
    <w:rsid w:val="00D51EAD"/>
    <w:rsid w:val="00D5424F"/>
    <w:rsid w:val="00D60DE1"/>
    <w:rsid w:val="00D66407"/>
    <w:rsid w:val="00D66E3F"/>
    <w:rsid w:val="00D7259E"/>
    <w:rsid w:val="00D75CE8"/>
    <w:rsid w:val="00D80F44"/>
    <w:rsid w:val="00D8131D"/>
    <w:rsid w:val="00D859BA"/>
    <w:rsid w:val="00D90DCA"/>
    <w:rsid w:val="00D979D1"/>
    <w:rsid w:val="00DA02F6"/>
    <w:rsid w:val="00DC1B72"/>
    <w:rsid w:val="00DC700B"/>
    <w:rsid w:val="00DD0E31"/>
    <w:rsid w:val="00DD3886"/>
    <w:rsid w:val="00DE14D0"/>
    <w:rsid w:val="00DE1AA3"/>
    <w:rsid w:val="00DF06A9"/>
    <w:rsid w:val="00E0396B"/>
    <w:rsid w:val="00E04975"/>
    <w:rsid w:val="00E15D27"/>
    <w:rsid w:val="00E27D23"/>
    <w:rsid w:val="00E32634"/>
    <w:rsid w:val="00E34360"/>
    <w:rsid w:val="00E34D5A"/>
    <w:rsid w:val="00E4038A"/>
    <w:rsid w:val="00E42D5A"/>
    <w:rsid w:val="00E456D3"/>
    <w:rsid w:val="00E46844"/>
    <w:rsid w:val="00E60B8B"/>
    <w:rsid w:val="00E61259"/>
    <w:rsid w:val="00E6442A"/>
    <w:rsid w:val="00E668A8"/>
    <w:rsid w:val="00E82F8E"/>
    <w:rsid w:val="00E85110"/>
    <w:rsid w:val="00E90A09"/>
    <w:rsid w:val="00E95BB8"/>
    <w:rsid w:val="00EA27DD"/>
    <w:rsid w:val="00EA3695"/>
    <w:rsid w:val="00EB0F3D"/>
    <w:rsid w:val="00EB519E"/>
    <w:rsid w:val="00ED1D4B"/>
    <w:rsid w:val="00EE1373"/>
    <w:rsid w:val="00EE1A21"/>
    <w:rsid w:val="00EE3EC4"/>
    <w:rsid w:val="00EE50D6"/>
    <w:rsid w:val="00EE66A9"/>
    <w:rsid w:val="00EF220E"/>
    <w:rsid w:val="00EF2CF3"/>
    <w:rsid w:val="00EF3E75"/>
    <w:rsid w:val="00EF5805"/>
    <w:rsid w:val="00F02903"/>
    <w:rsid w:val="00F05433"/>
    <w:rsid w:val="00F1251F"/>
    <w:rsid w:val="00F1435B"/>
    <w:rsid w:val="00F169F7"/>
    <w:rsid w:val="00F50771"/>
    <w:rsid w:val="00F529B5"/>
    <w:rsid w:val="00F67EF5"/>
    <w:rsid w:val="00F74477"/>
    <w:rsid w:val="00F917E3"/>
    <w:rsid w:val="00F9202F"/>
    <w:rsid w:val="00FA2517"/>
    <w:rsid w:val="00FA397C"/>
    <w:rsid w:val="00FA74A2"/>
    <w:rsid w:val="00FB3711"/>
    <w:rsid w:val="00FB72EF"/>
    <w:rsid w:val="00FC0C3E"/>
    <w:rsid w:val="00FC62C1"/>
    <w:rsid w:val="00FD7FF6"/>
    <w:rsid w:val="00FE36F4"/>
    <w:rsid w:val="00FE74F9"/>
    <w:rsid w:val="00FF09DF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0B8169C-03B4-43B7-8213-94D52B63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5BC0"/>
    <w:pPr>
      <w:spacing w:before="120" w:after="120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E0E5D"/>
    <w:pPr>
      <w:keepNext/>
      <w:numPr>
        <w:ilvl w:val="1"/>
        <w:numId w:val="3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E0E5D"/>
    <w:pPr>
      <w:keepNext/>
      <w:numPr>
        <w:ilvl w:val="2"/>
        <w:numId w:val="37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E0E5D"/>
    <w:pPr>
      <w:keepNext/>
      <w:numPr>
        <w:ilvl w:val="3"/>
        <w:numId w:val="37"/>
      </w:numPr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E0E5D"/>
    <w:pPr>
      <w:numPr>
        <w:ilvl w:val="4"/>
        <w:numId w:val="37"/>
      </w:num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E0E5D"/>
    <w:pPr>
      <w:numPr>
        <w:ilvl w:val="5"/>
        <w:numId w:val="37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E0E5D"/>
    <w:pPr>
      <w:numPr>
        <w:ilvl w:val="6"/>
        <w:numId w:val="37"/>
      </w:num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3E0E5D"/>
    <w:pPr>
      <w:numPr>
        <w:ilvl w:val="7"/>
        <w:numId w:val="37"/>
      </w:num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3E0E5D"/>
    <w:pPr>
      <w:numPr>
        <w:ilvl w:val="8"/>
        <w:numId w:val="37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"/>
    <w:basedOn w:val="Normal"/>
    <w:link w:val="ListParagraphChar"/>
    <w:uiPriority w:val="34"/>
    <w:qFormat/>
    <w:rsid w:val="00691F1F"/>
    <w:pPr>
      <w:ind w:left="720"/>
      <w:contextualSpacing/>
    </w:pPr>
  </w:style>
  <w:style w:type="table" w:styleId="TableGrid">
    <w:name w:val="Table Grid"/>
    <w:basedOn w:val="TableNormal"/>
    <w:rsid w:val="0069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E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20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E2"/>
    <w:rPr>
      <w:sz w:val="24"/>
      <w:szCs w:val="24"/>
    </w:rPr>
  </w:style>
  <w:style w:type="paragraph" w:styleId="Footer">
    <w:name w:val="footer"/>
    <w:basedOn w:val="Normal"/>
    <w:link w:val="FooterChar"/>
    <w:rsid w:val="00920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03E2"/>
    <w:rPr>
      <w:sz w:val="24"/>
      <w:szCs w:val="24"/>
    </w:rPr>
  </w:style>
  <w:style w:type="paragraph" w:styleId="Title">
    <w:name w:val="Title"/>
    <w:basedOn w:val="Header"/>
    <w:next w:val="Normal"/>
    <w:link w:val="TitleChar"/>
    <w:uiPriority w:val="10"/>
    <w:qFormat/>
    <w:rsid w:val="005B5BC0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5B5BC0"/>
    <w:rPr>
      <w:b/>
      <w:sz w:val="24"/>
      <w:szCs w:val="24"/>
    </w:rPr>
  </w:style>
  <w:style w:type="character" w:customStyle="1" w:styleId="ListParagraphChar">
    <w:name w:val="List Paragraph Char"/>
    <w:aliases w:val="Recommendation Char"/>
    <w:basedOn w:val="DefaultParagraphFont"/>
    <w:link w:val="ListParagraph"/>
    <w:uiPriority w:val="34"/>
    <w:locked/>
    <w:rsid w:val="009203E2"/>
    <w:rPr>
      <w:sz w:val="24"/>
      <w:szCs w:val="24"/>
    </w:rPr>
  </w:style>
  <w:style w:type="paragraph" w:styleId="BalloonText">
    <w:name w:val="Balloon Text"/>
    <w:basedOn w:val="Normal"/>
    <w:link w:val="BalloonTextChar"/>
    <w:rsid w:val="00F1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9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C2B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2B17"/>
  </w:style>
  <w:style w:type="character" w:styleId="FootnoteReference">
    <w:name w:val="footnote reference"/>
    <w:basedOn w:val="DefaultParagraphFont"/>
    <w:rsid w:val="002C2B17"/>
    <w:rPr>
      <w:vertAlign w:val="superscript"/>
    </w:rPr>
  </w:style>
  <w:style w:type="character" w:styleId="CommentReference">
    <w:name w:val="annotation reference"/>
    <w:basedOn w:val="DefaultParagraphFont"/>
    <w:rsid w:val="001A00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0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0053"/>
  </w:style>
  <w:style w:type="paragraph" w:styleId="CommentSubject">
    <w:name w:val="annotation subject"/>
    <w:basedOn w:val="CommentText"/>
    <w:next w:val="CommentText"/>
    <w:link w:val="CommentSubjectChar"/>
    <w:rsid w:val="001A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005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B5BC0"/>
    <w:rPr>
      <w:rFonts w:asciiTheme="minorHAnsi" w:hAnsiTheme="minorHAnsi" w:cstheme="minorHAnsi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E0E5D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E0E5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3E0E5D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3E0E5D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3E0E5D"/>
    <w:rPr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3E0E5D"/>
    <w:rPr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3E0E5D"/>
    <w:rPr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3E0E5D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0985BFFC5C4888EA7A1112042214" ma:contentTypeVersion="2" ma:contentTypeDescription="Create a new document." ma:contentTypeScope="" ma:versionID="7c702674138ba739aead26195aa90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5c7d6d266a7b62c13fb79b070982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F74E-A9A5-46EE-A352-675FD72CDAC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75DB4-3182-4EBF-B497-1413BE64C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2CB00-434E-484C-8ED5-61D1C743B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35234-E915-4C0F-A8A2-0B898130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5478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Eldridge</dc:creator>
  <cp:lastModifiedBy>SIMMS,Daniel</cp:lastModifiedBy>
  <cp:revision>2</cp:revision>
  <cp:lastPrinted>2015-05-28T06:01:00Z</cp:lastPrinted>
  <dcterms:created xsi:type="dcterms:W3CDTF">2020-02-04T21:52:00Z</dcterms:created>
  <dcterms:modified xsi:type="dcterms:W3CDTF">2020-02-04T21:52:00Z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0x01010064D00985BFFC5C4888EA7A1112042214</vt:lpwstr>
  </property>
</Properties>
</file>