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62B46" w14:textId="18EDB615" w:rsidR="000E6FBB" w:rsidRDefault="00484CCB" w:rsidP="00484CCB">
      <w:pPr>
        <w:ind w:left="-1418"/>
      </w:pPr>
      <w:r>
        <w:rPr>
          <w:noProof/>
        </w:rPr>
        <w:drawing>
          <wp:anchor distT="0" distB="0" distL="114300" distR="114300" simplePos="0" relativeHeight="251664384" behindDoc="0" locked="0" layoutInCell="1" allowOverlap="1" wp14:anchorId="529E8665" wp14:editId="7A858C02">
            <wp:simplePos x="0" y="0"/>
            <wp:positionH relativeFrom="page">
              <wp:align>right</wp:align>
            </wp:positionH>
            <wp:positionV relativeFrom="paragraph">
              <wp:posOffset>-987041</wp:posOffset>
            </wp:positionV>
            <wp:extent cx="7608570" cy="142684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08570" cy="1426845"/>
                    </a:xfrm>
                    <a:prstGeom prst="rect">
                      <a:avLst/>
                    </a:prstGeom>
                    <a:noFill/>
                  </pic:spPr>
                </pic:pic>
              </a:graphicData>
            </a:graphic>
            <wp14:sizeRelH relativeFrom="page">
              <wp14:pctWidth>0</wp14:pctWidth>
            </wp14:sizeRelH>
            <wp14:sizeRelV relativeFrom="page">
              <wp14:pctHeight>0</wp14:pctHeight>
            </wp14:sizeRelV>
          </wp:anchor>
        </w:drawing>
      </w:r>
    </w:p>
    <w:p w14:paraId="03C9E04B" w14:textId="720D156F" w:rsidR="00484CCB" w:rsidRDefault="00484CCB" w:rsidP="00484CCB"/>
    <w:sdt>
      <w:sdtPr>
        <w:alias w:val="Title"/>
        <w:tag w:val=""/>
        <w:id w:val="-1223357544"/>
        <w:placeholder>
          <w:docPart w:val="6B3DA97B18DF46E2989A7CC4B0FDAB32"/>
        </w:placeholder>
        <w:dataBinding w:prefixMappings="xmlns:ns0='http://purl.org/dc/elements/1.1/' xmlns:ns1='http://schemas.openxmlformats.org/package/2006/metadata/core-properties' " w:xpath="/ns1:coreProperties[1]/ns0:title[1]" w:storeItemID="{6C3C8BC8-F283-45AE-878A-BAB7291924A1}"/>
        <w:text/>
      </w:sdtPr>
      <w:sdtEndPr/>
      <w:sdtContent>
        <w:p w14:paraId="2F6D4FAE" w14:textId="35EEC216" w:rsidR="00C10C19" w:rsidRDefault="00484CCB" w:rsidP="00484CCB">
          <w:pPr>
            <w:pStyle w:val="Title"/>
            <w:ind w:left="-426" w:right="-545"/>
          </w:pPr>
          <w:r>
            <w:t>Hazard 2020 FAQs</w:t>
          </w:r>
        </w:p>
      </w:sdtContent>
    </w:sdt>
    <w:p w14:paraId="06C759A3" w14:textId="6D0E1307" w:rsidR="00484CCB" w:rsidRDefault="00484CCB" w:rsidP="00484CCB">
      <w:pPr>
        <w:ind w:left="-567"/>
        <w:rPr>
          <w:lang w:eastAsia="en-AU"/>
        </w:rPr>
      </w:pPr>
      <w:r w:rsidRPr="00484CCB">
        <w:rPr>
          <w:rStyle w:val="Heading1Char"/>
        </w:rPr>
        <w:t>Q:</w:t>
      </w:r>
      <w:r w:rsidRPr="00484CCB">
        <w:rPr>
          <w:rStyle w:val="Heading1Char"/>
        </w:rPr>
        <w:tab/>
        <w:t>What is Hazard 2020?</w:t>
      </w:r>
      <w:r w:rsidRPr="001D5F2A">
        <w:rPr>
          <w:b/>
          <w:sz w:val="24"/>
        </w:rPr>
        <w:br/>
      </w:r>
      <w:r w:rsidRPr="001D5F2A">
        <w:t xml:space="preserve">Hazard 2020 is </w:t>
      </w:r>
      <w:r>
        <w:t xml:space="preserve">a new safety initiative from the Federal Safety Commissioner which places </w:t>
      </w:r>
      <w:r>
        <w:rPr>
          <w:lang w:eastAsia="en-AU"/>
        </w:rPr>
        <w:t xml:space="preserve">an </w:t>
      </w:r>
      <w:r w:rsidRPr="007F095F">
        <w:rPr>
          <w:lang w:eastAsia="en-AU"/>
        </w:rPr>
        <w:t xml:space="preserve">increased emphasis on all work relating to </w:t>
      </w:r>
      <w:r>
        <w:rPr>
          <w:lang w:eastAsia="en-AU"/>
        </w:rPr>
        <w:t xml:space="preserve">both </w:t>
      </w:r>
      <w:r>
        <w:rPr>
          <w:b/>
          <w:lang w:eastAsia="en-AU"/>
        </w:rPr>
        <w:t>Scaffolding</w:t>
      </w:r>
      <w:r w:rsidRPr="007F095F">
        <w:rPr>
          <w:lang w:eastAsia="en-AU"/>
        </w:rPr>
        <w:t xml:space="preserve"> and </w:t>
      </w:r>
      <w:r>
        <w:rPr>
          <w:b/>
          <w:lang w:eastAsia="en-AU"/>
        </w:rPr>
        <w:t>Mobile Plant</w:t>
      </w:r>
      <w:r w:rsidRPr="00232E59">
        <w:rPr>
          <w:lang w:eastAsia="en-AU"/>
        </w:rPr>
        <w:t>. The campaign will focus on:</w:t>
      </w:r>
    </w:p>
    <w:p w14:paraId="28C675FE" w14:textId="704B6EFC" w:rsidR="00484CCB" w:rsidRDefault="00484CCB" w:rsidP="00484CCB">
      <w:pPr>
        <w:pStyle w:val="ListParagraph"/>
        <w:numPr>
          <w:ilvl w:val="0"/>
          <w:numId w:val="39"/>
        </w:numPr>
        <w:ind w:left="-567" w:firstLine="0"/>
      </w:pPr>
      <w:r>
        <w:t>Expanding the range of educational material and information associated with managing these risks onsite.</w:t>
      </w:r>
    </w:p>
    <w:p w14:paraId="60A95874" w14:textId="77777777" w:rsidR="00484CCB" w:rsidRDefault="00484CCB" w:rsidP="00484CCB">
      <w:pPr>
        <w:pStyle w:val="ListParagraph"/>
        <w:numPr>
          <w:ilvl w:val="0"/>
          <w:numId w:val="39"/>
        </w:numPr>
        <w:ind w:left="-567" w:firstLine="0"/>
      </w:pPr>
      <w:r>
        <w:t>Selecting mobile plant and scaffolding to be part of all onsite audits where those risks are present.</w:t>
      </w:r>
    </w:p>
    <w:p w14:paraId="5BB34968" w14:textId="77777777" w:rsidR="00484CCB" w:rsidRDefault="00484CCB" w:rsidP="00484CCB">
      <w:pPr>
        <w:pStyle w:val="ListParagraph"/>
        <w:numPr>
          <w:ilvl w:val="0"/>
          <w:numId w:val="39"/>
        </w:numPr>
        <w:ind w:left="-567" w:firstLine="0"/>
      </w:pPr>
      <w:r>
        <w:t>More closely tracking incidents reports and corrective action reports involving mobile plant and scaffolding to better understand the root causes of these safety issues to inform our education and audit approaches.</w:t>
      </w:r>
    </w:p>
    <w:p w14:paraId="04D7F8AF" w14:textId="77777777" w:rsidR="00484CCB" w:rsidRPr="00484CCB" w:rsidRDefault="00484CCB" w:rsidP="00484CCB">
      <w:pPr>
        <w:pStyle w:val="Heading1"/>
        <w:ind w:left="-567"/>
        <w:rPr>
          <w:rStyle w:val="Heading4Char"/>
          <w:b/>
          <w:bCs/>
          <w:i w:val="0"/>
          <w:iCs w:val="0"/>
        </w:rPr>
      </w:pPr>
      <w:r w:rsidRPr="00484CCB">
        <w:rPr>
          <w:rStyle w:val="Heading4Char"/>
          <w:b/>
          <w:bCs/>
          <w:i w:val="0"/>
          <w:iCs w:val="0"/>
        </w:rPr>
        <w:t>Q:</w:t>
      </w:r>
      <w:r w:rsidRPr="00484CCB">
        <w:rPr>
          <w:rStyle w:val="Heading4Char"/>
          <w:b/>
          <w:bCs/>
          <w:i w:val="0"/>
          <w:iCs w:val="0"/>
        </w:rPr>
        <w:tab/>
        <w:t xml:space="preserve">Why scaffolding and </w:t>
      </w:r>
      <w:r w:rsidRPr="00484CCB">
        <w:t>mobile plant?</w:t>
      </w:r>
    </w:p>
    <w:p w14:paraId="6C6BF17E" w14:textId="77777777" w:rsidR="00484CCB" w:rsidRDefault="00484CCB" w:rsidP="00484CCB">
      <w:pPr>
        <w:ind w:left="-567"/>
      </w:pPr>
      <w:r>
        <w:t xml:space="preserve">Both Mobile Plant and Scaffolding are the most commonly reported incidents reported to the OFSC by Scheme accredited </w:t>
      </w:r>
      <w:proofErr w:type="gramStart"/>
      <w:r>
        <w:t>companies, and</w:t>
      </w:r>
      <w:proofErr w:type="gramEnd"/>
      <w:r>
        <w:t xml:space="preserve"> are the most frequently issued hazard related Corrective Action Reports issued at on-site audits.</w:t>
      </w:r>
    </w:p>
    <w:p w14:paraId="041C5727" w14:textId="77777777" w:rsidR="00484CCB" w:rsidRDefault="00484CCB" w:rsidP="00484CCB">
      <w:pPr>
        <w:pStyle w:val="ListParagraph"/>
        <w:numPr>
          <w:ilvl w:val="0"/>
          <w:numId w:val="40"/>
        </w:numPr>
        <w:ind w:left="-567" w:firstLine="0"/>
      </w:pPr>
      <w:r>
        <w:t>Over 50% of reported incidents that are associated with a high-risk hazard are either Mobile Plant or Falls from Height related;</w:t>
      </w:r>
    </w:p>
    <w:p w14:paraId="4E4827B1" w14:textId="77777777" w:rsidR="00484CCB" w:rsidRDefault="00484CCB" w:rsidP="00484CCB">
      <w:pPr>
        <w:pStyle w:val="ListParagraph"/>
        <w:numPr>
          <w:ilvl w:val="0"/>
          <w:numId w:val="40"/>
        </w:numPr>
        <w:ind w:left="-567" w:firstLine="0"/>
      </w:pPr>
      <w:r>
        <w:t>Almost 60% of CARs issued against hazards are against Mobile Plant or Scaffolding.</w:t>
      </w:r>
    </w:p>
    <w:p w14:paraId="0CD6981C" w14:textId="77777777" w:rsidR="00166EA0" w:rsidRDefault="00484CCB" w:rsidP="00166EA0">
      <w:pPr>
        <w:pStyle w:val="Heading4"/>
        <w:spacing w:before="0" w:after="240" w:line="240" w:lineRule="auto"/>
        <w:ind w:left="-567"/>
        <w:rPr>
          <w:rStyle w:val="Heading1Char"/>
          <w:b/>
          <w:bCs/>
          <w:i w:val="0"/>
          <w:iCs w:val="0"/>
        </w:rPr>
      </w:pPr>
      <w:r w:rsidRPr="00484CCB">
        <w:rPr>
          <w:rStyle w:val="Heading1Char"/>
          <w:b/>
          <w:bCs/>
          <w:i w:val="0"/>
          <w:iCs w:val="0"/>
        </w:rPr>
        <w:t>Q:</w:t>
      </w:r>
      <w:r w:rsidRPr="00484CCB">
        <w:rPr>
          <w:rStyle w:val="Heading1Char"/>
          <w:b/>
          <w:bCs/>
          <w:i w:val="0"/>
          <w:iCs w:val="0"/>
        </w:rPr>
        <w:tab/>
        <w:t>How will the OFSC’s work be different?</w:t>
      </w:r>
    </w:p>
    <w:p w14:paraId="26F77FE5" w14:textId="3CFD9B3C" w:rsidR="00484CCB" w:rsidRDefault="00484CCB" w:rsidP="00166EA0">
      <w:pPr>
        <w:pStyle w:val="Heading4"/>
        <w:spacing w:before="0" w:after="240" w:line="240" w:lineRule="auto"/>
        <w:ind w:left="-567"/>
        <w:rPr>
          <w:rFonts w:asciiTheme="minorHAnsi" w:eastAsiaTheme="minorHAnsi" w:hAnsiTheme="minorHAnsi" w:cstheme="minorBidi"/>
          <w:i w:val="0"/>
          <w:iCs w:val="0"/>
        </w:rPr>
      </w:pPr>
      <w:bookmarkStart w:id="0" w:name="_GoBack"/>
      <w:bookmarkEnd w:id="0"/>
      <w:r w:rsidRPr="00484CCB">
        <w:rPr>
          <w:b w:val="0"/>
          <w:bCs w:val="0"/>
          <w:i w:val="0"/>
          <w:iCs w:val="0"/>
        </w:rPr>
        <w:t xml:space="preserve">Hazard 2020 is part of the OFSC’s role in working collaboratively with accredited companies to improve safety across the building and construction industry. Our work remains the same – It’s just being more closely informed by incident reporting date which tells us that over the last 5 years, mobile plant and scaffolding are the most common </w:t>
      </w:r>
      <w:proofErr w:type="gramStart"/>
      <w:r w:rsidRPr="00484CCB">
        <w:rPr>
          <w:b w:val="0"/>
          <w:bCs w:val="0"/>
          <w:i w:val="0"/>
          <w:iCs w:val="0"/>
        </w:rPr>
        <w:t>high risk</w:t>
      </w:r>
      <w:proofErr w:type="gramEnd"/>
      <w:r w:rsidRPr="00484CCB">
        <w:rPr>
          <w:b w:val="0"/>
          <w:bCs w:val="0"/>
          <w:i w:val="0"/>
          <w:iCs w:val="0"/>
        </w:rPr>
        <w:t xml:space="preserve"> construction activities associated with safety incidents onsite.</w:t>
      </w:r>
    </w:p>
    <w:p w14:paraId="0CB40593" w14:textId="77777777" w:rsidR="00484CCB" w:rsidRPr="00484CCB" w:rsidRDefault="00484CCB" w:rsidP="00E35F78">
      <w:pPr>
        <w:pStyle w:val="Heading1"/>
        <w:ind w:left="-567"/>
        <w:rPr>
          <w:rStyle w:val="Heading4Char"/>
          <w:b/>
          <w:bCs/>
          <w:i w:val="0"/>
          <w:iCs w:val="0"/>
        </w:rPr>
      </w:pPr>
      <w:r w:rsidRPr="00484CCB">
        <w:rPr>
          <w:rStyle w:val="Heading4Char"/>
          <w:b/>
          <w:bCs/>
          <w:i w:val="0"/>
          <w:iCs w:val="0"/>
        </w:rPr>
        <w:t>Q:</w:t>
      </w:r>
      <w:r w:rsidRPr="00484CCB">
        <w:rPr>
          <w:rStyle w:val="Heading4Char"/>
          <w:b/>
          <w:bCs/>
          <w:i w:val="0"/>
          <w:iCs w:val="0"/>
        </w:rPr>
        <w:tab/>
        <w:t xml:space="preserve">Will audits be different?  Will I have to complete extra audits? </w:t>
      </w:r>
    </w:p>
    <w:p w14:paraId="71469085" w14:textId="77777777" w:rsidR="00484CCB" w:rsidRPr="001D5F2A" w:rsidRDefault="00484CCB" w:rsidP="00484CCB">
      <w:pPr>
        <w:ind w:left="-567"/>
      </w:pPr>
      <w:r w:rsidRPr="001D5F2A">
        <w:t xml:space="preserve">Where applicable during the campaign, one or </w:t>
      </w:r>
      <w:proofErr w:type="gramStart"/>
      <w:r w:rsidRPr="001D5F2A">
        <w:t>both of the Hazard</w:t>
      </w:r>
      <w:proofErr w:type="gramEnd"/>
      <w:r w:rsidRPr="001D5F2A">
        <w:t xml:space="preserve"> 2020 criteria will be selected for assessment through the </w:t>
      </w:r>
      <w:r>
        <w:t>existing</w:t>
      </w:r>
      <w:r w:rsidRPr="001D5F2A">
        <w:t xml:space="preserve"> on-site audit program. </w:t>
      </w:r>
    </w:p>
    <w:p w14:paraId="526A22C1" w14:textId="77777777" w:rsidR="00484CCB" w:rsidRPr="001D5F2A" w:rsidRDefault="00484CCB" w:rsidP="00484CCB">
      <w:pPr>
        <w:ind w:left="-567"/>
      </w:pPr>
      <w:r w:rsidRPr="001D5F2A">
        <w:t xml:space="preserve">OFSC audits involve the selection of </w:t>
      </w:r>
      <w:proofErr w:type="gramStart"/>
      <w:r w:rsidRPr="001D5F2A">
        <w:t>particular hazards</w:t>
      </w:r>
      <w:proofErr w:type="gramEnd"/>
      <w:r w:rsidRPr="001D5F2A">
        <w:t xml:space="preserve"> available on-site to assess WHS performance under standard systems-based criteria. The type and number of hazard(s) selected depend on the type of audit being conducted and the nature of the project being audited, as well as overall OFSC priorities such as Hazard 2020. </w:t>
      </w:r>
    </w:p>
    <w:p w14:paraId="1CC83145" w14:textId="77777777" w:rsidR="00484CCB" w:rsidRPr="001D5F2A" w:rsidRDefault="00484CCB" w:rsidP="00484CCB">
      <w:pPr>
        <w:ind w:left="-567"/>
      </w:pPr>
      <w:r w:rsidRPr="001D5F2A">
        <w:t xml:space="preserve">There is no requirement </w:t>
      </w:r>
      <w:r>
        <w:t xml:space="preserve">for companies </w:t>
      </w:r>
      <w:r w:rsidRPr="001D5F2A">
        <w:t xml:space="preserve">to undertake new or additional audits as part of Hazard 2020. </w:t>
      </w:r>
    </w:p>
    <w:p w14:paraId="54490ACB" w14:textId="77777777" w:rsidR="00484CCB" w:rsidRPr="00484CCB" w:rsidRDefault="00484CCB" w:rsidP="00484CCB">
      <w:pPr>
        <w:pStyle w:val="Heading1"/>
        <w:ind w:left="-567"/>
        <w:rPr>
          <w:rStyle w:val="Heading4Char"/>
          <w:b/>
          <w:bCs/>
          <w:i w:val="0"/>
          <w:iCs w:val="0"/>
        </w:rPr>
      </w:pPr>
      <w:r w:rsidRPr="00484CCB">
        <w:rPr>
          <w:rStyle w:val="Heading4Char"/>
          <w:b/>
          <w:bCs/>
          <w:i w:val="0"/>
          <w:iCs w:val="0"/>
        </w:rPr>
        <w:t>Q:</w:t>
      </w:r>
      <w:r w:rsidRPr="00484CCB">
        <w:rPr>
          <w:rStyle w:val="Heading4Char"/>
          <w:b/>
          <w:bCs/>
          <w:i w:val="0"/>
          <w:iCs w:val="0"/>
        </w:rPr>
        <w:tab/>
        <w:t>Will there be new audit criteria?</w:t>
      </w:r>
    </w:p>
    <w:p w14:paraId="78273C64" w14:textId="2132AE9B" w:rsidR="00E35F78" w:rsidRDefault="00484CCB" w:rsidP="00484CCB">
      <w:pPr>
        <w:ind w:left="-567"/>
      </w:pPr>
      <w:r>
        <w:t xml:space="preserve">The Hazard 2020 campaign is not introducing any new audit criteria. All criteria used for Hazard 2020 audits are already present in the </w:t>
      </w:r>
      <w:hyperlink r:id="rId12" w:history="1">
        <w:r w:rsidRPr="00D47CDF">
          <w:rPr>
            <w:rStyle w:val="Hyperlink"/>
          </w:rPr>
          <w:t>FSC Audit Criteria Guidelines</w:t>
        </w:r>
      </w:hyperlink>
      <w:r>
        <w:t>.</w:t>
      </w:r>
    </w:p>
    <w:p w14:paraId="30614308" w14:textId="77777777" w:rsidR="00E35F78" w:rsidRDefault="00E35F78">
      <w:r>
        <w:br w:type="page"/>
      </w:r>
    </w:p>
    <w:p w14:paraId="1444BF04" w14:textId="77777777" w:rsidR="00484CCB" w:rsidRPr="00484CCB" w:rsidRDefault="00484CCB" w:rsidP="00484CCB">
      <w:pPr>
        <w:pStyle w:val="Heading1"/>
        <w:ind w:left="-567"/>
        <w:rPr>
          <w:rStyle w:val="Heading4Char"/>
          <w:b/>
          <w:bCs/>
          <w:i w:val="0"/>
          <w:iCs w:val="0"/>
        </w:rPr>
      </w:pPr>
      <w:r w:rsidRPr="00484CCB">
        <w:rPr>
          <w:rStyle w:val="Heading4Char"/>
          <w:b/>
          <w:bCs/>
          <w:i w:val="0"/>
          <w:iCs w:val="0"/>
        </w:rPr>
        <w:lastRenderedPageBreak/>
        <w:t>Q:</w:t>
      </w:r>
      <w:r w:rsidRPr="00484CCB">
        <w:rPr>
          <w:rStyle w:val="Heading4Char"/>
          <w:b/>
          <w:bCs/>
          <w:i w:val="0"/>
          <w:iCs w:val="0"/>
        </w:rPr>
        <w:tab/>
        <w:t>Will reporting requirements be different during Hazard 2020?</w:t>
      </w:r>
    </w:p>
    <w:p w14:paraId="2C60CB81" w14:textId="77777777" w:rsidR="00484CCB" w:rsidRDefault="00484CCB" w:rsidP="00484CCB">
      <w:pPr>
        <w:ind w:left="-567"/>
      </w:pPr>
      <w:r>
        <w:t xml:space="preserve">The Hazard 2020 campaign is not imposing any new Scheme reporting </w:t>
      </w:r>
      <w:proofErr w:type="gramStart"/>
      <w:r>
        <w:t>requirements, and</w:t>
      </w:r>
      <w:proofErr w:type="gramEnd"/>
      <w:r>
        <w:t xml:space="preserve"> will not change any of the current reporting requirements.</w:t>
      </w:r>
    </w:p>
    <w:p w14:paraId="7D6B9C80" w14:textId="77777777" w:rsidR="00484CCB" w:rsidRDefault="00484CCB" w:rsidP="00484CCB">
      <w:pPr>
        <w:ind w:left="-567"/>
      </w:pPr>
      <w:r>
        <w:t xml:space="preserve">The OFSC will be continuing to analyse incident data involving both Mobile Plant and Scaffolding throughout the Hazard 2020 campaign to assess impact and target OFSC resources. Hazard 2020 data will be published periodically throughout the </w:t>
      </w:r>
      <w:proofErr w:type="gramStart"/>
      <w:r>
        <w:t>12 month</w:t>
      </w:r>
      <w:proofErr w:type="gramEnd"/>
      <w:r>
        <w:t xml:space="preserve"> campaign.</w:t>
      </w:r>
    </w:p>
    <w:p w14:paraId="0E0249CC" w14:textId="0E5535D4" w:rsidR="00484CCB" w:rsidRPr="001D5F2A" w:rsidRDefault="00484CCB" w:rsidP="00484CCB">
      <w:pPr>
        <w:spacing w:after="0" w:line="240" w:lineRule="auto"/>
        <w:ind w:left="-567"/>
      </w:pPr>
      <w:r w:rsidRPr="00484CCB">
        <w:rPr>
          <w:rStyle w:val="Heading1Char"/>
        </w:rPr>
        <w:t>Q:</w:t>
      </w:r>
      <w:r w:rsidRPr="00484CCB">
        <w:rPr>
          <w:rStyle w:val="Heading1Char"/>
        </w:rPr>
        <w:tab/>
        <w:t>What resources are available to companies?</w:t>
      </w:r>
      <w:r w:rsidRPr="00825CE6">
        <w:rPr>
          <w:rStyle w:val="Heading4Char"/>
          <w:i w:val="0"/>
          <w:sz w:val="24"/>
        </w:rPr>
        <w:t xml:space="preserve"> </w:t>
      </w:r>
      <w:r w:rsidRPr="00825CE6">
        <w:rPr>
          <w:rStyle w:val="Heading4Char"/>
          <w:i w:val="0"/>
          <w:sz w:val="24"/>
        </w:rPr>
        <w:br/>
      </w:r>
      <w:r w:rsidRPr="00484CCB">
        <w:t xml:space="preserve">The OFSC has prepared initial fact sheets including criteria guidance which will be available on our </w:t>
      </w:r>
      <w:hyperlink r:id="rId13" w:history="1">
        <w:r w:rsidRPr="00484CCB">
          <w:rPr>
            <w:rStyle w:val="Hyperlink"/>
          </w:rPr>
          <w:t>Hazard 2020 webpage</w:t>
        </w:r>
      </w:hyperlink>
      <w:r w:rsidRPr="00484CCB">
        <w:t>. Campaign information updates, case studies and examples of leading practice will be published as the campaign unfolds.</w:t>
      </w:r>
      <w:r>
        <w:t xml:space="preserve"> </w:t>
      </w:r>
    </w:p>
    <w:p w14:paraId="08D5C9EA" w14:textId="77777777" w:rsidR="00484CCB" w:rsidRPr="001D5F2A" w:rsidRDefault="00484CCB" w:rsidP="00484CCB">
      <w:pPr>
        <w:spacing w:after="0" w:line="240" w:lineRule="auto"/>
        <w:ind w:left="-567"/>
      </w:pPr>
    </w:p>
    <w:p w14:paraId="0CAFCF55" w14:textId="77777777" w:rsidR="00484CCB" w:rsidRPr="00484CCB" w:rsidRDefault="00484CCB" w:rsidP="00484CCB">
      <w:pPr>
        <w:pStyle w:val="Heading1"/>
        <w:ind w:left="-567"/>
        <w:rPr>
          <w:rStyle w:val="Heading4Char"/>
          <w:b/>
          <w:bCs/>
          <w:i w:val="0"/>
          <w:iCs w:val="0"/>
        </w:rPr>
      </w:pPr>
      <w:r w:rsidRPr="00484CCB">
        <w:rPr>
          <w:rStyle w:val="Heading4Char"/>
          <w:b/>
          <w:bCs/>
          <w:i w:val="0"/>
          <w:iCs w:val="0"/>
        </w:rPr>
        <w:t>Q:</w:t>
      </w:r>
      <w:r w:rsidRPr="00484CCB">
        <w:rPr>
          <w:rStyle w:val="Heading4Char"/>
          <w:b/>
          <w:bCs/>
          <w:i w:val="0"/>
          <w:iCs w:val="0"/>
        </w:rPr>
        <w:tab/>
        <w:t xml:space="preserve">How long will Hazard 2020 last? </w:t>
      </w:r>
    </w:p>
    <w:p w14:paraId="4FB1A1A1" w14:textId="77777777" w:rsidR="00484CCB" w:rsidRDefault="00484CCB" w:rsidP="00484CCB">
      <w:pPr>
        <w:spacing w:after="0" w:line="240" w:lineRule="auto"/>
        <w:ind w:left="-567"/>
      </w:pPr>
      <w:r w:rsidRPr="00F07E88">
        <w:t xml:space="preserve">Hazard 2020 will run </w:t>
      </w:r>
      <w:r>
        <w:t>for twelve months to October 2021</w:t>
      </w:r>
      <w:r w:rsidRPr="00F07E88">
        <w:t>, with outcomes and findings published beyond that.</w:t>
      </w:r>
      <w:r>
        <w:t xml:space="preserve"> Incident and CAR tracking data will also be published throughout the campaign.</w:t>
      </w:r>
    </w:p>
    <w:p w14:paraId="6C928EB4" w14:textId="77777777" w:rsidR="00484CCB" w:rsidRDefault="00484CCB" w:rsidP="00484CCB">
      <w:pPr>
        <w:spacing w:after="0" w:line="240" w:lineRule="auto"/>
        <w:ind w:left="-567"/>
      </w:pPr>
    </w:p>
    <w:p w14:paraId="4D797AD6" w14:textId="77777777" w:rsidR="00484CCB" w:rsidRPr="00484CCB" w:rsidRDefault="00484CCB" w:rsidP="00484CCB">
      <w:pPr>
        <w:pStyle w:val="Heading1"/>
        <w:ind w:left="-567"/>
        <w:rPr>
          <w:rStyle w:val="Heading4Char"/>
          <w:b/>
          <w:bCs/>
          <w:i w:val="0"/>
          <w:iCs w:val="0"/>
        </w:rPr>
      </w:pPr>
      <w:r w:rsidRPr="00484CCB">
        <w:rPr>
          <w:rStyle w:val="Heading4Char"/>
          <w:b/>
          <w:bCs/>
          <w:i w:val="0"/>
          <w:iCs w:val="0"/>
        </w:rPr>
        <w:t>Q:</w:t>
      </w:r>
      <w:r w:rsidRPr="00484CCB">
        <w:rPr>
          <w:rStyle w:val="Heading4Char"/>
          <w:b/>
          <w:bCs/>
          <w:i w:val="0"/>
          <w:iCs w:val="0"/>
        </w:rPr>
        <w:tab/>
        <w:t xml:space="preserve">Where can I send examples of innovative scaffold and Mobile Plant Management practices? </w:t>
      </w:r>
    </w:p>
    <w:p w14:paraId="695528F1" w14:textId="6C443CC7" w:rsidR="004361E6" w:rsidRDefault="00484CCB" w:rsidP="00E35F78">
      <w:pPr>
        <w:spacing w:after="0" w:line="240" w:lineRule="auto"/>
        <w:ind w:left="-567"/>
        <w:rPr>
          <w:b/>
          <w:color w:val="000000"/>
          <w:sz w:val="19"/>
          <w:szCs w:val="19"/>
        </w:rPr>
      </w:pPr>
      <w:r w:rsidRPr="00484CCB">
        <w:t>Companies can email through examples of innovative hazard management practices to</w:t>
      </w:r>
      <w:r w:rsidR="00E35F78">
        <w:t xml:space="preserve"> </w:t>
      </w:r>
      <w:hyperlink r:id="rId14" w:history="1">
        <w:r w:rsidR="00E35F78" w:rsidRPr="00165BAD">
          <w:rPr>
            <w:rStyle w:val="Hyperlink"/>
          </w:rPr>
          <w:t>ofsc@jobs.gov.au</w:t>
        </w:r>
      </w:hyperlink>
      <w:r w:rsidRPr="00484CCB">
        <w:t>.The OFSC will be collating and analysing these examples to identify those appropriate to be showcased through case studies</w:t>
      </w:r>
      <w:r w:rsidRPr="00F07E88">
        <w:t>.</w:t>
      </w:r>
      <w:r>
        <w:t xml:space="preserve"> </w:t>
      </w:r>
    </w:p>
    <w:sectPr w:rsidR="004361E6" w:rsidSect="00E35F78">
      <w:headerReference w:type="default" r:id="rId15"/>
      <w:footerReference w:type="default" r:id="rId16"/>
      <w:pgSz w:w="11906" w:h="16838"/>
      <w:pgMar w:top="1560" w:right="1440" w:bottom="1440" w:left="1440" w:header="708"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872A2" w14:textId="77777777" w:rsidR="00E355F5" w:rsidRDefault="00E355F5" w:rsidP="00130923">
      <w:pPr>
        <w:spacing w:after="0" w:line="240" w:lineRule="auto"/>
      </w:pPr>
      <w:r>
        <w:separator/>
      </w:r>
    </w:p>
    <w:p w14:paraId="5190D826" w14:textId="77777777" w:rsidR="007D797C" w:rsidRDefault="007D797C"/>
  </w:endnote>
  <w:endnote w:type="continuationSeparator" w:id="0">
    <w:p w14:paraId="333F4A36" w14:textId="77777777" w:rsidR="00E355F5" w:rsidRDefault="00E355F5" w:rsidP="00130923">
      <w:pPr>
        <w:spacing w:after="0" w:line="240" w:lineRule="auto"/>
      </w:pPr>
      <w:r>
        <w:continuationSeparator/>
      </w:r>
    </w:p>
    <w:p w14:paraId="575ABD8A" w14:textId="77777777" w:rsidR="007D797C" w:rsidRDefault="007D79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1506D" w14:textId="24AD3BAE" w:rsidR="00484CCB" w:rsidRDefault="00484CCB" w:rsidP="00484CCB">
    <w:pPr>
      <w:pStyle w:val="Footer"/>
      <w:ind w:left="-1418"/>
    </w:pPr>
    <w:r>
      <w:rPr>
        <w:noProof/>
      </w:rPr>
      <w:drawing>
        <wp:anchor distT="0" distB="0" distL="114300" distR="114300" simplePos="0" relativeHeight="251661312" behindDoc="1" locked="0" layoutInCell="1" allowOverlap="1" wp14:anchorId="1B87795C" wp14:editId="36A77B10">
          <wp:simplePos x="0" y="0"/>
          <wp:positionH relativeFrom="page">
            <wp:align>left</wp:align>
          </wp:positionH>
          <wp:positionV relativeFrom="paragraph">
            <wp:posOffset>-370471</wp:posOffset>
          </wp:positionV>
          <wp:extent cx="7553704" cy="764540"/>
          <wp:effectExtent l="0" t="0" r="952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704" cy="7645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0288" behindDoc="1" locked="0" layoutInCell="1" allowOverlap="1" wp14:anchorId="77B3442F" wp14:editId="3B39A697">
          <wp:simplePos x="0" y="0"/>
          <wp:positionH relativeFrom="page">
            <wp:posOffset>31795</wp:posOffset>
          </wp:positionH>
          <wp:positionV relativeFrom="paragraph">
            <wp:posOffset>1423656</wp:posOffset>
          </wp:positionV>
          <wp:extent cx="10687050" cy="70612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2">
                    <a:extLst>
                      <a:ext uri="{28A0092B-C50C-407E-A947-70E740481C1C}">
                        <a14:useLocalDpi xmlns:a14="http://schemas.microsoft.com/office/drawing/2010/main" val="0"/>
                      </a:ext>
                    </a:extLst>
                  </a:blip>
                  <a:stretch>
                    <a:fillRect/>
                  </a:stretch>
                </pic:blipFill>
                <pic:spPr>
                  <a:xfrm>
                    <a:off x="0" y="0"/>
                    <a:ext cx="10687050" cy="70612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747EF" w14:textId="77777777" w:rsidR="00E355F5" w:rsidRDefault="00E355F5" w:rsidP="00130923">
      <w:pPr>
        <w:spacing w:after="0" w:line="240" w:lineRule="auto"/>
      </w:pPr>
      <w:r>
        <w:separator/>
      </w:r>
    </w:p>
    <w:p w14:paraId="35D8FF08" w14:textId="77777777" w:rsidR="007D797C" w:rsidRDefault="007D797C"/>
  </w:footnote>
  <w:footnote w:type="continuationSeparator" w:id="0">
    <w:p w14:paraId="2183FA03" w14:textId="77777777" w:rsidR="00E355F5" w:rsidRDefault="00E355F5" w:rsidP="00130923">
      <w:pPr>
        <w:spacing w:after="0" w:line="240" w:lineRule="auto"/>
      </w:pPr>
      <w:r>
        <w:continuationSeparator/>
      </w:r>
    </w:p>
    <w:p w14:paraId="39BF7F9D" w14:textId="77777777" w:rsidR="007D797C" w:rsidRDefault="007D79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52D66" w14:textId="5C3D8555" w:rsidR="00484CCB" w:rsidRDefault="00484CCB" w:rsidP="00E35F78">
    <w:pPr>
      <w:pStyle w:val="Header"/>
      <w:jc w:val="right"/>
    </w:pPr>
    <w:r>
      <w:rPr>
        <w:noProof/>
      </w:rPr>
      <w:drawing>
        <wp:anchor distT="0" distB="0" distL="114300" distR="114300" simplePos="0" relativeHeight="251658240" behindDoc="0" locked="0" layoutInCell="1" allowOverlap="1" wp14:anchorId="6125912C" wp14:editId="40D19D38">
          <wp:simplePos x="0" y="0"/>
          <wp:positionH relativeFrom="column">
            <wp:posOffset>-999209</wp:posOffset>
          </wp:positionH>
          <wp:positionV relativeFrom="paragraph">
            <wp:posOffset>-4069922</wp:posOffset>
          </wp:positionV>
          <wp:extent cx="10687050" cy="70739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7050" cy="707390"/>
                  </a:xfrm>
                  <a:prstGeom prst="rect">
                    <a:avLst/>
                  </a:prstGeom>
                  <a:noFill/>
                </pic:spPr>
              </pic:pic>
            </a:graphicData>
          </a:graphic>
          <wp14:sizeRelH relativeFrom="page">
            <wp14:pctWidth>0</wp14:pctWidth>
          </wp14:sizeRelH>
          <wp14:sizeRelV relativeFrom="page">
            <wp14:pctHeight>0</wp14:pctHeight>
          </wp14:sizeRelV>
        </wp:anchor>
      </w:drawing>
    </w:r>
    <w:r w:rsidR="00E35F78">
      <w:t>Hazard 2020 FAQs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3D0AB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D693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6D3707D"/>
    <w:multiLevelType w:val="hybridMultilevel"/>
    <w:tmpl w:val="78725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B72176"/>
    <w:multiLevelType w:val="hybridMultilevel"/>
    <w:tmpl w:val="D00C0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0A4A91"/>
    <w:multiLevelType w:val="hybridMultilevel"/>
    <w:tmpl w:val="AA5641C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5" w15:restartNumberingAfterBreak="0">
    <w:nsid w:val="187D30B5"/>
    <w:multiLevelType w:val="hybridMultilevel"/>
    <w:tmpl w:val="BF50042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6"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2394111E"/>
    <w:multiLevelType w:val="hybridMultilevel"/>
    <w:tmpl w:val="A4582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65370B"/>
    <w:multiLevelType w:val="hybridMultilevel"/>
    <w:tmpl w:val="D03C3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6D79FD"/>
    <w:multiLevelType w:val="hybridMultilevel"/>
    <w:tmpl w:val="7A407A98"/>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184928"/>
    <w:multiLevelType w:val="hybridMultilevel"/>
    <w:tmpl w:val="9C68B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EBB329D"/>
    <w:multiLevelType w:val="hybridMultilevel"/>
    <w:tmpl w:val="DC3C9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4B372E"/>
    <w:multiLevelType w:val="hybridMultilevel"/>
    <w:tmpl w:val="34B8EEE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3" w15:restartNumberingAfterBreak="0">
    <w:nsid w:val="505A5DDA"/>
    <w:multiLevelType w:val="hybridMultilevel"/>
    <w:tmpl w:val="7E004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3523D06"/>
    <w:multiLevelType w:val="hybridMultilevel"/>
    <w:tmpl w:val="C0983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7" w15:restartNumberingAfterBreak="0">
    <w:nsid w:val="5D7235DA"/>
    <w:multiLevelType w:val="hybridMultilevel"/>
    <w:tmpl w:val="70F4DF2A"/>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8" w15:restartNumberingAfterBreak="0">
    <w:nsid w:val="603356FD"/>
    <w:multiLevelType w:val="hybridMultilevel"/>
    <w:tmpl w:val="EB582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2A77EC"/>
    <w:multiLevelType w:val="hybridMultilevel"/>
    <w:tmpl w:val="051EB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696C1339"/>
    <w:multiLevelType w:val="hybridMultilevel"/>
    <w:tmpl w:val="EFE83ED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6C781708"/>
    <w:multiLevelType w:val="hybridMultilevel"/>
    <w:tmpl w:val="69D68F5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2" w15:restartNumberingAfterBreak="0">
    <w:nsid w:val="73CB76C6"/>
    <w:multiLevelType w:val="hybridMultilevel"/>
    <w:tmpl w:val="924A9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77AE201A"/>
    <w:multiLevelType w:val="hybridMultilevel"/>
    <w:tmpl w:val="8B641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C7A3879"/>
    <w:multiLevelType w:val="hybridMultilevel"/>
    <w:tmpl w:val="4DFA0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EA6C04"/>
    <w:multiLevelType w:val="hybridMultilevel"/>
    <w:tmpl w:val="5B380B4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26"/>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33"/>
  </w:num>
  <w:num w:numId="15">
    <w:abstractNumId w:val="13"/>
  </w:num>
  <w:num w:numId="16">
    <w:abstractNumId w:val="24"/>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5"/>
  </w:num>
  <w:num w:numId="21">
    <w:abstractNumId w:val="14"/>
  </w:num>
  <w:num w:numId="22">
    <w:abstractNumId w:val="11"/>
  </w:num>
  <w:num w:numId="23">
    <w:abstractNumId w:val="30"/>
  </w:num>
  <w:num w:numId="24">
    <w:abstractNumId w:val="22"/>
  </w:num>
  <w:num w:numId="25">
    <w:abstractNumId w:val="12"/>
  </w:num>
  <w:num w:numId="26">
    <w:abstractNumId w:val="32"/>
  </w:num>
  <w:num w:numId="27">
    <w:abstractNumId w:val="31"/>
  </w:num>
  <w:num w:numId="28">
    <w:abstractNumId w:val="36"/>
  </w:num>
  <w:num w:numId="29">
    <w:abstractNumId w:val="29"/>
  </w:num>
  <w:num w:numId="30">
    <w:abstractNumId w:val="27"/>
  </w:num>
  <w:num w:numId="31">
    <w:abstractNumId w:val="9"/>
  </w:num>
  <w:num w:numId="32">
    <w:abstractNumId w:val="23"/>
  </w:num>
  <w:num w:numId="33">
    <w:abstractNumId w:val="28"/>
  </w:num>
  <w:num w:numId="34">
    <w:abstractNumId w:val="18"/>
  </w:num>
  <w:num w:numId="35">
    <w:abstractNumId w:val="35"/>
  </w:num>
  <w:num w:numId="36">
    <w:abstractNumId w:val="17"/>
  </w:num>
  <w:num w:numId="37">
    <w:abstractNumId w:val="25"/>
  </w:num>
  <w:num w:numId="38">
    <w:abstractNumId w:val="21"/>
  </w:num>
  <w:num w:numId="39">
    <w:abstractNumId w:val="20"/>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C10C19"/>
    <w:rsid w:val="00002721"/>
    <w:rsid w:val="00024E24"/>
    <w:rsid w:val="00034EAA"/>
    <w:rsid w:val="00045187"/>
    <w:rsid w:val="000762AD"/>
    <w:rsid w:val="000861A6"/>
    <w:rsid w:val="000B1D63"/>
    <w:rsid w:val="000E6FBB"/>
    <w:rsid w:val="000F3BA2"/>
    <w:rsid w:val="001175BF"/>
    <w:rsid w:val="00130923"/>
    <w:rsid w:val="001414F3"/>
    <w:rsid w:val="00143FCD"/>
    <w:rsid w:val="001468A4"/>
    <w:rsid w:val="00146E02"/>
    <w:rsid w:val="00166EA0"/>
    <w:rsid w:val="001B1448"/>
    <w:rsid w:val="001B6467"/>
    <w:rsid w:val="001E6E43"/>
    <w:rsid w:val="00223EB1"/>
    <w:rsid w:val="00236917"/>
    <w:rsid w:val="00243D6B"/>
    <w:rsid w:val="002854D6"/>
    <w:rsid w:val="00294415"/>
    <w:rsid w:val="002B06E6"/>
    <w:rsid w:val="002C2BD6"/>
    <w:rsid w:val="002C5445"/>
    <w:rsid w:val="002D271F"/>
    <w:rsid w:val="002D6386"/>
    <w:rsid w:val="002E56C7"/>
    <w:rsid w:val="00305B35"/>
    <w:rsid w:val="003130EF"/>
    <w:rsid w:val="003242B9"/>
    <w:rsid w:val="00367BAD"/>
    <w:rsid w:val="003851DF"/>
    <w:rsid w:val="00387621"/>
    <w:rsid w:val="003C407B"/>
    <w:rsid w:val="003D139A"/>
    <w:rsid w:val="003D67FC"/>
    <w:rsid w:val="003E1E60"/>
    <w:rsid w:val="003E2BB2"/>
    <w:rsid w:val="003E4B1F"/>
    <w:rsid w:val="003F2E26"/>
    <w:rsid w:val="00406E5A"/>
    <w:rsid w:val="00406EAD"/>
    <w:rsid w:val="00416BA6"/>
    <w:rsid w:val="004361E6"/>
    <w:rsid w:val="0044045C"/>
    <w:rsid w:val="00455B34"/>
    <w:rsid w:val="004620E1"/>
    <w:rsid w:val="00466787"/>
    <w:rsid w:val="00484CCB"/>
    <w:rsid w:val="00484F68"/>
    <w:rsid w:val="00487337"/>
    <w:rsid w:val="0048762C"/>
    <w:rsid w:val="00497B6C"/>
    <w:rsid w:val="004B256F"/>
    <w:rsid w:val="004C5911"/>
    <w:rsid w:val="004D54E7"/>
    <w:rsid w:val="004E7D36"/>
    <w:rsid w:val="00510167"/>
    <w:rsid w:val="005113B6"/>
    <w:rsid w:val="00531817"/>
    <w:rsid w:val="00560CA0"/>
    <w:rsid w:val="005624F3"/>
    <w:rsid w:val="005811EF"/>
    <w:rsid w:val="0058529A"/>
    <w:rsid w:val="00587016"/>
    <w:rsid w:val="005A7D36"/>
    <w:rsid w:val="005B0878"/>
    <w:rsid w:val="005C15C0"/>
    <w:rsid w:val="005C4B6F"/>
    <w:rsid w:val="005D4142"/>
    <w:rsid w:val="005E5997"/>
    <w:rsid w:val="005F21C2"/>
    <w:rsid w:val="00610654"/>
    <w:rsid w:val="00615A1F"/>
    <w:rsid w:val="0064033A"/>
    <w:rsid w:val="00655D33"/>
    <w:rsid w:val="0066492B"/>
    <w:rsid w:val="0067026C"/>
    <w:rsid w:val="006763A7"/>
    <w:rsid w:val="006A5BDD"/>
    <w:rsid w:val="006B79F3"/>
    <w:rsid w:val="006C79D7"/>
    <w:rsid w:val="006D3524"/>
    <w:rsid w:val="006E2D49"/>
    <w:rsid w:val="00710873"/>
    <w:rsid w:val="00713DDD"/>
    <w:rsid w:val="00720FC9"/>
    <w:rsid w:val="007468FC"/>
    <w:rsid w:val="00765ABB"/>
    <w:rsid w:val="00780EDB"/>
    <w:rsid w:val="00792CA3"/>
    <w:rsid w:val="007A109F"/>
    <w:rsid w:val="007A2F6F"/>
    <w:rsid w:val="007A76DF"/>
    <w:rsid w:val="007B2FDD"/>
    <w:rsid w:val="007D50D4"/>
    <w:rsid w:val="007D797C"/>
    <w:rsid w:val="007E7F0A"/>
    <w:rsid w:val="007F7F1E"/>
    <w:rsid w:val="008022F5"/>
    <w:rsid w:val="008216A2"/>
    <w:rsid w:val="008345FD"/>
    <w:rsid w:val="0083468A"/>
    <w:rsid w:val="0084292A"/>
    <w:rsid w:val="00842D43"/>
    <w:rsid w:val="00856D1C"/>
    <w:rsid w:val="00872720"/>
    <w:rsid w:val="00873ABE"/>
    <w:rsid w:val="00876AC0"/>
    <w:rsid w:val="008A3633"/>
    <w:rsid w:val="008B1E00"/>
    <w:rsid w:val="008B6222"/>
    <w:rsid w:val="008C3F9A"/>
    <w:rsid w:val="008D2E13"/>
    <w:rsid w:val="008E4B1D"/>
    <w:rsid w:val="009116EA"/>
    <w:rsid w:val="00920225"/>
    <w:rsid w:val="009208C4"/>
    <w:rsid w:val="00923C84"/>
    <w:rsid w:val="0093322C"/>
    <w:rsid w:val="00933671"/>
    <w:rsid w:val="0094021A"/>
    <w:rsid w:val="00962563"/>
    <w:rsid w:val="00972DD5"/>
    <w:rsid w:val="00984879"/>
    <w:rsid w:val="00984CFF"/>
    <w:rsid w:val="00985632"/>
    <w:rsid w:val="00991B63"/>
    <w:rsid w:val="00991D88"/>
    <w:rsid w:val="009969AF"/>
    <w:rsid w:val="009A0DBA"/>
    <w:rsid w:val="009B2428"/>
    <w:rsid w:val="009B5CB7"/>
    <w:rsid w:val="00A266B2"/>
    <w:rsid w:val="00A31242"/>
    <w:rsid w:val="00A52530"/>
    <w:rsid w:val="00A551BF"/>
    <w:rsid w:val="00A70524"/>
    <w:rsid w:val="00A73406"/>
    <w:rsid w:val="00A904EC"/>
    <w:rsid w:val="00A91277"/>
    <w:rsid w:val="00AA6FE9"/>
    <w:rsid w:val="00AC1C9D"/>
    <w:rsid w:val="00AC65DA"/>
    <w:rsid w:val="00AD0D5C"/>
    <w:rsid w:val="00AD74E1"/>
    <w:rsid w:val="00B104E9"/>
    <w:rsid w:val="00B1145B"/>
    <w:rsid w:val="00B267E2"/>
    <w:rsid w:val="00B2722A"/>
    <w:rsid w:val="00B46872"/>
    <w:rsid w:val="00B618BA"/>
    <w:rsid w:val="00B706BE"/>
    <w:rsid w:val="00BA5C2E"/>
    <w:rsid w:val="00BC394A"/>
    <w:rsid w:val="00BC5AF9"/>
    <w:rsid w:val="00BC74DA"/>
    <w:rsid w:val="00BD2E40"/>
    <w:rsid w:val="00BE6239"/>
    <w:rsid w:val="00C05E74"/>
    <w:rsid w:val="00C10C19"/>
    <w:rsid w:val="00C16FAF"/>
    <w:rsid w:val="00C53D74"/>
    <w:rsid w:val="00C5649C"/>
    <w:rsid w:val="00C61D6F"/>
    <w:rsid w:val="00C72CDB"/>
    <w:rsid w:val="00C75486"/>
    <w:rsid w:val="00C75853"/>
    <w:rsid w:val="00C8202C"/>
    <w:rsid w:val="00C87165"/>
    <w:rsid w:val="00C92A5B"/>
    <w:rsid w:val="00CA46EC"/>
    <w:rsid w:val="00D1394D"/>
    <w:rsid w:val="00D73647"/>
    <w:rsid w:val="00D807A9"/>
    <w:rsid w:val="00D903FD"/>
    <w:rsid w:val="00D94BC5"/>
    <w:rsid w:val="00D96C08"/>
    <w:rsid w:val="00DB6D96"/>
    <w:rsid w:val="00DE1409"/>
    <w:rsid w:val="00E2710B"/>
    <w:rsid w:val="00E355F5"/>
    <w:rsid w:val="00E35F78"/>
    <w:rsid w:val="00E87FDF"/>
    <w:rsid w:val="00ED43D2"/>
    <w:rsid w:val="00EE3B8C"/>
    <w:rsid w:val="00EE628D"/>
    <w:rsid w:val="00EF4A38"/>
    <w:rsid w:val="00F17C25"/>
    <w:rsid w:val="00F248FB"/>
    <w:rsid w:val="00F31199"/>
    <w:rsid w:val="00F5755C"/>
    <w:rsid w:val="00FB0AEA"/>
    <w:rsid w:val="00FB10CB"/>
    <w:rsid w:val="00FC31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7EB5C6"/>
  <w15:docId w15:val="{06AAC137-BB1D-44C6-AA44-D7280715E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F7F1E"/>
    <w:rPr>
      <w:sz w:val="20"/>
    </w:rPr>
  </w:style>
  <w:style w:type="paragraph" w:styleId="Heading1">
    <w:name w:val="heading 1"/>
    <w:basedOn w:val="Normal"/>
    <w:next w:val="Normal"/>
    <w:link w:val="Heading1Char"/>
    <w:uiPriority w:val="9"/>
    <w:qFormat/>
    <w:rsid w:val="00484CCB"/>
    <w:pPr>
      <w:spacing w:after="240" w:line="240" w:lineRule="auto"/>
      <w:contextualSpacing/>
      <w:outlineLvl w:val="0"/>
    </w:pPr>
    <w:rPr>
      <w:rFonts w:ascii="Calibri" w:eastAsiaTheme="majorEastAsia" w:hAnsi="Calibri" w:cstheme="majorBidi"/>
      <w:b/>
      <w:bCs/>
      <w:color w:val="000000" w:themeColor="text1"/>
      <w:sz w:val="32"/>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484CCB"/>
    <w:rPr>
      <w:rFonts w:ascii="Calibri" w:eastAsiaTheme="majorEastAsia" w:hAnsi="Calibri" w:cstheme="majorBidi"/>
      <w:b/>
      <w:bCs/>
      <w:color w:val="000000" w:themeColor="text1"/>
      <w:sz w:val="32"/>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A5BDD"/>
    <w:pPr>
      <w:spacing w:after="120" w:line="240" w:lineRule="auto"/>
      <w:contextualSpacing/>
    </w:pPr>
    <w:rPr>
      <w:rFonts w:ascii="Calibri" w:eastAsiaTheme="majorEastAsia" w:hAnsi="Calibri" w:cstheme="majorBidi"/>
      <w:b/>
      <w:color w:val="C00000"/>
      <w:spacing w:val="5"/>
      <w:sz w:val="56"/>
      <w:szCs w:val="52"/>
    </w:rPr>
  </w:style>
  <w:style w:type="character" w:customStyle="1" w:styleId="TitleChar">
    <w:name w:val="Title Char"/>
    <w:basedOn w:val="DefaultParagraphFont"/>
    <w:link w:val="Title"/>
    <w:uiPriority w:val="10"/>
    <w:rsid w:val="006A5BDD"/>
    <w:rPr>
      <w:rFonts w:ascii="Calibri" w:eastAsiaTheme="majorEastAsia" w:hAnsi="Calibri" w:cstheme="majorBidi"/>
      <w:b/>
      <w:color w:val="C00000"/>
      <w:spacing w:val="5"/>
      <w:sz w:val="56"/>
      <w:szCs w:val="52"/>
    </w:rPr>
  </w:style>
  <w:style w:type="paragraph" w:styleId="Subtitle">
    <w:name w:val="Subtitle"/>
    <w:basedOn w:val="Normal"/>
    <w:next w:val="Normal"/>
    <w:link w:val="SubtitleChar"/>
    <w:uiPriority w:val="11"/>
    <w:qFormat/>
    <w:rsid w:val="00A73406"/>
    <w:pPr>
      <w:spacing w:after="240"/>
    </w:pPr>
    <w:rPr>
      <w:rFonts w:ascii="Calibri" w:eastAsiaTheme="majorEastAsia" w:hAnsi="Calibri" w:cstheme="majorBidi"/>
      <w:b/>
      <w:iCs/>
      <w:color w:val="000000" w:themeColor="text1"/>
      <w:spacing w:val="13"/>
      <w:sz w:val="40"/>
      <w:szCs w:val="24"/>
    </w:rPr>
  </w:style>
  <w:style w:type="character" w:customStyle="1" w:styleId="SubtitleChar">
    <w:name w:val="Subtitle Char"/>
    <w:basedOn w:val="DefaultParagraphFont"/>
    <w:link w:val="Subtitle"/>
    <w:uiPriority w:val="11"/>
    <w:rsid w:val="00A73406"/>
    <w:rPr>
      <w:rFonts w:ascii="Calibri" w:eastAsiaTheme="majorEastAsia" w:hAnsi="Calibri" w:cstheme="majorBidi"/>
      <w:b/>
      <w:iCs/>
      <w:color w:val="000000" w:themeColor="text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Table">
    <w:name w:val="Generic Table"/>
    <w:basedOn w:val="TableNormal"/>
    <w:uiPriority w:val="99"/>
    <w:rsid w:val="00F5755C"/>
    <w:pPr>
      <w:spacing w:after="0" w:line="240" w:lineRule="auto"/>
    </w:pPr>
    <w:rPr>
      <w:sz w:val="20"/>
    </w:rPr>
    <w:tblPr>
      <w:tblStyleRowBandSize w:val="1"/>
      <w:tblBorders>
        <w:bottom w:val="single" w:sz="4" w:space="0" w:color="auto"/>
      </w:tblBorders>
    </w:tblPr>
    <w:tblStylePr w:type="firstRow">
      <w:pPr>
        <w:wordWrap/>
        <w:ind w:leftChars="0" w:left="0" w:rightChars="0" w:right="0"/>
        <w:jc w:val="left"/>
      </w:pPr>
      <w:rPr>
        <w:rFonts w:asciiTheme="minorHAnsi" w:hAnsiTheme="minorHAnsi"/>
        <w:b/>
        <w:color w:val="FFFFFF" w:themeColor="background2"/>
        <w:sz w:val="20"/>
      </w:rPr>
      <w:tbl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Cs w:val="20"/>
    </w:rPr>
  </w:style>
  <w:style w:type="paragraph" w:customStyle="1" w:styleId="DeleteText">
    <w:name w:val="Delete Text"/>
    <w:basedOn w:val="Normal"/>
    <w:qFormat/>
    <w:rsid w:val="004D54E7"/>
    <w:rPr>
      <w:color w:val="7030A0"/>
    </w:rPr>
  </w:style>
  <w:style w:type="character" w:styleId="PlaceholderText">
    <w:name w:val="Placeholder Text"/>
    <w:basedOn w:val="DefaultParagraphFont"/>
    <w:uiPriority w:val="99"/>
    <w:semiHidden/>
    <w:rsid w:val="004D54E7"/>
    <w:rPr>
      <w:color w:val="808080"/>
    </w:rPr>
  </w:style>
  <w:style w:type="paragraph" w:styleId="FootnoteText">
    <w:name w:val="footnote text"/>
    <w:basedOn w:val="Normal"/>
    <w:link w:val="FootnoteTextChar"/>
    <w:uiPriority w:val="99"/>
    <w:semiHidden/>
    <w:unhideWhenUsed/>
    <w:rsid w:val="00E2710B"/>
    <w:pPr>
      <w:spacing w:after="0" w:line="240" w:lineRule="auto"/>
    </w:pPr>
    <w:rPr>
      <w:szCs w:val="20"/>
    </w:rPr>
  </w:style>
  <w:style w:type="character" w:customStyle="1" w:styleId="FootnoteTextChar">
    <w:name w:val="Footnote Text Char"/>
    <w:basedOn w:val="DefaultParagraphFont"/>
    <w:link w:val="FootnoteText"/>
    <w:uiPriority w:val="99"/>
    <w:semiHidden/>
    <w:rsid w:val="00E2710B"/>
    <w:rPr>
      <w:sz w:val="20"/>
      <w:szCs w:val="20"/>
    </w:rPr>
  </w:style>
  <w:style w:type="character" w:styleId="FootnoteReference">
    <w:name w:val="footnote reference"/>
    <w:basedOn w:val="DefaultParagraphFont"/>
    <w:uiPriority w:val="99"/>
    <w:semiHidden/>
    <w:unhideWhenUsed/>
    <w:rsid w:val="00E2710B"/>
    <w:rPr>
      <w:vertAlign w:val="superscript"/>
    </w:rPr>
  </w:style>
  <w:style w:type="character" w:styleId="UnresolvedMention">
    <w:name w:val="Unresolved Mention"/>
    <w:basedOn w:val="DefaultParagraphFont"/>
    <w:uiPriority w:val="99"/>
    <w:semiHidden/>
    <w:unhideWhenUsed/>
    <w:rsid w:val="00484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sc.gov.au/hazard-2020"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sc.gov.au/useful-documents-downloads?s=audit+criteri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sc@jobs.gov.au"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B3DA97B18DF46E2989A7CC4B0FDAB32"/>
        <w:category>
          <w:name w:val="General"/>
          <w:gallery w:val="placeholder"/>
        </w:category>
        <w:types>
          <w:type w:val="bbPlcHdr"/>
        </w:types>
        <w:behaviors>
          <w:behavior w:val="content"/>
        </w:behaviors>
        <w:guid w:val="{58C2C4A9-1460-48F8-81B3-9A33DFA7872D}"/>
      </w:docPartPr>
      <w:docPartBody>
        <w:p w:rsidR="00F43A07" w:rsidRDefault="00983C01">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3C01"/>
    <w:rsid w:val="00983C01"/>
    <w:rsid w:val="00C81E93"/>
    <w:rsid w:val="00D926FA"/>
    <w:rsid w:val="00DA26BE"/>
    <w:rsid w:val="00F43A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C0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02C9804508E848925AE7F7B9687CB2" ma:contentTypeVersion="9" ma:contentTypeDescription="Create a new document." ma:contentTypeScope="" ma:versionID="a4833c66c2c6ac389541ec154a8040c3">
  <xsd:schema xmlns:xsd="http://www.w3.org/2001/XMLSchema" xmlns:xs="http://www.w3.org/2001/XMLSchema" xmlns:p="http://schemas.microsoft.com/office/2006/metadata/properties" xmlns:ns3="c0fd65f7-4e73-4983-bb21-592ea7224115" targetNamespace="http://schemas.microsoft.com/office/2006/metadata/properties" ma:root="true" ma:fieldsID="57b2a78ffb454c54aa7c97a64703241c" ns3:_="">
    <xsd:import namespace="c0fd65f7-4e73-4983-bb21-592ea72241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65f7-4e73-4983-bb21-592ea7224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84D2F-80EB-46E0-B256-D7364D3CE4FA}">
  <ds:schemaRefs>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2006/metadata/properties"/>
    <ds:schemaRef ds:uri="http://www.w3.org/XML/1998/namespace"/>
    <ds:schemaRef ds:uri="http://purl.org/dc/terms/"/>
    <ds:schemaRef ds:uri="c0fd65f7-4e73-4983-bb21-592ea7224115"/>
    <ds:schemaRef ds:uri="http://schemas.microsoft.com/office/infopath/2007/PartnerControls"/>
  </ds:schemaRefs>
</ds:datastoreItem>
</file>

<file path=customXml/itemProps2.xml><?xml version="1.0" encoding="utf-8"?>
<ds:datastoreItem xmlns:ds="http://schemas.openxmlformats.org/officeDocument/2006/customXml" ds:itemID="{8093339C-5D17-438A-A956-87E5EAC4D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65f7-4e73-4983-bb21-592ea7224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F95D20-8A66-4176-91EB-DC524408C43C}">
  <ds:schemaRefs>
    <ds:schemaRef ds:uri="http://schemas.microsoft.com/sharepoint/v3/contenttype/forms"/>
  </ds:schemaRefs>
</ds:datastoreItem>
</file>

<file path=customXml/itemProps4.xml><?xml version="1.0" encoding="utf-8"?>
<ds:datastoreItem xmlns:ds="http://schemas.openxmlformats.org/officeDocument/2006/customXml" ds:itemID="{B3B889E6-6470-4050-9BCA-AB4318202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Fact Sheet – Scaffolding in Construction</vt:lpstr>
    </vt:vector>
  </TitlesOfParts>
  <Company>Australian Government</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 2020 FAQs</dc:title>
  <dc:creator>Danny Thomas</dc:creator>
  <cp:lastModifiedBy>ROBSON,Meredith</cp:lastModifiedBy>
  <cp:revision>4</cp:revision>
  <cp:lastPrinted>2013-01-17T00:36:00Z</cp:lastPrinted>
  <dcterms:created xsi:type="dcterms:W3CDTF">2020-10-15T10:42:00Z</dcterms:created>
  <dcterms:modified xsi:type="dcterms:W3CDTF">2020-10-15T22:31:00Z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0x0101001F02C9804508E848925AE7F7B9687CB2</vt:lpwstr>
  </property>
</Properties>
</file>