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4C7935" w14:textId="77777777" w:rsidR="0095441A" w:rsidRDefault="000C0DF6" w:rsidP="0095441A">
      <w:pPr>
        <w:rPr>
          <w:lang w:val="en-US"/>
        </w:rPr>
      </w:pPr>
      <w:r>
        <w:rPr>
          <w:noProof/>
          <w:lang w:eastAsia="en-AU"/>
        </w:rPr>
        <w:drawing>
          <wp:anchor distT="0" distB="0" distL="114300" distR="114300" simplePos="0" relativeHeight="251642368" behindDoc="1" locked="0" layoutInCell="1" allowOverlap="1" wp14:anchorId="198652BE" wp14:editId="5120F633">
            <wp:simplePos x="0" y="0"/>
            <wp:positionH relativeFrom="column">
              <wp:posOffset>8078470</wp:posOffset>
            </wp:positionH>
            <wp:positionV relativeFrom="paragraph">
              <wp:posOffset>39370</wp:posOffset>
            </wp:positionV>
            <wp:extent cx="1615440" cy="1615440"/>
            <wp:effectExtent l="0" t="0" r="3810" b="3810"/>
            <wp:wrapNone/>
            <wp:docPr id="7" name="Picture 7" descr="OFSC Symbol Red &amp; White opaque surround"/>
            <wp:cNvGraphicFramePr/>
            <a:graphic xmlns:a="http://schemas.openxmlformats.org/drawingml/2006/main">
              <a:graphicData uri="http://schemas.openxmlformats.org/drawingml/2006/picture">
                <pic:pic xmlns:pic="http://schemas.openxmlformats.org/drawingml/2006/picture">
                  <pic:nvPicPr>
                    <pic:cNvPr id="7" name="Picture 7" descr="OFSC Symbol Red &amp; White opaque surround"/>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pic:spPr>
                </pic:pic>
              </a:graphicData>
            </a:graphic>
            <wp14:sizeRelH relativeFrom="page">
              <wp14:pctWidth>0</wp14:pctWidth>
            </wp14:sizeRelH>
            <wp14:sizeRelV relativeFrom="page">
              <wp14:pctHeight>0</wp14:pctHeight>
            </wp14:sizeRelV>
          </wp:anchor>
        </w:drawing>
      </w:r>
      <w:r w:rsidR="009F126D">
        <w:rPr>
          <w:lang w:val="en-US"/>
        </w:rPr>
        <w:tab/>
      </w:r>
    </w:p>
    <w:p w14:paraId="7BD2D093" w14:textId="77777777" w:rsidR="000C0DF6" w:rsidRDefault="001E03AA">
      <w:pPr>
        <w:rPr>
          <w:lang w:val="en-US"/>
        </w:rPr>
      </w:pPr>
      <w:r>
        <w:rPr>
          <w:noProof/>
          <w:lang w:eastAsia="en-AU"/>
        </w:rPr>
        <w:drawing>
          <wp:anchor distT="0" distB="0" distL="114300" distR="114300" simplePos="0" relativeHeight="251658752" behindDoc="1" locked="0" layoutInCell="1" allowOverlap="1" wp14:anchorId="7891DEB0" wp14:editId="0F18EFD1">
            <wp:simplePos x="0" y="0"/>
            <wp:positionH relativeFrom="column">
              <wp:posOffset>219075</wp:posOffset>
            </wp:positionH>
            <wp:positionV relativeFrom="paragraph">
              <wp:posOffset>19685</wp:posOffset>
            </wp:positionV>
            <wp:extent cx="3592195" cy="897890"/>
            <wp:effectExtent l="0" t="0" r="8255" b="0"/>
            <wp:wrapNone/>
            <wp:docPr id="6" name="Picture 6" descr="AGs_inline (Office of the Federal Safety Commissioner)"/>
            <wp:cNvGraphicFramePr/>
            <a:graphic xmlns:a="http://schemas.openxmlformats.org/drawingml/2006/main">
              <a:graphicData uri="http://schemas.openxmlformats.org/drawingml/2006/picture">
                <pic:pic xmlns:pic="http://schemas.openxmlformats.org/drawingml/2006/picture">
                  <pic:nvPicPr>
                    <pic:cNvPr id="6" name="Picture 6" descr="AGs_inline (Office of the Federal Safety Commissione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2195" cy="897890"/>
                    </a:xfrm>
                    <a:prstGeom prst="rect">
                      <a:avLst/>
                    </a:prstGeom>
                    <a:noFill/>
                  </pic:spPr>
                </pic:pic>
              </a:graphicData>
            </a:graphic>
            <wp14:sizeRelH relativeFrom="page">
              <wp14:pctWidth>0</wp14:pctWidth>
            </wp14:sizeRelH>
            <wp14:sizeRelV relativeFrom="page">
              <wp14:pctHeight>0</wp14:pctHeight>
            </wp14:sizeRelV>
          </wp:anchor>
        </w:drawing>
      </w:r>
    </w:p>
    <w:p w14:paraId="61988DF0" w14:textId="77777777" w:rsidR="000C0DF6" w:rsidRDefault="000C0DF6">
      <w:pPr>
        <w:rPr>
          <w:lang w:val="en-US"/>
        </w:rPr>
      </w:pPr>
    </w:p>
    <w:p w14:paraId="348A17D0" w14:textId="77777777" w:rsidR="000C0DF6" w:rsidRDefault="000C0DF6">
      <w:pPr>
        <w:rPr>
          <w:lang w:val="en-US"/>
        </w:rPr>
      </w:pPr>
    </w:p>
    <w:p w14:paraId="30C0686C" w14:textId="77777777" w:rsidR="000C0DF6" w:rsidRDefault="000C0DF6">
      <w:pPr>
        <w:rPr>
          <w:lang w:val="en-US"/>
        </w:rPr>
      </w:pPr>
    </w:p>
    <w:p w14:paraId="6072B340" w14:textId="77777777" w:rsidR="000C0DF6" w:rsidRDefault="000C0DF6">
      <w:pPr>
        <w:rPr>
          <w:lang w:val="en-US"/>
        </w:rPr>
      </w:pPr>
    </w:p>
    <w:p w14:paraId="2B538B0C" w14:textId="77777777" w:rsidR="001E03AA" w:rsidRDefault="001E03AA">
      <w:pPr>
        <w:rPr>
          <w:lang w:val="en-US"/>
        </w:rPr>
      </w:pPr>
    </w:p>
    <w:p w14:paraId="1F10C579" w14:textId="77777777" w:rsidR="00DB3E44" w:rsidRDefault="00DB3E44" w:rsidP="008609A7">
      <w:pPr>
        <w:jc w:val="right"/>
        <w:rPr>
          <w:color w:val="9E191F"/>
          <w:sz w:val="72"/>
          <w:szCs w:val="72"/>
          <w:lang w:val="en-US"/>
        </w:rPr>
      </w:pPr>
    </w:p>
    <w:p w14:paraId="4A5698D0" w14:textId="77777777" w:rsidR="00DB3E44" w:rsidRDefault="00DB3E44" w:rsidP="008609A7">
      <w:pPr>
        <w:jc w:val="right"/>
        <w:rPr>
          <w:color w:val="9E191F"/>
          <w:sz w:val="72"/>
          <w:szCs w:val="72"/>
          <w:lang w:val="en-US"/>
        </w:rPr>
      </w:pPr>
    </w:p>
    <w:p w14:paraId="3F0A1B4F" w14:textId="61746BC0" w:rsidR="00C24DC2" w:rsidRPr="00C24DC2" w:rsidRDefault="00C24DC2" w:rsidP="008609A7">
      <w:pPr>
        <w:jc w:val="right"/>
        <w:rPr>
          <w:color w:val="9E191F"/>
          <w:sz w:val="72"/>
          <w:szCs w:val="72"/>
          <w:lang w:val="en-US"/>
        </w:rPr>
      </w:pPr>
      <w:r w:rsidRPr="00C24DC2">
        <w:rPr>
          <w:color w:val="9E191F"/>
          <w:sz w:val="72"/>
          <w:szCs w:val="72"/>
          <w:lang w:val="en-US"/>
        </w:rPr>
        <w:t>Federal Safety Commissioner</w:t>
      </w:r>
    </w:p>
    <w:p w14:paraId="01C67846" w14:textId="77777777" w:rsidR="008609A7" w:rsidRDefault="00C24DC2" w:rsidP="008609A7">
      <w:pPr>
        <w:jc w:val="right"/>
        <w:rPr>
          <w:color w:val="9E191F"/>
          <w:sz w:val="56"/>
          <w:szCs w:val="56"/>
          <w:lang w:val="en-US"/>
        </w:rPr>
      </w:pPr>
      <w:r w:rsidRPr="004C1825">
        <w:rPr>
          <w:color w:val="9E191F"/>
          <w:sz w:val="56"/>
          <w:szCs w:val="56"/>
          <w:lang w:val="en-US"/>
        </w:rPr>
        <w:t xml:space="preserve">Hazard 2020 </w:t>
      </w:r>
      <w:r w:rsidR="004C1825" w:rsidRPr="004C1825">
        <w:rPr>
          <w:color w:val="9E191F"/>
          <w:sz w:val="56"/>
          <w:szCs w:val="56"/>
          <w:lang w:val="en-US"/>
        </w:rPr>
        <w:t>Safety Campaign Update</w:t>
      </w:r>
    </w:p>
    <w:p w14:paraId="3600CF5A" w14:textId="77777777" w:rsidR="0095441A" w:rsidRPr="004C1825" w:rsidRDefault="008609A7" w:rsidP="00C24DC2">
      <w:pPr>
        <w:jc w:val="right"/>
        <w:rPr>
          <w:color w:val="9E191F"/>
          <w:sz w:val="56"/>
          <w:szCs w:val="56"/>
          <w:lang w:val="en-US"/>
        </w:rPr>
      </w:pPr>
      <w:r w:rsidRPr="004C1825">
        <w:rPr>
          <w:noProof/>
          <w:sz w:val="56"/>
          <w:szCs w:val="56"/>
          <w:lang w:eastAsia="en-AU"/>
        </w:rPr>
        <w:drawing>
          <wp:anchor distT="0" distB="0" distL="114300" distR="114300" simplePos="0" relativeHeight="251644416" behindDoc="1" locked="0" layoutInCell="1" allowOverlap="1" wp14:anchorId="4AB4CB5D" wp14:editId="14EA8F98">
            <wp:simplePos x="0" y="0"/>
            <wp:positionH relativeFrom="column">
              <wp:posOffset>-733425</wp:posOffset>
            </wp:positionH>
            <wp:positionV relativeFrom="paragraph">
              <wp:posOffset>509270</wp:posOffset>
            </wp:positionV>
            <wp:extent cx="11296650" cy="8655685"/>
            <wp:effectExtent l="0" t="0" r="0" b="0"/>
            <wp:wrapNone/>
            <wp:docPr id="4" name="Picture 4" descr="Decorative"/>
            <wp:cNvGraphicFramePr/>
            <a:graphic xmlns:a="http://schemas.openxmlformats.org/drawingml/2006/main">
              <a:graphicData uri="http://schemas.openxmlformats.org/drawingml/2006/picture">
                <pic:pic xmlns:pic="http://schemas.openxmlformats.org/drawingml/2006/picture">
                  <pic:nvPicPr>
                    <pic:cNvPr id="3" name="Picture 3" descr="Decorative"/>
                    <pic:cNvPicPr/>
                  </pic:nvPicPr>
                  <pic:blipFill>
                    <a:blip r:embed="rId10">
                      <a:extLst>
                        <a:ext uri="{28A0092B-C50C-407E-A947-70E740481C1C}">
                          <a14:useLocalDpi xmlns:a14="http://schemas.microsoft.com/office/drawing/2010/main" val="0"/>
                        </a:ext>
                      </a:extLst>
                    </a:blip>
                    <a:stretch>
                      <a:fillRect/>
                    </a:stretch>
                  </pic:blipFill>
                  <pic:spPr bwMode="auto">
                    <a:xfrm>
                      <a:off x="0" y="0"/>
                      <a:ext cx="11296650" cy="865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3EF">
        <w:rPr>
          <w:color w:val="9E191F"/>
          <w:sz w:val="56"/>
          <w:szCs w:val="56"/>
          <w:lang w:val="en-US"/>
        </w:rPr>
        <w:t xml:space="preserve">October 2020 – May </w:t>
      </w:r>
      <w:r w:rsidR="00230085">
        <w:rPr>
          <w:color w:val="9E191F"/>
          <w:sz w:val="56"/>
          <w:szCs w:val="56"/>
          <w:lang w:val="en-US"/>
        </w:rPr>
        <w:t>2021</w:t>
      </w:r>
      <w:r w:rsidR="0095441A" w:rsidRPr="004C1825">
        <w:rPr>
          <w:color w:val="9E191F"/>
          <w:sz w:val="56"/>
          <w:szCs w:val="56"/>
          <w:lang w:val="en-US"/>
        </w:rPr>
        <w:br w:type="page"/>
      </w:r>
    </w:p>
    <w:sdt>
      <w:sdtPr>
        <w:rPr>
          <w:b w:val="0"/>
          <w:bCs w:val="0"/>
          <w:sz w:val="22"/>
          <w:szCs w:val="22"/>
          <w:lang w:val="en-AU"/>
        </w:rPr>
        <w:id w:val="613255301"/>
        <w:docPartObj>
          <w:docPartGallery w:val="Table of Contents"/>
          <w:docPartUnique/>
        </w:docPartObj>
      </w:sdtPr>
      <w:sdtEndPr>
        <w:rPr>
          <w:noProof/>
        </w:rPr>
      </w:sdtEndPr>
      <w:sdtContent>
        <w:p w14:paraId="581F72D5" w14:textId="77777777" w:rsidR="008B4EB6" w:rsidRDefault="008B4EB6" w:rsidP="00C9398B">
          <w:pPr>
            <w:pStyle w:val="TOCHeading"/>
            <w:spacing w:after="0"/>
          </w:pPr>
          <w:r>
            <w:t>Contents</w:t>
          </w:r>
        </w:p>
        <w:p w14:paraId="49853CA1" w14:textId="77777777" w:rsidR="008122C1" w:rsidRPr="008122C1" w:rsidRDefault="008B4EB6">
          <w:pPr>
            <w:pStyle w:val="TOC1"/>
            <w:rPr>
              <w:noProof/>
            </w:rPr>
          </w:pPr>
          <w:r w:rsidRPr="006702C0">
            <w:fldChar w:fldCharType="begin"/>
          </w:r>
          <w:r w:rsidRPr="006702C0">
            <w:instrText xml:space="preserve"> TOC \o "1-3" \h \z \u </w:instrText>
          </w:r>
          <w:r w:rsidRPr="006702C0">
            <w:fldChar w:fldCharType="separate"/>
          </w:r>
        </w:p>
        <w:p w14:paraId="1773D1DE" w14:textId="29AFEB60" w:rsidR="008122C1" w:rsidRDefault="00762B78" w:rsidP="008122C1">
          <w:pPr>
            <w:pStyle w:val="TOC1"/>
            <w:rPr>
              <w:rFonts w:eastAsiaTheme="minorEastAsia"/>
              <w:noProof/>
              <w:lang w:eastAsia="en-AU"/>
            </w:rPr>
          </w:pPr>
          <w:hyperlink r:id="rId11" w:anchor="_Toc81917913" w:history="1">
            <w:r w:rsidR="008122C1" w:rsidRPr="00EB7C01">
              <w:rPr>
                <w:rStyle w:val="Hyperlink"/>
                <w:noProof/>
              </w:rPr>
              <w:t>Overview of</w:t>
            </w:r>
            <w:r w:rsidR="008122C1">
              <w:rPr>
                <w:rStyle w:val="Hyperlink"/>
                <w:noProof/>
              </w:rPr>
              <w:t xml:space="preserve"> The Hazard 2020 Update</w:t>
            </w:r>
            <w:r w:rsidR="008122C1">
              <w:rPr>
                <w:noProof/>
                <w:webHidden/>
              </w:rPr>
              <w:tab/>
            </w:r>
            <w:r w:rsidR="008122C1">
              <w:rPr>
                <w:noProof/>
                <w:webHidden/>
              </w:rPr>
              <w:fldChar w:fldCharType="begin"/>
            </w:r>
            <w:r w:rsidR="008122C1">
              <w:rPr>
                <w:noProof/>
                <w:webHidden/>
              </w:rPr>
              <w:instrText xml:space="preserve"> PAGEREF _Toc81917913 \h </w:instrText>
            </w:r>
            <w:r w:rsidR="008122C1">
              <w:rPr>
                <w:noProof/>
                <w:webHidden/>
              </w:rPr>
            </w:r>
            <w:r w:rsidR="008122C1">
              <w:rPr>
                <w:noProof/>
                <w:webHidden/>
              </w:rPr>
              <w:fldChar w:fldCharType="separate"/>
            </w:r>
            <w:r>
              <w:rPr>
                <w:noProof/>
                <w:webHidden/>
              </w:rPr>
              <w:t>3</w:t>
            </w:r>
            <w:r w:rsidR="008122C1">
              <w:rPr>
                <w:noProof/>
                <w:webHidden/>
              </w:rPr>
              <w:fldChar w:fldCharType="end"/>
            </w:r>
          </w:hyperlink>
        </w:p>
        <w:p w14:paraId="51470245" w14:textId="657EDCBF" w:rsidR="008122C1" w:rsidRDefault="00762B78" w:rsidP="008122C1">
          <w:pPr>
            <w:pStyle w:val="TOC1"/>
            <w:ind w:left="720"/>
            <w:rPr>
              <w:rFonts w:eastAsiaTheme="minorEastAsia"/>
              <w:noProof/>
              <w:lang w:eastAsia="en-AU"/>
            </w:rPr>
          </w:pPr>
          <w:hyperlink w:anchor="_Toc81917915" w:history="1">
            <w:r w:rsidR="008122C1" w:rsidRPr="00EB7C01">
              <w:rPr>
                <w:rStyle w:val="Hyperlink"/>
                <w:noProof/>
              </w:rPr>
              <w:t>Introduction</w:t>
            </w:r>
            <w:r w:rsidR="008122C1">
              <w:rPr>
                <w:rStyle w:val="Hyperlink"/>
                <w:noProof/>
              </w:rPr>
              <w:t xml:space="preserve"> &amp; How Accredited Companies Should Use this Report</w:t>
            </w:r>
            <w:r w:rsidR="008122C1">
              <w:rPr>
                <w:noProof/>
                <w:webHidden/>
              </w:rPr>
              <w:tab/>
            </w:r>
            <w:r w:rsidR="008122C1">
              <w:rPr>
                <w:noProof/>
                <w:webHidden/>
              </w:rPr>
              <w:fldChar w:fldCharType="begin"/>
            </w:r>
            <w:r w:rsidR="008122C1">
              <w:rPr>
                <w:noProof/>
                <w:webHidden/>
              </w:rPr>
              <w:instrText xml:space="preserve"> PAGEREF _Toc81917915 \h </w:instrText>
            </w:r>
            <w:r w:rsidR="008122C1">
              <w:rPr>
                <w:noProof/>
                <w:webHidden/>
              </w:rPr>
            </w:r>
            <w:r w:rsidR="008122C1">
              <w:rPr>
                <w:noProof/>
                <w:webHidden/>
              </w:rPr>
              <w:fldChar w:fldCharType="separate"/>
            </w:r>
            <w:r>
              <w:rPr>
                <w:noProof/>
                <w:webHidden/>
              </w:rPr>
              <w:t>4</w:t>
            </w:r>
            <w:r w:rsidR="008122C1">
              <w:rPr>
                <w:noProof/>
                <w:webHidden/>
              </w:rPr>
              <w:fldChar w:fldCharType="end"/>
            </w:r>
          </w:hyperlink>
        </w:p>
        <w:p w14:paraId="2C2EFBFE" w14:textId="1EEF4A90" w:rsidR="008122C1" w:rsidRDefault="00762B78" w:rsidP="008122C1">
          <w:pPr>
            <w:pStyle w:val="TOC1"/>
            <w:ind w:left="720"/>
            <w:rPr>
              <w:rFonts w:eastAsiaTheme="minorEastAsia"/>
              <w:noProof/>
              <w:lang w:eastAsia="en-AU"/>
            </w:rPr>
          </w:pPr>
          <w:hyperlink r:id="rId12" w:anchor="_Toc81917917" w:history="1">
            <w:r w:rsidR="008122C1" w:rsidRPr="00EB7C01">
              <w:rPr>
                <w:rStyle w:val="Hyperlink"/>
                <w:noProof/>
              </w:rPr>
              <w:t>Statement from the Federal Safety Commissioner</w:t>
            </w:r>
            <w:r w:rsidR="008122C1">
              <w:rPr>
                <w:noProof/>
                <w:webHidden/>
              </w:rPr>
              <w:tab/>
            </w:r>
            <w:r w:rsidR="008122C1">
              <w:rPr>
                <w:noProof/>
                <w:webHidden/>
              </w:rPr>
              <w:fldChar w:fldCharType="begin"/>
            </w:r>
            <w:r w:rsidR="008122C1">
              <w:rPr>
                <w:noProof/>
                <w:webHidden/>
              </w:rPr>
              <w:instrText xml:space="preserve"> PAGEREF _Toc81917917 \h </w:instrText>
            </w:r>
            <w:r w:rsidR="008122C1">
              <w:rPr>
                <w:noProof/>
                <w:webHidden/>
              </w:rPr>
            </w:r>
            <w:r w:rsidR="008122C1">
              <w:rPr>
                <w:noProof/>
                <w:webHidden/>
              </w:rPr>
              <w:fldChar w:fldCharType="separate"/>
            </w:r>
            <w:r>
              <w:rPr>
                <w:noProof/>
                <w:webHidden/>
              </w:rPr>
              <w:t>5</w:t>
            </w:r>
            <w:r w:rsidR="008122C1">
              <w:rPr>
                <w:noProof/>
                <w:webHidden/>
              </w:rPr>
              <w:fldChar w:fldCharType="end"/>
            </w:r>
          </w:hyperlink>
        </w:p>
        <w:p w14:paraId="2185FA78" w14:textId="38BFC421" w:rsidR="008122C1" w:rsidRDefault="00762B78" w:rsidP="008122C1">
          <w:pPr>
            <w:pStyle w:val="TOC1"/>
            <w:ind w:left="720"/>
            <w:rPr>
              <w:rFonts w:eastAsiaTheme="minorEastAsia"/>
              <w:noProof/>
              <w:lang w:eastAsia="en-AU"/>
            </w:rPr>
          </w:pPr>
          <w:hyperlink w:anchor="_Toc81917918" w:history="1">
            <w:r w:rsidR="008122C1" w:rsidRPr="00EB7C01">
              <w:rPr>
                <w:rStyle w:val="Hyperlink"/>
                <w:noProof/>
              </w:rPr>
              <w:t>Hazard 2020 Audits - Overview</w:t>
            </w:r>
            <w:r w:rsidR="008122C1">
              <w:rPr>
                <w:noProof/>
                <w:webHidden/>
              </w:rPr>
              <w:tab/>
            </w:r>
            <w:r w:rsidR="008122C1">
              <w:rPr>
                <w:noProof/>
                <w:webHidden/>
              </w:rPr>
              <w:fldChar w:fldCharType="begin"/>
            </w:r>
            <w:r w:rsidR="008122C1">
              <w:rPr>
                <w:noProof/>
                <w:webHidden/>
              </w:rPr>
              <w:instrText xml:space="preserve"> PAGEREF _Toc81917918 \h </w:instrText>
            </w:r>
            <w:r w:rsidR="008122C1">
              <w:rPr>
                <w:noProof/>
                <w:webHidden/>
              </w:rPr>
            </w:r>
            <w:r w:rsidR="008122C1">
              <w:rPr>
                <w:noProof/>
                <w:webHidden/>
              </w:rPr>
              <w:fldChar w:fldCharType="separate"/>
            </w:r>
            <w:r>
              <w:rPr>
                <w:noProof/>
                <w:webHidden/>
              </w:rPr>
              <w:t>6</w:t>
            </w:r>
            <w:r w:rsidR="008122C1">
              <w:rPr>
                <w:noProof/>
                <w:webHidden/>
              </w:rPr>
              <w:fldChar w:fldCharType="end"/>
            </w:r>
          </w:hyperlink>
        </w:p>
        <w:p w14:paraId="2BE6941A" w14:textId="73B3D20E" w:rsidR="008122C1" w:rsidRDefault="00762B78" w:rsidP="008122C1">
          <w:pPr>
            <w:pStyle w:val="TOC1"/>
            <w:ind w:left="720"/>
            <w:rPr>
              <w:rFonts w:eastAsiaTheme="minorEastAsia"/>
              <w:noProof/>
              <w:lang w:eastAsia="en-AU"/>
            </w:rPr>
          </w:pPr>
          <w:hyperlink w:anchor="_Toc81917919" w:history="1">
            <w:r w:rsidR="008122C1" w:rsidRPr="00EB7C01">
              <w:rPr>
                <w:rStyle w:val="Hyperlink"/>
                <w:noProof/>
              </w:rPr>
              <w:t>Hazard 2020 Incident Reports - Overview</w:t>
            </w:r>
            <w:r w:rsidR="008122C1">
              <w:rPr>
                <w:noProof/>
                <w:webHidden/>
              </w:rPr>
              <w:tab/>
            </w:r>
            <w:r w:rsidR="008122C1">
              <w:rPr>
                <w:noProof/>
                <w:webHidden/>
              </w:rPr>
              <w:fldChar w:fldCharType="begin"/>
            </w:r>
            <w:r w:rsidR="008122C1">
              <w:rPr>
                <w:noProof/>
                <w:webHidden/>
              </w:rPr>
              <w:instrText xml:space="preserve"> PAGEREF _Toc81917919 \h </w:instrText>
            </w:r>
            <w:r w:rsidR="008122C1">
              <w:rPr>
                <w:noProof/>
                <w:webHidden/>
              </w:rPr>
            </w:r>
            <w:r w:rsidR="008122C1">
              <w:rPr>
                <w:noProof/>
                <w:webHidden/>
              </w:rPr>
              <w:fldChar w:fldCharType="separate"/>
            </w:r>
            <w:r>
              <w:rPr>
                <w:noProof/>
                <w:webHidden/>
              </w:rPr>
              <w:t>7</w:t>
            </w:r>
            <w:r w:rsidR="008122C1">
              <w:rPr>
                <w:noProof/>
                <w:webHidden/>
              </w:rPr>
              <w:fldChar w:fldCharType="end"/>
            </w:r>
          </w:hyperlink>
        </w:p>
        <w:p w14:paraId="47CC805D" w14:textId="77777777" w:rsidR="008122C1" w:rsidRDefault="008122C1">
          <w:pPr>
            <w:pStyle w:val="TOC1"/>
            <w:rPr>
              <w:rStyle w:val="Hyperlink"/>
              <w:noProof/>
            </w:rPr>
          </w:pPr>
        </w:p>
        <w:p w14:paraId="0B653E3D" w14:textId="738156B3" w:rsidR="008122C1" w:rsidRDefault="00762B78">
          <w:pPr>
            <w:pStyle w:val="TOC1"/>
            <w:rPr>
              <w:rFonts w:eastAsiaTheme="minorEastAsia"/>
              <w:noProof/>
              <w:lang w:eastAsia="en-AU"/>
            </w:rPr>
          </w:pPr>
          <w:hyperlink r:id="rId13" w:anchor="_Toc81917920" w:history="1">
            <w:r w:rsidR="008122C1" w:rsidRPr="00EB7C01">
              <w:rPr>
                <w:rStyle w:val="Hyperlink"/>
                <w:noProof/>
              </w:rPr>
              <w:t>Mobile Plant Update</w:t>
            </w:r>
            <w:r w:rsidR="008122C1">
              <w:rPr>
                <w:noProof/>
                <w:webHidden/>
              </w:rPr>
              <w:tab/>
            </w:r>
            <w:r w:rsidR="008122C1">
              <w:rPr>
                <w:noProof/>
                <w:webHidden/>
              </w:rPr>
              <w:fldChar w:fldCharType="begin"/>
            </w:r>
            <w:r w:rsidR="008122C1">
              <w:rPr>
                <w:noProof/>
                <w:webHidden/>
              </w:rPr>
              <w:instrText xml:space="preserve"> PAGEREF _Toc81917920 \h </w:instrText>
            </w:r>
            <w:r w:rsidR="008122C1">
              <w:rPr>
                <w:noProof/>
                <w:webHidden/>
              </w:rPr>
            </w:r>
            <w:r w:rsidR="008122C1">
              <w:rPr>
                <w:noProof/>
                <w:webHidden/>
              </w:rPr>
              <w:fldChar w:fldCharType="separate"/>
            </w:r>
            <w:r>
              <w:rPr>
                <w:noProof/>
                <w:webHidden/>
              </w:rPr>
              <w:t>8</w:t>
            </w:r>
            <w:r w:rsidR="008122C1">
              <w:rPr>
                <w:noProof/>
                <w:webHidden/>
              </w:rPr>
              <w:fldChar w:fldCharType="end"/>
            </w:r>
          </w:hyperlink>
        </w:p>
        <w:p w14:paraId="46116474" w14:textId="3A28E7E7" w:rsidR="008122C1" w:rsidRDefault="00762B78" w:rsidP="008122C1">
          <w:pPr>
            <w:pStyle w:val="TOC1"/>
            <w:ind w:left="720"/>
            <w:rPr>
              <w:rFonts w:eastAsiaTheme="minorEastAsia"/>
              <w:noProof/>
              <w:lang w:eastAsia="en-AU"/>
            </w:rPr>
          </w:pPr>
          <w:hyperlink w:anchor="_Toc81917921" w:history="1">
            <w:r w:rsidR="008122C1" w:rsidRPr="00EB7C01">
              <w:rPr>
                <w:rStyle w:val="Hyperlink"/>
                <w:noProof/>
              </w:rPr>
              <w:t>Corrective Action Reports Issued</w:t>
            </w:r>
            <w:r w:rsidR="008122C1">
              <w:rPr>
                <w:noProof/>
                <w:webHidden/>
              </w:rPr>
              <w:tab/>
            </w:r>
            <w:r w:rsidR="008122C1">
              <w:rPr>
                <w:noProof/>
                <w:webHidden/>
              </w:rPr>
              <w:fldChar w:fldCharType="begin"/>
            </w:r>
            <w:r w:rsidR="008122C1">
              <w:rPr>
                <w:noProof/>
                <w:webHidden/>
              </w:rPr>
              <w:instrText xml:space="preserve"> PAGEREF _Toc81917921 \h </w:instrText>
            </w:r>
            <w:r w:rsidR="008122C1">
              <w:rPr>
                <w:noProof/>
                <w:webHidden/>
              </w:rPr>
            </w:r>
            <w:r w:rsidR="008122C1">
              <w:rPr>
                <w:noProof/>
                <w:webHidden/>
              </w:rPr>
              <w:fldChar w:fldCharType="separate"/>
            </w:r>
            <w:r>
              <w:rPr>
                <w:noProof/>
                <w:webHidden/>
              </w:rPr>
              <w:t>9</w:t>
            </w:r>
            <w:r w:rsidR="008122C1">
              <w:rPr>
                <w:noProof/>
                <w:webHidden/>
              </w:rPr>
              <w:fldChar w:fldCharType="end"/>
            </w:r>
          </w:hyperlink>
        </w:p>
        <w:p w14:paraId="24479C1F" w14:textId="3970440B" w:rsidR="008122C1" w:rsidRDefault="00762B78" w:rsidP="008122C1">
          <w:pPr>
            <w:pStyle w:val="TOC1"/>
            <w:ind w:left="720"/>
            <w:rPr>
              <w:rFonts w:eastAsiaTheme="minorEastAsia"/>
              <w:noProof/>
              <w:lang w:eastAsia="en-AU"/>
            </w:rPr>
          </w:pPr>
          <w:hyperlink w:anchor="_Toc81917922" w:history="1">
            <w:r w:rsidR="008122C1" w:rsidRPr="00EB7C01">
              <w:rPr>
                <w:rStyle w:val="Hyperlink"/>
                <w:noProof/>
              </w:rPr>
              <w:t>CAR Issue Rates and Type</w:t>
            </w:r>
            <w:r w:rsidR="008122C1">
              <w:rPr>
                <w:noProof/>
                <w:webHidden/>
              </w:rPr>
              <w:tab/>
            </w:r>
            <w:r w:rsidR="008122C1">
              <w:rPr>
                <w:noProof/>
                <w:webHidden/>
              </w:rPr>
              <w:fldChar w:fldCharType="begin"/>
            </w:r>
            <w:r w:rsidR="008122C1">
              <w:rPr>
                <w:noProof/>
                <w:webHidden/>
              </w:rPr>
              <w:instrText xml:space="preserve"> PAGEREF _Toc81917922 \h </w:instrText>
            </w:r>
            <w:r w:rsidR="008122C1">
              <w:rPr>
                <w:noProof/>
                <w:webHidden/>
              </w:rPr>
            </w:r>
            <w:r w:rsidR="008122C1">
              <w:rPr>
                <w:noProof/>
                <w:webHidden/>
              </w:rPr>
              <w:fldChar w:fldCharType="separate"/>
            </w:r>
            <w:r>
              <w:rPr>
                <w:noProof/>
                <w:webHidden/>
              </w:rPr>
              <w:t>10</w:t>
            </w:r>
            <w:r w:rsidR="008122C1">
              <w:rPr>
                <w:noProof/>
                <w:webHidden/>
              </w:rPr>
              <w:fldChar w:fldCharType="end"/>
            </w:r>
          </w:hyperlink>
        </w:p>
        <w:p w14:paraId="6A3D0CE7" w14:textId="4A8DEDFA" w:rsidR="008122C1" w:rsidRDefault="00762B78" w:rsidP="008122C1">
          <w:pPr>
            <w:pStyle w:val="TOC1"/>
            <w:ind w:left="720"/>
            <w:rPr>
              <w:rFonts w:eastAsiaTheme="minorEastAsia"/>
              <w:noProof/>
              <w:lang w:eastAsia="en-AU"/>
            </w:rPr>
          </w:pPr>
          <w:hyperlink w:anchor="_Toc81917925" w:history="1">
            <w:r w:rsidR="008122C1" w:rsidRPr="00EB7C01">
              <w:rPr>
                <w:rStyle w:val="Hyperlink"/>
                <w:noProof/>
              </w:rPr>
              <w:t>CAR Analysis and Trends</w:t>
            </w:r>
            <w:r w:rsidR="008122C1">
              <w:rPr>
                <w:noProof/>
                <w:webHidden/>
              </w:rPr>
              <w:tab/>
            </w:r>
            <w:r w:rsidR="008122C1">
              <w:rPr>
                <w:noProof/>
                <w:webHidden/>
              </w:rPr>
              <w:fldChar w:fldCharType="begin"/>
            </w:r>
            <w:r w:rsidR="008122C1">
              <w:rPr>
                <w:noProof/>
                <w:webHidden/>
              </w:rPr>
              <w:instrText xml:space="preserve"> PAGEREF _Toc81917925 \h </w:instrText>
            </w:r>
            <w:r w:rsidR="008122C1">
              <w:rPr>
                <w:noProof/>
                <w:webHidden/>
              </w:rPr>
            </w:r>
            <w:r w:rsidR="008122C1">
              <w:rPr>
                <w:noProof/>
                <w:webHidden/>
              </w:rPr>
              <w:fldChar w:fldCharType="separate"/>
            </w:r>
            <w:r>
              <w:rPr>
                <w:noProof/>
                <w:webHidden/>
              </w:rPr>
              <w:t>11</w:t>
            </w:r>
            <w:r w:rsidR="008122C1">
              <w:rPr>
                <w:noProof/>
                <w:webHidden/>
              </w:rPr>
              <w:fldChar w:fldCharType="end"/>
            </w:r>
          </w:hyperlink>
        </w:p>
        <w:p w14:paraId="4324EA3C" w14:textId="1BC04706" w:rsidR="008122C1" w:rsidRDefault="00762B78" w:rsidP="008122C1">
          <w:pPr>
            <w:pStyle w:val="TOC1"/>
            <w:ind w:left="720"/>
            <w:rPr>
              <w:rFonts w:eastAsiaTheme="minorEastAsia"/>
              <w:noProof/>
              <w:lang w:eastAsia="en-AU"/>
            </w:rPr>
          </w:pPr>
          <w:hyperlink w:anchor="_Toc81917926" w:history="1">
            <w:r w:rsidR="008122C1" w:rsidRPr="00EB7C01">
              <w:rPr>
                <w:rStyle w:val="Hyperlink"/>
                <w:noProof/>
              </w:rPr>
              <w:t>Incident Reports</w:t>
            </w:r>
            <w:r w:rsidR="008122C1">
              <w:rPr>
                <w:noProof/>
                <w:webHidden/>
              </w:rPr>
              <w:tab/>
            </w:r>
            <w:r w:rsidR="008122C1">
              <w:rPr>
                <w:noProof/>
                <w:webHidden/>
              </w:rPr>
              <w:fldChar w:fldCharType="begin"/>
            </w:r>
            <w:r w:rsidR="008122C1">
              <w:rPr>
                <w:noProof/>
                <w:webHidden/>
              </w:rPr>
              <w:instrText xml:space="preserve"> PAGEREF _Toc81917926 \h </w:instrText>
            </w:r>
            <w:r w:rsidR="008122C1">
              <w:rPr>
                <w:noProof/>
                <w:webHidden/>
              </w:rPr>
            </w:r>
            <w:r w:rsidR="008122C1">
              <w:rPr>
                <w:noProof/>
                <w:webHidden/>
              </w:rPr>
              <w:fldChar w:fldCharType="separate"/>
            </w:r>
            <w:r>
              <w:rPr>
                <w:noProof/>
                <w:webHidden/>
              </w:rPr>
              <w:t>12</w:t>
            </w:r>
            <w:r w:rsidR="008122C1">
              <w:rPr>
                <w:noProof/>
                <w:webHidden/>
              </w:rPr>
              <w:fldChar w:fldCharType="end"/>
            </w:r>
          </w:hyperlink>
        </w:p>
        <w:p w14:paraId="7A3AE459" w14:textId="2A7A3ADA" w:rsidR="008122C1" w:rsidRDefault="00762B78" w:rsidP="008122C1">
          <w:pPr>
            <w:pStyle w:val="TOC1"/>
            <w:ind w:left="720"/>
            <w:rPr>
              <w:rFonts w:eastAsiaTheme="minorEastAsia"/>
              <w:noProof/>
              <w:lang w:eastAsia="en-AU"/>
            </w:rPr>
          </w:pPr>
          <w:hyperlink w:anchor="_Toc81917927" w:history="1">
            <w:r w:rsidR="008122C1" w:rsidRPr="00EB7C01">
              <w:rPr>
                <w:rStyle w:val="Hyperlink"/>
                <w:noProof/>
              </w:rPr>
              <w:t>Incident Reports Analysis of Trends</w:t>
            </w:r>
            <w:r w:rsidR="008122C1">
              <w:rPr>
                <w:noProof/>
                <w:webHidden/>
              </w:rPr>
              <w:tab/>
            </w:r>
            <w:r w:rsidR="008122C1">
              <w:rPr>
                <w:noProof/>
                <w:webHidden/>
              </w:rPr>
              <w:fldChar w:fldCharType="begin"/>
            </w:r>
            <w:r w:rsidR="008122C1">
              <w:rPr>
                <w:noProof/>
                <w:webHidden/>
              </w:rPr>
              <w:instrText xml:space="preserve"> PAGEREF _Toc81917927 \h </w:instrText>
            </w:r>
            <w:r w:rsidR="008122C1">
              <w:rPr>
                <w:noProof/>
                <w:webHidden/>
              </w:rPr>
            </w:r>
            <w:r w:rsidR="008122C1">
              <w:rPr>
                <w:noProof/>
                <w:webHidden/>
              </w:rPr>
              <w:fldChar w:fldCharType="separate"/>
            </w:r>
            <w:r>
              <w:rPr>
                <w:noProof/>
                <w:webHidden/>
              </w:rPr>
              <w:t>13</w:t>
            </w:r>
            <w:r w:rsidR="008122C1">
              <w:rPr>
                <w:noProof/>
                <w:webHidden/>
              </w:rPr>
              <w:fldChar w:fldCharType="end"/>
            </w:r>
          </w:hyperlink>
        </w:p>
        <w:p w14:paraId="40572165" w14:textId="77777777" w:rsidR="008122C1" w:rsidRDefault="008122C1">
          <w:pPr>
            <w:pStyle w:val="TOC1"/>
            <w:rPr>
              <w:rStyle w:val="Hyperlink"/>
              <w:noProof/>
            </w:rPr>
          </w:pPr>
        </w:p>
        <w:p w14:paraId="69A8EB4B" w14:textId="17B7B61C" w:rsidR="008122C1" w:rsidRDefault="00762B78">
          <w:pPr>
            <w:pStyle w:val="TOC1"/>
            <w:rPr>
              <w:rFonts w:eastAsiaTheme="minorEastAsia"/>
              <w:noProof/>
              <w:lang w:eastAsia="en-AU"/>
            </w:rPr>
          </w:pPr>
          <w:hyperlink r:id="rId14" w:anchor="_Toc81917928" w:history="1">
            <w:r w:rsidR="008122C1" w:rsidRPr="00EB7C01">
              <w:rPr>
                <w:rStyle w:val="Hyperlink"/>
                <w:noProof/>
              </w:rPr>
              <w:t>Scaffolding Update</w:t>
            </w:r>
            <w:r w:rsidR="008122C1">
              <w:rPr>
                <w:noProof/>
                <w:webHidden/>
              </w:rPr>
              <w:tab/>
            </w:r>
            <w:r w:rsidR="008122C1">
              <w:rPr>
                <w:noProof/>
                <w:webHidden/>
              </w:rPr>
              <w:fldChar w:fldCharType="begin"/>
            </w:r>
            <w:r w:rsidR="008122C1">
              <w:rPr>
                <w:noProof/>
                <w:webHidden/>
              </w:rPr>
              <w:instrText xml:space="preserve"> PAGEREF _Toc81917928 \h </w:instrText>
            </w:r>
            <w:r w:rsidR="008122C1">
              <w:rPr>
                <w:noProof/>
                <w:webHidden/>
              </w:rPr>
            </w:r>
            <w:r w:rsidR="008122C1">
              <w:rPr>
                <w:noProof/>
                <w:webHidden/>
              </w:rPr>
              <w:fldChar w:fldCharType="separate"/>
            </w:r>
            <w:r>
              <w:rPr>
                <w:noProof/>
                <w:webHidden/>
              </w:rPr>
              <w:t>14</w:t>
            </w:r>
            <w:r w:rsidR="008122C1">
              <w:rPr>
                <w:noProof/>
                <w:webHidden/>
              </w:rPr>
              <w:fldChar w:fldCharType="end"/>
            </w:r>
          </w:hyperlink>
        </w:p>
        <w:p w14:paraId="105780A7" w14:textId="7F470D6D" w:rsidR="008122C1" w:rsidRDefault="00762B78" w:rsidP="008122C1">
          <w:pPr>
            <w:pStyle w:val="TOC1"/>
            <w:ind w:left="720"/>
            <w:rPr>
              <w:rFonts w:eastAsiaTheme="minorEastAsia"/>
              <w:noProof/>
              <w:lang w:eastAsia="en-AU"/>
            </w:rPr>
          </w:pPr>
          <w:hyperlink w:anchor="_Toc81917929" w:history="1">
            <w:r w:rsidR="008122C1" w:rsidRPr="00EB7C01">
              <w:rPr>
                <w:rStyle w:val="Hyperlink"/>
                <w:noProof/>
              </w:rPr>
              <w:t>Corrective Action Reports Issued</w:t>
            </w:r>
            <w:r w:rsidR="008122C1">
              <w:rPr>
                <w:noProof/>
                <w:webHidden/>
              </w:rPr>
              <w:tab/>
            </w:r>
            <w:r w:rsidR="008122C1">
              <w:rPr>
                <w:noProof/>
                <w:webHidden/>
              </w:rPr>
              <w:fldChar w:fldCharType="begin"/>
            </w:r>
            <w:r w:rsidR="008122C1">
              <w:rPr>
                <w:noProof/>
                <w:webHidden/>
              </w:rPr>
              <w:instrText xml:space="preserve"> PAGEREF _Toc81917929 \h </w:instrText>
            </w:r>
            <w:r w:rsidR="008122C1">
              <w:rPr>
                <w:noProof/>
                <w:webHidden/>
              </w:rPr>
            </w:r>
            <w:r w:rsidR="008122C1">
              <w:rPr>
                <w:noProof/>
                <w:webHidden/>
              </w:rPr>
              <w:fldChar w:fldCharType="separate"/>
            </w:r>
            <w:r>
              <w:rPr>
                <w:noProof/>
                <w:webHidden/>
              </w:rPr>
              <w:t>15</w:t>
            </w:r>
            <w:r w:rsidR="008122C1">
              <w:rPr>
                <w:noProof/>
                <w:webHidden/>
              </w:rPr>
              <w:fldChar w:fldCharType="end"/>
            </w:r>
          </w:hyperlink>
        </w:p>
        <w:p w14:paraId="07EF496F" w14:textId="667498FA" w:rsidR="008122C1" w:rsidRDefault="00762B78" w:rsidP="008122C1">
          <w:pPr>
            <w:pStyle w:val="TOC1"/>
            <w:ind w:left="720"/>
            <w:rPr>
              <w:rFonts w:eastAsiaTheme="minorEastAsia"/>
              <w:noProof/>
              <w:lang w:eastAsia="en-AU"/>
            </w:rPr>
          </w:pPr>
          <w:hyperlink w:anchor="_Toc81917930" w:history="1">
            <w:r w:rsidR="008122C1" w:rsidRPr="00EB7C01">
              <w:rPr>
                <w:rStyle w:val="Hyperlink"/>
                <w:noProof/>
              </w:rPr>
              <w:t>CAR Issue Rates and Type</w:t>
            </w:r>
            <w:r w:rsidR="008122C1">
              <w:rPr>
                <w:noProof/>
                <w:webHidden/>
              </w:rPr>
              <w:tab/>
            </w:r>
            <w:r w:rsidR="008122C1">
              <w:rPr>
                <w:noProof/>
                <w:webHidden/>
              </w:rPr>
              <w:fldChar w:fldCharType="begin"/>
            </w:r>
            <w:r w:rsidR="008122C1">
              <w:rPr>
                <w:noProof/>
                <w:webHidden/>
              </w:rPr>
              <w:instrText xml:space="preserve"> PAGEREF _Toc81917930 \h </w:instrText>
            </w:r>
            <w:r w:rsidR="008122C1">
              <w:rPr>
                <w:noProof/>
                <w:webHidden/>
              </w:rPr>
            </w:r>
            <w:r w:rsidR="008122C1">
              <w:rPr>
                <w:noProof/>
                <w:webHidden/>
              </w:rPr>
              <w:fldChar w:fldCharType="separate"/>
            </w:r>
            <w:r>
              <w:rPr>
                <w:noProof/>
                <w:webHidden/>
              </w:rPr>
              <w:t>16</w:t>
            </w:r>
            <w:r w:rsidR="008122C1">
              <w:rPr>
                <w:noProof/>
                <w:webHidden/>
              </w:rPr>
              <w:fldChar w:fldCharType="end"/>
            </w:r>
          </w:hyperlink>
        </w:p>
        <w:p w14:paraId="01E0D4BC" w14:textId="62F3A2D9" w:rsidR="008122C1" w:rsidRDefault="00762B78" w:rsidP="008122C1">
          <w:pPr>
            <w:pStyle w:val="TOC1"/>
            <w:ind w:left="720"/>
            <w:rPr>
              <w:rFonts w:eastAsiaTheme="minorEastAsia"/>
              <w:noProof/>
              <w:lang w:eastAsia="en-AU"/>
            </w:rPr>
          </w:pPr>
          <w:hyperlink w:anchor="_Toc81917933" w:history="1">
            <w:r w:rsidR="008122C1" w:rsidRPr="00EB7C01">
              <w:rPr>
                <w:rStyle w:val="Hyperlink"/>
                <w:noProof/>
              </w:rPr>
              <w:t>CAR Analysis and Trends</w:t>
            </w:r>
            <w:r w:rsidR="008122C1">
              <w:rPr>
                <w:noProof/>
                <w:webHidden/>
              </w:rPr>
              <w:tab/>
            </w:r>
            <w:r w:rsidR="008122C1">
              <w:rPr>
                <w:noProof/>
                <w:webHidden/>
              </w:rPr>
              <w:fldChar w:fldCharType="begin"/>
            </w:r>
            <w:r w:rsidR="008122C1">
              <w:rPr>
                <w:noProof/>
                <w:webHidden/>
              </w:rPr>
              <w:instrText xml:space="preserve"> PAGEREF _Toc81917933 \h </w:instrText>
            </w:r>
            <w:r w:rsidR="008122C1">
              <w:rPr>
                <w:noProof/>
                <w:webHidden/>
              </w:rPr>
            </w:r>
            <w:r w:rsidR="008122C1">
              <w:rPr>
                <w:noProof/>
                <w:webHidden/>
              </w:rPr>
              <w:fldChar w:fldCharType="separate"/>
            </w:r>
            <w:r>
              <w:rPr>
                <w:noProof/>
                <w:webHidden/>
              </w:rPr>
              <w:t>17</w:t>
            </w:r>
            <w:r w:rsidR="008122C1">
              <w:rPr>
                <w:noProof/>
                <w:webHidden/>
              </w:rPr>
              <w:fldChar w:fldCharType="end"/>
            </w:r>
          </w:hyperlink>
        </w:p>
        <w:p w14:paraId="294DE69F" w14:textId="275CAEEC" w:rsidR="008122C1" w:rsidRDefault="00762B78" w:rsidP="008122C1">
          <w:pPr>
            <w:pStyle w:val="TOC1"/>
            <w:ind w:left="720"/>
            <w:rPr>
              <w:rFonts w:eastAsiaTheme="minorEastAsia"/>
              <w:noProof/>
              <w:lang w:eastAsia="en-AU"/>
            </w:rPr>
          </w:pPr>
          <w:hyperlink w:anchor="_Toc81917934" w:history="1">
            <w:r w:rsidR="008122C1" w:rsidRPr="00EB7C01">
              <w:rPr>
                <w:rStyle w:val="Hyperlink"/>
                <w:noProof/>
              </w:rPr>
              <w:t>Incident Reports</w:t>
            </w:r>
            <w:r w:rsidR="008122C1">
              <w:rPr>
                <w:noProof/>
                <w:webHidden/>
              </w:rPr>
              <w:tab/>
            </w:r>
            <w:r w:rsidR="008122C1">
              <w:rPr>
                <w:noProof/>
                <w:webHidden/>
              </w:rPr>
              <w:fldChar w:fldCharType="begin"/>
            </w:r>
            <w:r w:rsidR="008122C1">
              <w:rPr>
                <w:noProof/>
                <w:webHidden/>
              </w:rPr>
              <w:instrText xml:space="preserve"> PAGEREF _Toc81917934 \h </w:instrText>
            </w:r>
            <w:r w:rsidR="008122C1">
              <w:rPr>
                <w:noProof/>
                <w:webHidden/>
              </w:rPr>
            </w:r>
            <w:r w:rsidR="008122C1">
              <w:rPr>
                <w:noProof/>
                <w:webHidden/>
              </w:rPr>
              <w:fldChar w:fldCharType="separate"/>
            </w:r>
            <w:r>
              <w:rPr>
                <w:noProof/>
                <w:webHidden/>
              </w:rPr>
              <w:t>18</w:t>
            </w:r>
            <w:r w:rsidR="008122C1">
              <w:rPr>
                <w:noProof/>
                <w:webHidden/>
              </w:rPr>
              <w:fldChar w:fldCharType="end"/>
            </w:r>
          </w:hyperlink>
        </w:p>
        <w:p w14:paraId="2C952FB1" w14:textId="467C3B12" w:rsidR="008122C1" w:rsidRDefault="00762B78" w:rsidP="008122C1">
          <w:pPr>
            <w:pStyle w:val="TOC1"/>
            <w:ind w:left="720"/>
            <w:rPr>
              <w:rFonts w:eastAsiaTheme="minorEastAsia"/>
              <w:noProof/>
              <w:lang w:eastAsia="en-AU"/>
            </w:rPr>
          </w:pPr>
          <w:hyperlink w:anchor="_Toc81917936" w:history="1">
            <w:r w:rsidR="008122C1" w:rsidRPr="00EB7C01">
              <w:rPr>
                <w:rStyle w:val="Hyperlink"/>
                <w:noProof/>
              </w:rPr>
              <w:t>Incident Reports Analysis of Trends</w:t>
            </w:r>
            <w:r w:rsidR="008122C1">
              <w:rPr>
                <w:noProof/>
                <w:webHidden/>
              </w:rPr>
              <w:tab/>
            </w:r>
            <w:r w:rsidR="008122C1">
              <w:rPr>
                <w:noProof/>
                <w:webHidden/>
              </w:rPr>
              <w:fldChar w:fldCharType="begin"/>
            </w:r>
            <w:r w:rsidR="008122C1">
              <w:rPr>
                <w:noProof/>
                <w:webHidden/>
              </w:rPr>
              <w:instrText xml:space="preserve"> PAGEREF _Toc81917936 \h </w:instrText>
            </w:r>
            <w:r w:rsidR="008122C1">
              <w:rPr>
                <w:noProof/>
                <w:webHidden/>
              </w:rPr>
            </w:r>
            <w:r w:rsidR="008122C1">
              <w:rPr>
                <w:noProof/>
                <w:webHidden/>
              </w:rPr>
              <w:fldChar w:fldCharType="separate"/>
            </w:r>
            <w:r>
              <w:rPr>
                <w:noProof/>
                <w:webHidden/>
              </w:rPr>
              <w:t>19</w:t>
            </w:r>
            <w:r w:rsidR="008122C1">
              <w:rPr>
                <w:noProof/>
                <w:webHidden/>
              </w:rPr>
              <w:fldChar w:fldCharType="end"/>
            </w:r>
          </w:hyperlink>
        </w:p>
        <w:p w14:paraId="7253602E" w14:textId="77777777" w:rsidR="008122C1" w:rsidRDefault="008122C1">
          <w:pPr>
            <w:pStyle w:val="TOC1"/>
            <w:rPr>
              <w:rStyle w:val="Hyperlink"/>
              <w:noProof/>
            </w:rPr>
          </w:pPr>
        </w:p>
        <w:p w14:paraId="039DBE79" w14:textId="52DEE732" w:rsidR="008122C1" w:rsidRDefault="00762B78">
          <w:pPr>
            <w:pStyle w:val="TOC1"/>
            <w:rPr>
              <w:rFonts w:eastAsiaTheme="minorEastAsia"/>
              <w:noProof/>
              <w:lang w:eastAsia="en-AU"/>
            </w:rPr>
          </w:pPr>
          <w:hyperlink r:id="rId15" w:anchor="_Toc81917937" w:history="1">
            <w:r w:rsidR="008122C1" w:rsidRPr="00EB7C01">
              <w:rPr>
                <w:rStyle w:val="Hyperlink"/>
                <w:noProof/>
              </w:rPr>
              <w:t>Additional Resources</w:t>
            </w:r>
            <w:r w:rsidR="008122C1">
              <w:rPr>
                <w:noProof/>
                <w:webHidden/>
              </w:rPr>
              <w:tab/>
            </w:r>
            <w:r w:rsidR="008122C1">
              <w:rPr>
                <w:noProof/>
                <w:webHidden/>
              </w:rPr>
              <w:fldChar w:fldCharType="begin"/>
            </w:r>
            <w:r w:rsidR="008122C1">
              <w:rPr>
                <w:noProof/>
                <w:webHidden/>
              </w:rPr>
              <w:instrText xml:space="preserve"> PAGEREF _Toc81917937 \h </w:instrText>
            </w:r>
            <w:r w:rsidR="008122C1">
              <w:rPr>
                <w:noProof/>
                <w:webHidden/>
              </w:rPr>
            </w:r>
            <w:r w:rsidR="008122C1">
              <w:rPr>
                <w:noProof/>
                <w:webHidden/>
              </w:rPr>
              <w:fldChar w:fldCharType="separate"/>
            </w:r>
            <w:r>
              <w:rPr>
                <w:noProof/>
                <w:webHidden/>
              </w:rPr>
              <w:t>20</w:t>
            </w:r>
            <w:r w:rsidR="008122C1">
              <w:rPr>
                <w:noProof/>
                <w:webHidden/>
              </w:rPr>
              <w:fldChar w:fldCharType="end"/>
            </w:r>
          </w:hyperlink>
        </w:p>
        <w:p w14:paraId="55A0E1E0" w14:textId="6F8580C0" w:rsidR="008122C1" w:rsidRDefault="00762B78" w:rsidP="008122C1">
          <w:pPr>
            <w:pStyle w:val="TOC1"/>
            <w:ind w:left="720"/>
            <w:rPr>
              <w:rFonts w:eastAsiaTheme="minorEastAsia"/>
              <w:noProof/>
              <w:lang w:eastAsia="en-AU"/>
            </w:rPr>
          </w:pPr>
          <w:hyperlink w:anchor="_Toc81917938" w:history="1">
            <w:r w:rsidR="008122C1" w:rsidRPr="00EB7C01">
              <w:rPr>
                <w:rStyle w:val="Hyperlink"/>
                <w:noProof/>
              </w:rPr>
              <w:t>Education</w:t>
            </w:r>
            <w:r w:rsidR="008122C1">
              <w:rPr>
                <w:noProof/>
                <w:webHidden/>
              </w:rPr>
              <w:tab/>
            </w:r>
            <w:r w:rsidR="008122C1">
              <w:rPr>
                <w:noProof/>
                <w:webHidden/>
              </w:rPr>
              <w:fldChar w:fldCharType="begin"/>
            </w:r>
            <w:r w:rsidR="008122C1">
              <w:rPr>
                <w:noProof/>
                <w:webHidden/>
              </w:rPr>
              <w:instrText xml:space="preserve"> PAGEREF _Toc81917938 \h </w:instrText>
            </w:r>
            <w:r w:rsidR="008122C1">
              <w:rPr>
                <w:noProof/>
                <w:webHidden/>
              </w:rPr>
            </w:r>
            <w:r w:rsidR="008122C1">
              <w:rPr>
                <w:noProof/>
                <w:webHidden/>
              </w:rPr>
              <w:fldChar w:fldCharType="separate"/>
            </w:r>
            <w:r>
              <w:rPr>
                <w:noProof/>
                <w:webHidden/>
              </w:rPr>
              <w:t>21</w:t>
            </w:r>
            <w:r w:rsidR="008122C1">
              <w:rPr>
                <w:noProof/>
                <w:webHidden/>
              </w:rPr>
              <w:fldChar w:fldCharType="end"/>
            </w:r>
          </w:hyperlink>
        </w:p>
        <w:p w14:paraId="180637E0" w14:textId="4A3B66D7" w:rsidR="008122C1" w:rsidRDefault="00762B78" w:rsidP="008122C1">
          <w:pPr>
            <w:pStyle w:val="TOC1"/>
            <w:ind w:left="720"/>
            <w:rPr>
              <w:rFonts w:eastAsiaTheme="minorEastAsia"/>
              <w:noProof/>
              <w:lang w:eastAsia="en-AU"/>
            </w:rPr>
          </w:pPr>
          <w:hyperlink w:anchor="_Toc81917944" w:history="1">
            <w:r w:rsidR="008122C1" w:rsidRPr="00EB7C01">
              <w:rPr>
                <w:rStyle w:val="Hyperlink"/>
                <w:noProof/>
              </w:rPr>
              <w:t>Glossary</w:t>
            </w:r>
            <w:r w:rsidR="008122C1">
              <w:rPr>
                <w:noProof/>
                <w:webHidden/>
              </w:rPr>
              <w:tab/>
            </w:r>
            <w:r w:rsidR="008122C1">
              <w:rPr>
                <w:noProof/>
                <w:webHidden/>
              </w:rPr>
              <w:fldChar w:fldCharType="begin"/>
            </w:r>
            <w:r w:rsidR="008122C1">
              <w:rPr>
                <w:noProof/>
                <w:webHidden/>
              </w:rPr>
              <w:instrText xml:space="preserve"> PAGEREF _Toc81917944 \h </w:instrText>
            </w:r>
            <w:r w:rsidR="008122C1">
              <w:rPr>
                <w:noProof/>
                <w:webHidden/>
              </w:rPr>
            </w:r>
            <w:r w:rsidR="008122C1">
              <w:rPr>
                <w:noProof/>
                <w:webHidden/>
              </w:rPr>
              <w:fldChar w:fldCharType="separate"/>
            </w:r>
            <w:r>
              <w:rPr>
                <w:noProof/>
                <w:webHidden/>
              </w:rPr>
              <w:t>22</w:t>
            </w:r>
            <w:r w:rsidR="008122C1">
              <w:rPr>
                <w:noProof/>
                <w:webHidden/>
              </w:rPr>
              <w:fldChar w:fldCharType="end"/>
            </w:r>
          </w:hyperlink>
        </w:p>
        <w:p w14:paraId="419A5CA0" w14:textId="77777777" w:rsidR="008B4EB6" w:rsidRPr="00416054" w:rsidRDefault="008B4EB6" w:rsidP="00416054">
          <w:pPr>
            <w:pStyle w:val="TOC1"/>
            <w:rPr>
              <w:rFonts w:eastAsiaTheme="minorEastAsia"/>
              <w:noProof/>
              <w:lang w:eastAsia="en-AU"/>
            </w:rPr>
          </w:pPr>
          <w:r w:rsidRPr="006702C0">
            <w:rPr>
              <w:b/>
              <w:bCs/>
              <w:noProof/>
            </w:rPr>
            <w:fldChar w:fldCharType="end"/>
          </w:r>
          <w:r w:rsidR="00B270DE" w:rsidRPr="006702C0">
            <w:rPr>
              <w:b/>
              <w:bCs/>
              <w:noProof/>
            </w:rPr>
            <w:br w:type="page"/>
          </w:r>
        </w:p>
      </w:sdtContent>
    </w:sdt>
    <w:p w14:paraId="59E02E34" w14:textId="77777777" w:rsidR="00E140E3" w:rsidRDefault="009D2E1B" w:rsidP="00D30730">
      <w:pPr>
        <w:pStyle w:val="Heading1"/>
        <w:spacing w:after="120"/>
      </w:pPr>
      <w:bookmarkStart w:id="0" w:name="_Toc81917912"/>
      <w:r w:rsidRPr="004C1825">
        <w:rPr>
          <w:noProof/>
          <w:sz w:val="56"/>
          <w:szCs w:val="56"/>
          <w:lang w:val="en-AU" w:eastAsia="en-AU"/>
        </w:rPr>
        <w:lastRenderedPageBreak/>
        <w:drawing>
          <wp:anchor distT="0" distB="0" distL="114300" distR="114300" simplePos="0" relativeHeight="251738624" behindDoc="1" locked="0" layoutInCell="1" allowOverlap="1" wp14:anchorId="059387C6" wp14:editId="06A313D1">
            <wp:simplePos x="0" y="0"/>
            <wp:positionH relativeFrom="page">
              <wp:posOffset>-604520</wp:posOffset>
            </wp:positionH>
            <wp:positionV relativeFrom="paragraph">
              <wp:posOffset>-1363980</wp:posOffset>
            </wp:positionV>
            <wp:extent cx="11296650" cy="8474710"/>
            <wp:effectExtent l="0" t="0" r="0" b="2540"/>
            <wp:wrapNone/>
            <wp:docPr id="52" name="Picture 52" descr="Decorative"/>
            <wp:cNvGraphicFramePr/>
            <a:graphic xmlns:a="http://schemas.openxmlformats.org/drawingml/2006/main">
              <a:graphicData uri="http://schemas.openxmlformats.org/drawingml/2006/picture">
                <pic:pic xmlns:pic="http://schemas.openxmlformats.org/drawingml/2006/picture">
                  <pic:nvPicPr>
                    <pic:cNvPr id="3" name="Picture 3" descr="Decorative"/>
                    <pic:cNvPicPr/>
                  </pic:nvPicPr>
                  <pic:blipFill>
                    <a:blip r:embed="rId10">
                      <a:extLst>
                        <a:ext uri="{28A0092B-C50C-407E-A947-70E740481C1C}">
                          <a14:useLocalDpi xmlns:a14="http://schemas.microsoft.com/office/drawing/2010/main" val="0"/>
                        </a:ext>
                      </a:extLst>
                    </a:blip>
                    <a:stretch>
                      <a:fillRect/>
                    </a:stretch>
                  </pic:blipFill>
                  <pic:spPr bwMode="auto">
                    <a:xfrm>
                      <a:off x="0" y="0"/>
                      <a:ext cx="11296650" cy="847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0E3">
        <w:rPr>
          <w:noProof/>
          <w:lang w:val="en-AU" w:eastAsia="en-AU"/>
        </w:rPr>
        <w:drawing>
          <wp:anchor distT="0" distB="0" distL="114300" distR="114300" simplePos="0" relativeHeight="251740672" behindDoc="1" locked="0" layoutInCell="1" allowOverlap="1" wp14:anchorId="48180995" wp14:editId="5D3476A3">
            <wp:simplePos x="0" y="0"/>
            <wp:positionH relativeFrom="margin">
              <wp:align>right</wp:align>
            </wp:positionH>
            <wp:positionV relativeFrom="paragraph">
              <wp:posOffset>-4445</wp:posOffset>
            </wp:positionV>
            <wp:extent cx="1615440" cy="1615440"/>
            <wp:effectExtent l="0" t="0" r="3810" b="3810"/>
            <wp:wrapNone/>
            <wp:docPr id="55" name="Picture 55" descr="OFSC Symbol Red &amp; White opaque surround"/>
            <wp:cNvGraphicFramePr/>
            <a:graphic xmlns:a="http://schemas.openxmlformats.org/drawingml/2006/main">
              <a:graphicData uri="http://schemas.openxmlformats.org/drawingml/2006/picture">
                <pic:pic xmlns:pic="http://schemas.openxmlformats.org/drawingml/2006/picture">
                  <pic:nvPicPr>
                    <pic:cNvPr id="7" name="Picture 7" descr="OFSC Symbol Red &amp; White opaque surround"/>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0859770E" w14:textId="77777777" w:rsidR="00E140E3" w:rsidRDefault="00E140E3">
      <w:pPr>
        <w:rPr>
          <w:b/>
          <w:bCs/>
          <w:sz w:val="36"/>
          <w:szCs w:val="36"/>
          <w:lang w:val="en-US"/>
        </w:rPr>
      </w:pPr>
      <w:r>
        <w:rPr>
          <w:noProof/>
          <w:lang w:eastAsia="en-AU"/>
        </w:rPr>
        <mc:AlternateContent>
          <mc:Choice Requires="wps">
            <w:drawing>
              <wp:anchor distT="45720" distB="45720" distL="114300" distR="114300" simplePos="0" relativeHeight="251746816" behindDoc="0" locked="0" layoutInCell="1" allowOverlap="1" wp14:anchorId="40B83F6E" wp14:editId="77662E3B">
                <wp:simplePos x="0" y="0"/>
                <wp:positionH relativeFrom="margin">
                  <wp:align>right</wp:align>
                </wp:positionH>
                <wp:positionV relativeFrom="paragraph">
                  <wp:posOffset>2476500</wp:posOffset>
                </wp:positionV>
                <wp:extent cx="8718550" cy="23609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0" cy="2360930"/>
                        </a:xfrm>
                        <a:prstGeom prst="rect">
                          <a:avLst/>
                        </a:prstGeom>
                        <a:noFill/>
                        <a:ln w="9525">
                          <a:noFill/>
                          <a:miter lim="800000"/>
                          <a:headEnd/>
                          <a:tailEnd/>
                        </a:ln>
                      </wps:spPr>
                      <wps:txbx>
                        <w:txbxContent>
                          <w:p w14:paraId="60854396" w14:textId="77777777" w:rsidR="00762C79" w:rsidRPr="008122C1" w:rsidRDefault="00762C79" w:rsidP="008122C1">
                            <w:pPr>
                              <w:pStyle w:val="Heading1"/>
                              <w:jc w:val="right"/>
                              <w:rPr>
                                <w:color w:val="FFFFFF" w:themeColor="background1"/>
                                <w:sz w:val="72"/>
                                <w:szCs w:val="72"/>
                              </w:rPr>
                            </w:pPr>
                            <w:bookmarkStart w:id="1" w:name="_Toc81917913"/>
                            <w:r w:rsidRPr="008122C1">
                              <w:rPr>
                                <w:color w:val="FFFFFF" w:themeColor="background1"/>
                                <w:sz w:val="72"/>
                                <w:szCs w:val="72"/>
                              </w:rPr>
                              <w:t>Overview of</w:t>
                            </w:r>
                            <w:bookmarkEnd w:id="1"/>
                          </w:p>
                          <w:p w14:paraId="737EB66B" w14:textId="77777777" w:rsidR="00762C79" w:rsidRPr="008122C1" w:rsidRDefault="00762C79" w:rsidP="008122C1">
                            <w:pPr>
                              <w:pStyle w:val="Heading1"/>
                              <w:jc w:val="right"/>
                              <w:rPr>
                                <w:color w:val="FFFFFF" w:themeColor="background1"/>
                                <w:sz w:val="72"/>
                                <w:szCs w:val="72"/>
                              </w:rPr>
                            </w:pPr>
                            <w:bookmarkStart w:id="2" w:name="_Toc81917914"/>
                            <w:r w:rsidRPr="008122C1">
                              <w:rPr>
                                <w:color w:val="FFFFFF" w:themeColor="background1"/>
                                <w:sz w:val="72"/>
                                <w:szCs w:val="72"/>
                              </w:rPr>
                              <w:t>The Hazard 2020 Update</w:t>
                            </w:r>
                            <w:bookmarkEnd w:id="2"/>
                            <w:r w:rsidRPr="008122C1">
                              <w:rPr>
                                <w:color w:val="FFFFFF" w:themeColor="background1"/>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B83F6E" id="_x0000_t202" coordsize="21600,21600" o:spt="202" path="m,l,21600r21600,l21600,xe">
                <v:stroke joinstyle="miter"/>
                <v:path gradientshapeok="t" o:connecttype="rect"/>
              </v:shapetype>
              <v:shape id="Text Box 2" o:spid="_x0000_s1026" type="#_x0000_t202" style="position:absolute;margin-left:635.3pt;margin-top:195pt;width:686.5pt;height:185.9pt;z-index:251746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" filled="f" stroked="f">
                <v:textbox>
                  <w:txbxContent>
                    <w:p w14:paraId="60854396" w14:textId="77777777" w:rsidR="00762C79" w:rsidRPr="008122C1" w:rsidRDefault="00762C79" w:rsidP="008122C1">
                      <w:pPr>
                        <w:pStyle w:val="Heading1"/>
                        <w:jc w:val="right"/>
                        <w:rPr>
                          <w:color w:val="FFFFFF" w:themeColor="background1"/>
                          <w:sz w:val="72"/>
                          <w:szCs w:val="72"/>
                        </w:rPr>
                      </w:pPr>
                      <w:bookmarkStart w:id="3" w:name="_Toc81917913"/>
                      <w:r w:rsidRPr="008122C1">
                        <w:rPr>
                          <w:color w:val="FFFFFF" w:themeColor="background1"/>
                          <w:sz w:val="72"/>
                          <w:szCs w:val="72"/>
                        </w:rPr>
                        <w:t>Overview of</w:t>
                      </w:r>
                      <w:bookmarkEnd w:id="3"/>
                    </w:p>
                    <w:p w14:paraId="737EB66B" w14:textId="77777777" w:rsidR="00762C79" w:rsidRPr="008122C1" w:rsidRDefault="00762C79" w:rsidP="008122C1">
                      <w:pPr>
                        <w:pStyle w:val="Heading1"/>
                        <w:jc w:val="right"/>
                        <w:rPr>
                          <w:color w:val="FFFFFF" w:themeColor="background1"/>
                          <w:sz w:val="72"/>
                          <w:szCs w:val="72"/>
                        </w:rPr>
                      </w:pPr>
                      <w:bookmarkStart w:id="4" w:name="_Toc81917914"/>
                      <w:r w:rsidRPr="008122C1">
                        <w:rPr>
                          <w:color w:val="FFFFFF" w:themeColor="background1"/>
                          <w:sz w:val="72"/>
                          <w:szCs w:val="72"/>
                        </w:rPr>
                        <w:t>The Hazard 2020 Update</w:t>
                      </w:r>
                      <w:bookmarkEnd w:id="4"/>
                      <w:r w:rsidRPr="008122C1">
                        <w:rPr>
                          <w:color w:val="FFFFFF" w:themeColor="background1"/>
                          <w:sz w:val="72"/>
                          <w:szCs w:val="72"/>
                        </w:rPr>
                        <w:t xml:space="preserve"> </w:t>
                      </w:r>
                    </w:p>
                  </w:txbxContent>
                </v:textbox>
                <w10:wrap type="square" anchorx="margin"/>
              </v:shape>
            </w:pict>
          </mc:Fallback>
        </mc:AlternateContent>
      </w:r>
      <w:r>
        <w:br w:type="page"/>
      </w:r>
    </w:p>
    <w:p w14:paraId="6B3918B8" w14:textId="77777777" w:rsidR="00B270DE" w:rsidRDefault="00B270DE" w:rsidP="00D30730">
      <w:pPr>
        <w:pStyle w:val="Heading1"/>
        <w:spacing w:after="120"/>
        <w:sectPr w:rsidR="00B270DE" w:rsidSect="005643CC">
          <w:headerReference w:type="even" r:id="rId16"/>
          <w:headerReference w:type="default" r:id="rId17"/>
          <w:footerReference w:type="default" r:id="rId18"/>
          <w:headerReference w:type="first" r:id="rId19"/>
          <w:footerReference w:type="first" r:id="rId20"/>
          <w:pgSz w:w="16838" w:h="11906" w:orient="landscape"/>
          <w:pgMar w:top="720" w:right="720" w:bottom="720" w:left="720" w:header="708" w:footer="708" w:gutter="0"/>
          <w:cols w:space="708"/>
          <w:titlePg/>
          <w:docGrid w:linePitch="360"/>
        </w:sectPr>
      </w:pPr>
    </w:p>
    <w:p w14:paraId="0876335F" w14:textId="77777777" w:rsidR="0095441A" w:rsidRDefault="009C7275" w:rsidP="007F6F34">
      <w:pPr>
        <w:pStyle w:val="Heading1"/>
        <w:spacing w:after="0"/>
      </w:pPr>
      <w:bookmarkStart w:id="5" w:name="_Toc81917915"/>
      <w:r w:rsidRPr="006D3FD3">
        <w:lastRenderedPageBreak/>
        <w:t>Introduction</w:t>
      </w:r>
      <w:bookmarkEnd w:id="5"/>
    </w:p>
    <w:p w14:paraId="399D85F9" w14:textId="77777777" w:rsidR="007F6F34" w:rsidRPr="007F6F34" w:rsidRDefault="007F6F34" w:rsidP="007F6F34">
      <w:pPr>
        <w:rPr>
          <w:lang w:val="en-US"/>
        </w:rPr>
      </w:pPr>
    </w:p>
    <w:p w14:paraId="6B297FB7" w14:textId="77777777" w:rsidR="00D510E3" w:rsidRDefault="00D8419E" w:rsidP="007F6F34">
      <w:pPr>
        <w:spacing w:after="120"/>
        <w:rPr>
          <w:sz w:val="24"/>
          <w:szCs w:val="24"/>
          <w:lang w:val="en-US"/>
        </w:rPr>
      </w:pPr>
      <w:r w:rsidRPr="00D30730">
        <w:rPr>
          <w:sz w:val="24"/>
          <w:szCs w:val="24"/>
          <w:lang w:val="en-US"/>
        </w:rPr>
        <w:t>The 12-month Hazard 2020 campaign, launched in October 2020, targets scaffolding and mobile plant</w:t>
      </w:r>
      <w:r w:rsidR="00D132A1" w:rsidRPr="00D30730">
        <w:rPr>
          <w:sz w:val="24"/>
          <w:szCs w:val="24"/>
          <w:lang w:val="en-US"/>
        </w:rPr>
        <w:t xml:space="preserve"> safety risks on building and construction sites</w:t>
      </w:r>
      <w:r w:rsidR="005B5A23">
        <w:rPr>
          <w:sz w:val="24"/>
          <w:szCs w:val="24"/>
          <w:lang w:val="en-US"/>
        </w:rPr>
        <w:t xml:space="preserve"> of companies accredited under the </w:t>
      </w:r>
      <w:r w:rsidR="00C64DBE" w:rsidRPr="00D30730">
        <w:rPr>
          <w:sz w:val="24"/>
          <w:szCs w:val="24"/>
          <w:lang w:val="en-US"/>
        </w:rPr>
        <w:t>W</w:t>
      </w:r>
      <w:r w:rsidR="00D62FF6">
        <w:rPr>
          <w:sz w:val="24"/>
          <w:szCs w:val="24"/>
          <w:lang w:val="en-US"/>
        </w:rPr>
        <w:t xml:space="preserve">ork </w:t>
      </w:r>
      <w:r w:rsidR="00C64DBE" w:rsidRPr="00D30730">
        <w:rPr>
          <w:sz w:val="24"/>
          <w:szCs w:val="24"/>
          <w:lang w:val="en-US"/>
        </w:rPr>
        <w:t>H</w:t>
      </w:r>
      <w:r w:rsidR="00D62FF6">
        <w:rPr>
          <w:sz w:val="24"/>
          <w:szCs w:val="24"/>
          <w:lang w:val="en-US"/>
        </w:rPr>
        <w:t xml:space="preserve">ealth </w:t>
      </w:r>
      <w:r w:rsidR="00C64DBE" w:rsidRPr="00D30730">
        <w:rPr>
          <w:sz w:val="24"/>
          <w:szCs w:val="24"/>
          <w:lang w:val="en-US"/>
        </w:rPr>
        <w:t>S</w:t>
      </w:r>
      <w:r w:rsidR="00D62FF6">
        <w:rPr>
          <w:sz w:val="24"/>
          <w:szCs w:val="24"/>
          <w:lang w:val="en-US"/>
        </w:rPr>
        <w:t>afety</w:t>
      </w:r>
      <w:r w:rsidR="00C64DBE" w:rsidRPr="00D30730">
        <w:rPr>
          <w:sz w:val="24"/>
          <w:szCs w:val="24"/>
          <w:lang w:val="en-US"/>
        </w:rPr>
        <w:t xml:space="preserve"> Accreditation </w:t>
      </w:r>
      <w:r w:rsidR="0055321C" w:rsidRPr="00D30730">
        <w:rPr>
          <w:sz w:val="24"/>
          <w:szCs w:val="24"/>
          <w:lang w:val="en-US"/>
        </w:rPr>
        <w:t>Scheme</w:t>
      </w:r>
      <w:r w:rsidR="00C64DBE" w:rsidRPr="00D30730">
        <w:rPr>
          <w:sz w:val="24"/>
          <w:szCs w:val="24"/>
          <w:lang w:val="en-US"/>
        </w:rPr>
        <w:t xml:space="preserve"> (the Scheme)</w:t>
      </w:r>
      <w:r w:rsidR="005B5A23">
        <w:rPr>
          <w:sz w:val="24"/>
          <w:szCs w:val="24"/>
          <w:lang w:val="en-US"/>
        </w:rPr>
        <w:t>. Analysis of Scheme</w:t>
      </w:r>
      <w:r w:rsidR="0055321C" w:rsidRPr="00D30730">
        <w:rPr>
          <w:sz w:val="24"/>
          <w:szCs w:val="24"/>
          <w:lang w:val="en-US"/>
        </w:rPr>
        <w:t xml:space="preserve"> </w:t>
      </w:r>
      <w:r w:rsidR="001377C4" w:rsidRPr="00D30730">
        <w:rPr>
          <w:sz w:val="24"/>
          <w:szCs w:val="24"/>
          <w:lang w:val="en-US"/>
        </w:rPr>
        <w:t xml:space="preserve">reporting </w:t>
      </w:r>
      <w:r w:rsidR="0055321C" w:rsidRPr="00D30730">
        <w:rPr>
          <w:sz w:val="24"/>
          <w:szCs w:val="24"/>
          <w:lang w:val="en-US"/>
        </w:rPr>
        <w:t>data</w:t>
      </w:r>
      <w:r w:rsidR="000A22DD" w:rsidRPr="00D30730">
        <w:rPr>
          <w:sz w:val="24"/>
          <w:szCs w:val="24"/>
          <w:lang w:val="en-US"/>
        </w:rPr>
        <w:t xml:space="preserve"> from the previous three years</w:t>
      </w:r>
      <w:r w:rsidR="0055321C" w:rsidRPr="00D30730">
        <w:rPr>
          <w:sz w:val="24"/>
          <w:szCs w:val="24"/>
          <w:lang w:val="en-US"/>
        </w:rPr>
        <w:t xml:space="preserve"> shows that </w:t>
      </w:r>
      <w:r w:rsidR="00737D38" w:rsidRPr="00D30730">
        <w:rPr>
          <w:sz w:val="24"/>
          <w:szCs w:val="24"/>
          <w:lang w:val="en-US"/>
        </w:rPr>
        <w:t>m</w:t>
      </w:r>
      <w:r w:rsidR="0055321C" w:rsidRPr="00D30730">
        <w:rPr>
          <w:sz w:val="24"/>
          <w:szCs w:val="24"/>
          <w:lang w:val="en-US"/>
        </w:rPr>
        <w:t xml:space="preserve">obile </w:t>
      </w:r>
      <w:r w:rsidR="00737D38" w:rsidRPr="00D30730">
        <w:rPr>
          <w:sz w:val="24"/>
          <w:szCs w:val="24"/>
          <w:lang w:val="en-US"/>
        </w:rPr>
        <w:t>p</w:t>
      </w:r>
      <w:r w:rsidR="0055321C" w:rsidRPr="00D30730">
        <w:rPr>
          <w:sz w:val="24"/>
          <w:szCs w:val="24"/>
          <w:lang w:val="en-US"/>
        </w:rPr>
        <w:t xml:space="preserve">lant and </w:t>
      </w:r>
      <w:r w:rsidR="00737D38" w:rsidRPr="00D30730">
        <w:rPr>
          <w:sz w:val="24"/>
          <w:szCs w:val="24"/>
          <w:lang w:val="en-US"/>
        </w:rPr>
        <w:t>s</w:t>
      </w:r>
      <w:r w:rsidR="0055321C" w:rsidRPr="00D30730">
        <w:rPr>
          <w:sz w:val="24"/>
          <w:szCs w:val="24"/>
          <w:lang w:val="en-US"/>
        </w:rPr>
        <w:t xml:space="preserve">caffolding are the </w:t>
      </w:r>
      <w:r w:rsidR="008223EF">
        <w:rPr>
          <w:sz w:val="24"/>
          <w:szCs w:val="24"/>
          <w:lang w:val="en-US"/>
        </w:rPr>
        <w:t xml:space="preserve">most common incident types </w:t>
      </w:r>
      <w:r w:rsidR="0055321C" w:rsidRPr="00D30730">
        <w:rPr>
          <w:sz w:val="24"/>
          <w:szCs w:val="24"/>
          <w:lang w:val="en-US"/>
        </w:rPr>
        <w:t xml:space="preserve">reported to the </w:t>
      </w:r>
      <w:r w:rsidR="00D62FF6">
        <w:rPr>
          <w:sz w:val="24"/>
          <w:szCs w:val="24"/>
          <w:lang w:val="en-US"/>
        </w:rPr>
        <w:t>Office of the Federal Safety Commissioner (</w:t>
      </w:r>
      <w:r w:rsidR="0055321C" w:rsidRPr="00D30730">
        <w:rPr>
          <w:sz w:val="24"/>
          <w:szCs w:val="24"/>
          <w:lang w:val="en-US"/>
        </w:rPr>
        <w:t>OFSC</w:t>
      </w:r>
      <w:r w:rsidR="00D62FF6">
        <w:rPr>
          <w:sz w:val="24"/>
          <w:szCs w:val="24"/>
          <w:lang w:val="en-US"/>
        </w:rPr>
        <w:t>)</w:t>
      </w:r>
      <w:r w:rsidR="0055321C" w:rsidRPr="00D30730">
        <w:rPr>
          <w:sz w:val="24"/>
          <w:szCs w:val="24"/>
          <w:lang w:val="en-US"/>
        </w:rPr>
        <w:t xml:space="preserve"> and are the most frequently issued hazard related Corrective Action Reports (CARs) </w:t>
      </w:r>
      <w:r w:rsidR="009F44AE" w:rsidRPr="00D30730">
        <w:rPr>
          <w:sz w:val="24"/>
          <w:szCs w:val="24"/>
          <w:lang w:val="en-US"/>
        </w:rPr>
        <w:t>on Scheme</w:t>
      </w:r>
      <w:r w:rsidR="0055321C" w:rsidRPr="00D30730">
        <w:rPr>
          <w:sz w:val="24"/>
          <w:szCs w:val="24"/>
          <w:lang w:val="en-US"/>
        </w:rPr>
        <w:t xml:space="preserve"> audits.</w:t>
      </w:r>
      <w:r w:rsidR="00D62FF6">
        <w:rPr>
          <w:sz w:val="24"/>
          <w:szCs w:val="24"/>
          <w:lang w:val="en-US"/>
        </w:rPr>
        <w:t xml:space="preserve"> </w:t>
      </w:r>
    </w:p>
    <w:p w14:paraId="32157CA7" w14:textId="77777777" w:rsidR="0055321C" w:rsidRPr="00D30730" w:rsidRDefault="00D62FF6" w:rsidP="000B61C5">
      <w:pPr>
        <w:spacing w:before="120" w:after="120"/>
        <w:rPr>
          <w:sz w:val="24"/>
          <w:szCs w:val="24"/>
          <w:lang w:val="en-US"/>
        </w:rPr>
      </w:pPr>
      <w:r>
        <w:rPr>
          <w:sz w:val="24"/>
          <w:szCs w:val="24"/>
          <w:lang w:val="en-US"/>
        </w:rPr>
        <w:t>Key observations include:</w:t>
      </w:r>
    </w:p>
    <w:p w14:paraId="7D5BDF2B" w14:textId="77777777" w:rsidR="0055321C" w:rsidRPr="00D30730" w:rsidRDefault="00D62FF6" w:rsidP="000B61C5">
      <w:pPr>
        <w:pStyle w:val="ListParagraph"/>
        <w:numPr>
          <w:ilvl w:val="0"/>
          <w:numId w:val="3"/>
        </w:numPr>
        <w:spacing w:before="120" w:after="120"/>
        <w:rPr>
          <w:sz w:val="24"/>
          <w:szCs w:val="24"/>
          <w:lang w:val="en-US"/>
        </w:rPr>
      </w:pPr>
      <w:r>
        <w:rPr>
          <w:sz w:val="24"/>
          <w:szCs w:val="24"/>
          <w:lang w:val="en-US"/>
        </w:rPr>
        <w:t>o</w:t>
      </w:r>
      <w:r w:rsidR="0055321C" w:rsidRPr="00D30730">
        <w:rPr>
          <w:sz w:val="24"/>
          <w:szCs w:val="24"/>
          <w:lang w:val="en-US"/>
        </w:rPr>
        <w:t>ver 50</w:t>
      </w:r>
      <w:r w:rsidR="00AF69D4">
        <w:rPr>
          <w:sz w:val="24"/>
          <w:szCs w:val="24"/>
          <w:lang w:val="en-US"/>
        </w:rPr>
        <w:t xml:space="preserve"> per cent</w:t>
      </w:r>
      <w:r w:rsidR="0055321C" w:rsidRPr="00D30730">
        <w:rPr>
          <w:sz w:val="24"/>
          <w:szCs w:val="24"/>
          <w:lang w:val="en-US"/>
        </w:rPr>
        <w:t xml:space="preserve"> of reported incidents associated with a high-risk hazard are either </w:t>
      </w:r>
      <w:r w:rsidR="00737D38" w:rsidRPr="00D30730">
        <w:rPr>
          <w:sz w:val="24"/>
          <w:szCs w:val="24"/>
          <w:lang w:val="en-US"/>
        </w:rPr>
        <w:t>m</w:t>
      </w:r>
      <w:r w:rsidR="0055321C" w:rsidRPr="00D30730">
        <w:rPr>
          <w:sz w:val="24"/>
          <w:szCs w:val="24"/>
          <w:lang w:val="en-US"/>
        </w:rPr>
        <w:t xml:space="preserve">obile </w:t>
      </w:r>
      <w:r w:rsidR="00737D38" w:rsidRPr="00D30730">
        <w:rPr>
          <w:sz w:val="24"/>
          <w:szCs w:val="24"/>
          <w:lang w:val="en-US"/>
        </w:rPr>
        <w:t>p</w:t>
      </w:r>
      <w:r w:rsidR="0055321C" w:rsidRPr="00D30730">
        <w:rPr>
          <w:sz w:val="24"/>
          <w:szCs w:val="24"/>
          <w:lang w:val="en-US"/>
        </w:rPr>
        <w:t xml:space="preserve">lant or </w:t>
      </w:r>
      <w:r w:rsidR="00737D38" w:rsidRPr="00D30730">
        <w:rPr>
          <w:sz w:val="24"/>
          <w:szCs w:val="24"/>
          <w:lang w:val="en-US"/>
        </w:rPr>
        <w:t>f</w:t>
      </w:r>
      <w:r w:rsidR="0055321C" w:rsidRPr="00D30730">
        <w:rPr>
          <w:sz w:val="24"/>
          <w:szCs w:val="24"/>
          <w:lang w:val="en-US"/>
        </w:rPr>
        <w:t xml:space="preserve">alls from </w:t>
      </w:r>
      <w:r w:rsidR="00737D38" w:rsidRPr="00D30730">
        <w:rPr>
          <w:sz w:val="24"/>
          <w:szCs w:val="24"/>
          <w:lang w:val="en-US"/>
        </w:rPr>
        <w:t>h</w:t>
      </w:r>
      <w:r w:rsidR="0055321C" w:rsidRPr="00D30730">
        <w:rPr>
          <w:sz w:val="24"/>
          <w:szCs w:val="24"/>
          <w:lang w:val="en-US"/>
        </w:rPr>
        <w:t>eight related;</w:t>
      </w:r>
      <w:r>
        <w:rPr>
          <w:sz w:val="24"/>
          <w:szCs w:val="24"/>
          <w:lang w:val="en-US"/>
        </w:rPr>
        <w:t xml:space="preserve"> and</w:t>
      </w:r>
    </w:p>
    <w:p w14:paraId="488D5FEB" w14:textId="77777777" w:rsidR="00021DDE" w:rsidRPr="00D510E3" w:rsidRDefault="00D62FF6" w:rsidP="00021DDE">
      <w:pPr>
        <w:pStyle w:val="ListParagraph"/>
        <w:numPr>
          <w:ilvl w:val="0"/>
          <w:numId w:val="3"/>
        </w:numPr>
        <w:spacing w:before="120" w:after="120"/>
        <w:rPr>
          <w:sz w:val="24"/>
          <w:szCs w:val="24"/>
          <w:lang w:val="en-US"/>
        </w:rPr>
      </w:pPr>
      <w:r>
        <w:rPr>
          <w:sz w:val="24"/>
          <w:szCs w:val="24"/>
          <w:lang w:val="en-US"/>
        </w:rPr>
        <w:t>a</w:t>
      </w:r>
      <w:r w:rsidR="0055321C" w:rsidRPr="00D30730">
        <w:rPr>
          <w:sz w:val="24"/>
          <w:szCs w:val="24"/>
          <w:lang w:val="en-US"/>
        </w:rPr>
        <w:t>lmost 60</w:t>
      </w:r>
      <w:r w:rsidR="00AF69D4">
        <w:rPr>
          <w:sz w:val="24"/>
          <w:szCs w:val="24"/>
          <w:lang w:val="en-US"/>
        </w:rPr>
        <w:t xml:space="preserve"> per cent</w:t>
      </w:r>
      <w:r w:rsidR="0055321C" w:rsidRPr="00D30730">
        <w:rPr>
          <w:sz w:val="24"/>
          <w:szCs w:val="24"/>
          <w:lang w:val="en-US"/>
        </w:rPr>
        <w:t xml:space="preserve"> of CARs issued </w:t>
      </w:r>
      <w:r>
        <w:rPr>
          <w:sz w:val="24"/>
          <w:szCs w:val="24"/>
          <w:lang w:val="en-US"/>
        </w:rPr>
        <w:t>for on-site</w:t>
      </w:r>
      <w:r w:rsidR="0055321C" w:rsidRPr="00D30730">
        <w:rPr>
          <w:sz w:val="24"/>
          <w:szCs w:val="24"/>
          <w:lang w:val="en-US"/>
        </w:rPr>
        <w:t xml:space="preserve"> hazards </w:t>
      </w:r>
      <w:r>
        <w:rPr>
          <w:sz w:val="24"/>
          <w:szCs w:val="24"/>
          <w:lang w:val="en-US"/>
        </w:rPr>
        <w:t>relate to</w:t>
      </w:r>
      <w:r w:rsidR="0055321C" w:rsidRPr="00D30730">
        <w:rPr>
          <w:sz w:val="24"/>
          <w:szCs w:val="24"/>
          <w:lang w:val="en-US"/>
        </w:rPr>
        <w:t xml:space="preserve"> </w:t>
      </w:r>
      <w:r>
        <w:rPr>
          <w:sz w:val="24"/>
          <w:szCs w:val="24"/>
          <w:lang w:val="en-US"/>
        </w:rPr>
        <w:t>m</w:t>
      </w:r>
      <w:r w:rsidR="0055321C" w:rsidRPr="00D30730">
        <w:rPr>
          <w:sz w:val="24"/>
          <w:szCs w:val="24"/>
          <w:lang w:val="en-US"/>
        </w:rPr>
        <w:t xml:space="preserve">obile </w:t>
      </w:r>
      <w:r>
        <w:rPr>
          <w:sz w:val="24"/>
          <w:szCs w:val="24"/>
          <w:lang w:val="en-US"/>
        </w:rPr>
        <w:t>p</w:t>
      </w:r>
      <w:r w:rsidR="0055321C" w:rsidRPr="00D30730">
        <w:rPr>
          <w:sz w:val="24"/>
          <w:szCs w:val="24"/>
          <w:lang w:val="en-US"/>
        </w:rPr>
        <w:t xml:space="preserve">lant or </w:t>
      </w:r>
      <w:r>
        <w:rPr>
          <w:sz w:val="24"/>
          <w:szCs w:val="24"/>
          <w:lang w:val="en-US"/>
        </w:rPr>
        <w:t>s</w:t>
      </w:r>
      <w:r w:rsidR="0055321C" w:rsidRPr="00D30730">
        <w:rPr>
          <w:sz w:val="24"/>
          <w:szCs w:val="24"/>
          <w:lang w:val="en-US"/>
        </w:rPr>
        <w:t>caffolding</w:t>
      </w:r>
      <w:r w:rsidR="00737D38" w:rsidRPr="00D30730">
        <w:rPr>
          <w:sz w:val="24"/>
          <w:szCs w:val="24"/>
          <w:lang w:val="en-US"/>
        </w:rPr>
        <w:t>.</w:t>
      </w:r>
    </w:p>
    <w:p w14:paraId="72A59867" w14:textId="77777777" w:rsidR="00021DDE" w:rsidRPr="00021DDE" w:rsidRDefault="00021DDE" w:rsidP="00021DDE">
      <w:pPr>
        <w:spacing w:before="120" w:after="120"/>
        <w:rPr>
          <w:sz w:val="24"/>
          <w:szCs w:val="24"/>
          <w:lang w:val="en-US"/>
        </w:rPr>
      </w:pPr>
      <w:r>
        <w:rPr>
          <w:sz w:val="24"/>
          <w:szCs w:val="24"/>
          <w:lang w:val="en-US"/>
        </w:rPr>
        <w:t xml:space="preserve">The Hazard 2020 campaign aims to reduce mobile plant and scaffolding risks through targeted audits, the publication of informative fact sheets and </w:t>
      </w:r>
      <w:r w:rsidR="00D510E3">
        <w:rPr>
          <w:sz w:val="24"/>
          <w:szCs w:val="24"/>
          <w:lang w:val="en-US"/>
        </w:rPr>
        <w:t>industry case studies</w:t>
      </w:r>
      <w:r w:rsidR="005B5A23">
        <w:rPr>
          <w:sz w:val="24"/>
          <w:szCs w:val="24"/>
          <w:lang w:val="en-US"/>
        </w:rPr>
        <w:t>,</w:t>
      </w:r>
      <w:r w:rsidR="00D510E3">
        <w:rPr>
          <w:sz w:val="24"/>
          <w:szCs w:val="24"/>
          <w:lang w:val="en-US"/>
        </w:rPr>
        <w:t xml:space="preserve"> and ongoing data reporting. This document provides an update of the Hazard 2020 campaign and the key data insights collected </w:t>
      </w:r>
      <w:r w:rsidR="009660A2">
        <w:rPr>
          <w:sz w:val="24"/>
          <w:szCs w:val="24"/>
          <w:lang w:val="en-US"/>
        </w:rPr>
        <w:t>to the mid-point of the campaign (</w:t>
      </w:r>
      <w:r w:rsidR="009660A2" w:rsidRPr="00D30730">
        <w:rPr>
          <w:sz w:val="24"/>
          <w:szCs w:val="24"/>
          <w:lang w:val="en-US"/>
        </w:rPr>
        <w:t>16 October 2020 to 31 May 2021</w:t>
      </w:r>
      <w:r w:rsidR="009660A2">
        <w:rPr>
          <w:sz w:val="24"/>
          <w:szCs w:val="24"/>
          <w:lang w:val="en-US"/>
        </w:rPr>
        <w:t>)</w:t>
      </w:r>
      <w:r w:rsidR="00D510E3">
        <w:rPr>
          <w:sz w:val="24"/>
          <w:szCs w:val="24"/>
          <w:lang w:val="en-US"/>
        </w:rPr>
        <w:t>.</w:t>
      </w:r>
    </w:p>
    <w:p w14:paraId="55D4A60C" w14:textId="77777777" w:rsidR="00021DDE" w:rsidRDefault="00021DDE" w:rsidP="00021DDE">
      <w:pPr>
        <w:spacing w:before="120" w:after="120"/>
        <w:rPr>
          <w:sz w:val="24"/>
          <w:szCs w:val="24"/>
          <w:lang w:val="en-US"/>
        </w:rPr>
      </w:pPr>
    </w:p>
    <w:p w14:paraId="59F2F34C" w14:textId="77777777" w:rsidR="00021DDE" w:rsidRDefault="00365124" w:rsidP="007F6F34">
      <w:pPr>
        <w:pStyle w:val="Heading1"/>
        <w:spacing w:after="0"/>
      </w:pPr>
      <w:bookmarkStart w:id="6" w:name="_Toc81917099"/>
      <w:bookmarkStart w:id="7" w:name="_Toc81917916"/>
      <w:r>
        <w:t xml:space="preserve">Interpreting </w:t>
      </w:r>
      <w:r w:rsidR="00021DDE">
        <w:t>this Report</w:t>
      </w:r>
      <w:bookmarkEnd w:id="6"/>
      <w:bookmarkEnd w:id="7"/>
    </w:p>
    <w:p w14:paraId="586C9BC0" w14:textId="77777777" w:rsidR="007F6F34" w:rsidRPr="007F6F34" w:rsidRDefault="007F6F34" w:rsidP="007F6F34">
      <w:pPr>
        <w:rPr>
          <w:lang w:val="en-US"/>
        </w:rPr>
      </w:pPr>
    </w:p>
    <w:p w14:paraId="599FF93A" w14:textId="1EACCEBD" w:rsidR="008223EF" w:rsidRDefault="008223EF" w:rsidP="007F6F34">
      <w:pPr>
        <w:spacing w:after="120"/>
        <w:rPr>
          <w:sz w:val="24"/>
          <w:szCs w:val="24"/>
          <w:lang w:val="en-US"/>
        </w:rPr>
      </w:pPr>
      <w:r>
        <w:rPr>
          <w:sz w:val="24"/>
          <w:szCs w:val="24"/>
          <w:lang w:val="en-US"/>
        </w:rPr>
        <w:t>This report summaries the hot spots of non-compliance with mobile plant and scaffolding audit criteria identified at audits of companies accredited under the Scheme and seeking Scheme accreditation between</w:t>
      </w:r>
      <w:r w:rsidR="0011207A">
        <w:rPr>
          <w:sz w:val="24"/>
          <w:szCs w:val="24"/>
          <w:lang w:val="en-US"/>
        </w:rPr>
        <w:t xml:space="preserve"> </w:t>
      </w:r>
      <w:r>
        <w:rPr>
          <w:sz w:val="24"/>
          <w:szCs w:val="24"/>
          <w:lang w:val="en-US"/>
        </w:rPr>
        <w:t xml:space="preserve">16 October 2020 and 31 May 2021. The data from </w:t>
      </w:r>
      <w:r w:rsidR="001D4DF1">
        <w:rPr>
          <w:sz w:val="24"/>
          <w:szCs w:val="24"/>
          <w:lang w:val="en-US"/>
        </w:rPr>
        <w:t xml:space="preserve">these </w:t>
      </w:r>
      <w:r>
        <w:rPr>
          <w:sz w:val="24"/>
          <w:szCs w:val="24"/>
          <w:lang w:val="en-US"/>
        </w:rPr>
        <w:t xml:space="preserve">audits does not cover all companies accredited under the Scheme – it is a sample of </w:t>
      </w:r>
      <w:r w:rsidR="00467AD4">
        <w:rPr>
          <w:sz w:val="24"/>
          <w:szCs w:val="24"/>
          <w:lang w:val="en-US"/>
        </w:rPr>
        <w:t xml:space="preserve">those </w:t>
      </w:r>
      <w:r>
        <w:rPr>
          <w:sz w:val="24"/>
          <w:szCs w:val="24"/>
          <w:lang w:val="en-US"/>
        </w:rPr>
        <w:t xml:space="preserve">companies </w:t>
      </w:r>
      <w:r w:rsidR="00467AD4">
        <w:rPr>
          <w:sz w:val="24"/>
          <w:szCs w:val="24"/>
          <w:lang w:val="en-US"/>
        </w:rPr>
        <w:t xml:space="preserve">audited </w:t>
      </w:r>
      <w:r w:rsidR="001D4DF1">
        <w:rPr>
          <w:sz w:val="24"/>
          <w:szCs w:val="24"/>
          <w:lang w:val="en-US"/>
        </w:rPr>
        <w:t>during this period</w:t>
      </w:r>
      <w:r>
        <w:rPr>
          <w:sz w:val="24"/>
          <w:szCs w:val="24"/>
          <w:lang w:val="en-US"/>
        </w:rPr>
        <w:t>.</w:t>
      </w:r>
    </w:p>
    <w:p w14:paraId="69291629" w14:textId="77777777" w:rsidR="00365124" w:rsidRDefault="008223EF" w:rsidP="00021DDE">
      <w:pPr>
        <w:spacing w:before="120" w:after="120"/>
        <w:rPr>
          <w:sz w:val="24"/>
          <w:szCs w:val="24"/>
          <w:lang w:val="en-US"/>
        </w:rPr>
      </w:pPr>
      <w:r>
        <w:rPr>
          <w:sz w:val="24"/>
          <w:szCs w:val="24"/>
          <w:lang w:val="en-US"/>
        </w:rPr>
        <w:t xml:space="preserve">The report also outlines safety incidents associated with mobile plant and scaffolding </w:t>
      </w:r>
      <w:r w:rsidR="0011207A" w:rsidRPr="0011207A">
        <w:rPr>
          <w:sz w:val="24"/>
          <w:szCs w:val="24"/>
          <w:lang w:val="en-US"/>
        </w:rPr>
        <w:t xml:space="preserve">reported by accredited companies </w:t>
      </w:r>
      <w:r w:rsidR="00365124">
        <w:rPr>
          <w:sz w:val="24"/>
          <w:szCs w:val="24"/>
          <w:lang w:val="en-US"/>
        </w:rPr>
        <w:t xml:space="preserve">between 16 October 2020 and 31 May 2021. </w:t>
      </w:r>
      <w:r>
        <w:rPr>
          <w:sz w:val="24"/>
          <w:szCs w:val="24"/>
          <w:lang w:val="en-US"/>
        </w:rPr>
        <w:t>Th</w:t>
      </w:r>
      <w:r w:rsidR="0011207A">
        <w:rPr>
          <w:sz w:val="24"/>
          <w:szCs w:val="24"/>
          <w:lang w:val="en-US"/>
        </w:rPr>
        <w:t>is</w:t>
      </w:r>
      <w:r>
        <w:rPr>
          <w:sz w:val="24"/>
          <w:szCs w:val="24"/>
          <w:lang w:val="en-US"/>
        </w:rPr>
        <w:t xml:space="preserve"> data </w:t>
      </w:r>
      <w:r w:rsidR="00365124">
        <w:rPr>
          <w:sz w:val="24"/>
          <w:szCs w:val="24"/>
          <w:lang w:val="en-US"/>
        </w:rPr>
        <w:t xml:space="preserve">includes all incident reports received by the OFSC as at 1 September 2021 for the October 2020 to May 2021 period. Accredited companies must report the following safety incidents to the OFSC: </w:t>
      </w:r>
    </w:p>
    <w:p w14:paraId="684418E8" w14:textId="77777777" w:rsidR="00365124" w:rsidRDefault="00365124" w:rsidP="00F252E1">
      <w:pPr>
        <w:pStyle w:val="ListParagraph"/>
        <w:numPr>
          <w:ilvl w:val="0"/>
          <w:numId w:val="18"/>
        </w:numPr>
        <w:spacing w:before="120" w:after="120"/>
        <w:rPr>
          <w:sz w:val="24"/>
          <w:szCs w:val="24"/>
          <w:lang w:val="en-US"/>
        </w:rPr>
      </w:pPr>
      <w:r>
        <w:rPr>
          <w:sz w:val="24"/>
          <w:szCs w:val="24"/>
          <w:lang w:val="en-US"/>
        </w:rPr>
        <w:t>any fatality on any project;</w:t>
      </w:r>
    </w:p>
    <w:p w14:paraId="177C5958" w14:textId="77777777" w:rsidR="00365124" w:rsidRDefault="00365124" w:rsidP="00F252E1">
      <w:pPr>
        <w:pStyle w:val="ListParagraph"/>
        <w:numPr>
          <w:ilvl w:val="0"/>
          <w:numId w:val="18"/>
        </w:numPr>
        <w:spacing w:before="120" w:after="120"/>
        <w:rPr>
          <w:sz w:val="24"/>
          <w:szCs w:val="24"/>
          <w:lang w:val="en-US"/>
        </w:rPr>
      </w:pPr>
      <w:r>
        <w:rPr>
          <w:sz w:val="24"/>
          <w:szCs w:val="24"/>
          <w:lang w:val="en-US"/>
        </w:rPr>
        <w:t xml:space="preserve">all </w:t>
      </w:r>
      <w:r w:rsidRPr="00F252E1">
        <w:rPr>
          <w:sz w:val="24"/>
          <w:szCs w:val="24"/>
          <w:lang w:val="en-US"/>
        </w:rPr>
        <w:t xml:space="preserve">work-related </w:t>
      </w:r>
      <w:r>
        <w:rPr>
          <w:sz w:val="24"/>
          <w:szCs w:val="24"/>
          <w:lang w:val="en-US"/>
        </w:rPr>
        <w:t>Lost Time Injuries (</w:t>
      </w:r>
      <w:r w:rsidRPr="00F252E1">
        <w:rPr>
          <w:sz w:val="24"/>
          <w:szCs w:val="24"/>
          <w:lang w:val="en-US"/>
        </w:rPr>
        <w:t>LTIs</w:t>
      </w:r>
      <w:r>
        <w:rPr>
          <w:sz w:val="24"/>
          <w:szCs w:val="24"/>
          <w:lang w:val="en-US"/>
        </w:rPr>
        <w:t>)</w:t>
      </w:r>
      <w:r w:rsidRPr="00F252E1">
        <w:rPr>
          <w:sz w:val="24"/>
          <w:szCs w:val="24"/>
          <w:lang w:val="en-US"/>
        </w:rPr>
        <w:t xml:space="preserve"> occurring on projects </w:t>
      </w:r>
      <w:r>
        <w:rPr>
          <w:sz w:val="24"/>
          <w:szCs w:val="24"/>
          <w:lang w:val="en-US"/>
        </w:rPr>
        <w:t>where the company is the head contractor and the value of the project is at least $4 million;</w:t>
      </w:r>
    </w:p>
    <w:p w14:paraId="187C4F60" w14:textId="77777777" w:rsidR="00365124" w:rsidRDefault="00365124" w:rsidP="00F252E1">
      <w:pPr>
        <w:pStyle w:val="ListParagraph"/>
        <w:numPr>
          <w:ilvl w:val="0"/>
          <w:numId w:val="18"/>
        </w:numPr>
        <w:spacing w:before="120" w:after="120"/>
        <w:rPr>
          <w:sz w:val="24"/>
          <w:szCs w:val="24"/>
          <w:lang w:val="en-US"/>
        </w:rPr>
      </w:pPr>
      <w:r>
        <w:rPr>
          <w:sz w:val="24"/>
          <w:szCs w:val="24"/>
          <w:lang w:val="en-US"/>
        </w:rPr>
        <w:t>all work-related Medically Treated Injuries (MTIs) occurring on Scheme-covered projects where the company is the head contractor</w:t>
      </w:r>
      <w:r w:rsidR="00D051BF">
        <w:rPr>
          <w:sz w:val="24"/>
          <w:szCs w:val="24"/>
          <w:lang w:val="en-US"/>
        </w:rPr>
        <w:t>; and</w:t>
      </w:r>
    </w:p>
    <w:p w14:paraId="73FDD782" w14:textId="77777777" w:rsidR="00D051BF" w:rsidRPr="00F252E1" w:rsidRDefault="00D051BF" w:rsidP="00F252E1">
      <w:pPr>
        <w:pStyle w:val="ListParagraph"/>
        <w:numPr>
          <w:ilvl w:val="0"/>
          <w:numId w:val="18"/>
        </w:numPr>
        <w:spacing w:before="120" w:after="120"/>
        <w:rPr>
          <w:sz w:val="24"/>
          <w:szCs w:val="24"/>
          <w:lang w:val="en-US"/>
        </w:rPr>
      </w:pPr>
      <w:r>
        <w:rPr>
          <w:sz w:val="24"/>
          <w:szCs w:val="24"/>
          <w:lang w:val="en-US"/>
        </w:rPr>
        <w:t>all dangerous occurrences on Scheme-</w:t>
      </w:r>
      <w:r w:rsidR="009C0D71">
        <w:rPr>
          <w:sz w:val="24"/>
          <w:szCs w:val="24"/>
          <w:lang w:val="en-US"/>
        </w:rPr>
        <w:t>covered</w:t>
      </w:r>
      <w:r>
        <w:rPr>
          <w:sz w:val="24"/>
          <w:szCs w:val="24"/>
          <w:lang w:val="en-US"/>
        </w:rPr>
        <w:t xml:space="preserve"> projects where the company is the head contractor. </w:t>
      </w:r>
    </w:p>
    <w:p w14:paraId="6C419AEC" w14:textId="77777777" w:rsidR="009A700A" w:rsidRPr="00D510E3" w:rsidRDefault="00021DDE" w:rsidP="00D510E3">
      <w:pPr>
        <w:rPr>
          <w:sz w:val="24"/>
          <w:szCs w:val="24"/>
          <w:lang w:val="en-US"/>
        </w:rPr>
      </w:pPr>
      <w:r w:rsidRPr="00021DDE">
        <w:rPr>
          <w:noProof/>
          <w:color w:val="C00000"/>
          <w:sz w:val="24"/>
          <w:szCs w:val="24"/>
          <w:lang w:eastAsia="en-AU"/>
        </w:rPr>
        <w:lastRenderedPageBreak/>
        <mc:AlternateContent>
          <mc:Choice Requires="wps">
            <w:drawing>
              <wp:anchor distT="45720" distB="45720" distL="114300" distR="114300" simplePos="0" relativeHeight="251750912" behindDoc="0" locked="0" layoutInCell="1" allowOverlap="1" wp14:anchorId="26089462" wp14:editId="4B255649">
                <wp:simplePos x="0" y="0"/>
                <wp:positionH relativeFrom="margin">
                  <wp:posOffset>28575</wp:posOffset>
                </wp:positionH>
                <wp:positionV relativeFrom="paragraph">
                  <wp:posOffset>0</wp:posOffset>
                </wp:positionV>
                <wp:extent cx="9745345" cy="6334125"/>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5345" cy="6334125"/>
                        </a:xfrm>
                        <a:prstGeom prst="rect">
                          <a:avLst/>
                        </a:prstGeom>
                        <a:noFill/>
                        <a:ln w="9525">
                          <a:noFill/>
                          <a:miter lim="800000"/>
                          <a:headEnd/>
                          <a:tailEnd/>
                        </a:ln>
                      </wps:spPr>
                      <wps:txbx>
                        <w:txbxContent>
                          <w:p w14:paraId="46E70B94" w14:textId="77777777" w:rsidR="00762C79" w:rsidRPr="005F406E" w:rsidRDefault="00762C79" w:rsidP="00F252E1">
                            <w:pPr>
                              <w:pStyle w:val="Heading1"/>
                              <w:spacing w:before="120" w:after="0"/>
                            </w:pPr>
                            <w:bookmarkStart w:id="8" w:name="_Toc81917917"/>
                            <w:r w:rsidRPr="005F406E">
                              <w:t>Statement from the Federal Safety Commissioner</w:t>
                            </w:r>
                            <w:bookmarkEnd w:id="8"/>
                          </w:p>
                          <w:p w14:paraId="28B41A03" w14:textId="77777777" w:rsidR="00762C79" w:rsidRDefault="00762C79" w:rsidP="00F252E1">
                            <w:pPr>
                              <w:jc w:val="both"/>
                              <w:rPr>
                                <w:color w:val="C00000"/>
                                <w:sz w:val="24"/>
                                <w:szCs w:val="24"/>
                                <w:lang w:val="en-US"/>
                              </w:rPr>
                            </w:pPr>
                          </w:p>
                          <w:p w14:paraId="2056B87D" w14:textId="6171171A" w:rsidR="00762C79" w:rsidRDefault="00762C79" w:rsidP="00DE0FA0">
                            <w:pPr>
                              <w:spacing w:after="120"/>
                              <w:ind w:right="-164"/>
                              <w:rPr>
                                <w:rFonts w:ascii="Calibri" w:hAnsi="Calibri" w:cs="Calibri"/>
                                <w:sz w:val="24"/>
                              </w:rPr>
                            </w:pPr>
                            <w:r>
                              <w:rPr>
                                <w:rFonts w:ascii="Calibri" w:hAnsi="Calibri" w:cs="Calibri"/>
                                <w:sz w:val="24"/>
                              </w:rPr>
                              <w:t xml:space="preserve">I launched the 12-month Hazard 2020 Safety Campaign in October 2020 to look more closely at the two most frequent areas of non-compliance with Work Health and Safety Accreditation Scheme (the Scheme) requirements over the last three years – mobile plant and scaffolding. These hazards were also the most frequently associated with safety incidents reported to my Office during that period. </w:t>
                            </w:r>
                          </w:p>
                          <w:p w14:paraId="39F04D41" w14:textId="4A90248D" w:rsidR="00762C79" w:rsidRDefault="00762C79" w:rsidP="00DE0FA0">
                            <w:pPr>
                              <w:spacing w:after="120"/>
                              <w:jc w:val="both"/>
                              <w:rPr>
                                <w:sz w:val="24"/>
                                <w:szCs w:val="24"/>
                                <w:lang w:val="en-US"/>
                              </w:rPr>
                            </w:pPr>
                            <w:r>
                              <w:rPr>
                                <w:sz w:val="24"/>
                                <w:szCs w:val="24"/>
                                <w:lang w:val="en-US"/>
                              </w:rPr>
                              <w:t>The interim results outlined in this report show good safety improvements in some areas, but also raise some significant concerns.</w:t>
                            </w:r>
                          </w:p>
                          <w:p w14:paraId="52D09925" w14:textId="16D7027A" w:rsidR="00762C79" w:rsidRDefault="00762C79" w:rsidP="00DE0FA0">
                            <w:pPr>
                              <w:spacing w:after="120"/>
                              <w:jc w:val="both"/>
                              <w:rPr>
                                <w:sz w:val="24"/>
                                <w:szCs w:val="24"/>
                                <w:lang w:val="en-US"/>
                              </w:rPr>
                            </w:pPr>
                            <w:r>
                              <w:rPr>
                                <w:sz w:val="24"/>
                                <w:szCs w:val="24"/>
                                <w:lang w:val="en-US"/>
                              </w:rPr>
                              <w:t>In general, leading indicators of safety concerns (i.e. audit results) show improved compliance with Scheme requirements in relation to mobile plant. In some areas, improvements are greater than five percentage points on the 2017-2019 trend. This is a pleasing result, although there remains room for improvement in a number of areas, particularly ensuring mobile plant operations take account of site-specific hazards (despite improvements, this sub-criteria is still failed by more than one in three companies).</w:t>
                            </w:r>
                          </w:p>
                          <w:p w14:paraId="278FF4D0" w14:textId="77777777" w:rsidR="00762C79" w:rsidRDefault="00762C79" w:rsidP="00DE0FA0">
                            <w:pPr>
                              <w:spacing w:after="120"/>
                              <w:jc w:val="both"/>
                              <w:rPr>
                                <w:sz w:val="24"/>
                                <w:szCs w:val="24"/>
                                <w:lang w:val="en-US"/>
                              </w:rPr>
                            </w:pPr>
                            <w:r>
                              <w:rPr>
                                <w:sz w:val="24"/>
                                <w:szCs w:val="24"/>
                                <w:lang w:val="en-US"/>
                              </w:rPr>
                              <w:t>More concerning is the lack of improvement or declining compliance in relation to Scheme requirements with aspects of scaffolding and mobile cranes. Of biggest concern are:</w:t>
                            </w:r>
                          </w:p>
                          <w:p w14:paraId="58AF9745" w14:textId="77777777" w:rsidR="00762C79" w:rsidRPr="00DE0FA0" w:rsidRDefault="00762C79" w:rsidP="00DE0FA0">
                            <w:pPr>
                              <w:pStyle w:val="ListParagraph"/>
                              <w:numPr>
                                <w:ilvl w:val="0"/>
                                <w:numId w:val="19"/>
                              </w:numPr>
                              <w:spacing w:after="120"/>
                              <w:ind w:right="-164"/>
                              <w:contextualSpacing w:val="0"/>
                              <w:rPr>
                                <w:sz w:val="28"/>
                                <w:szCs w:val="24"/>
                                <w:lang w:val="en-US"/>
                              </w:rPr>
                            </w:pPr>
                            <w:r w:rsidRPr="00DE0FA0">
                              <w:rPr>
                                <w:sz w:val="24"/>
                                <w:lang w:val="en-US"/>
                              </w:rPr>
                              <w:t xml:space="preserve">52 per cent of companies audited failed to ensure temporary structures (the overwhelming majority of which was scaffolding) were installed by a competent person and were verified as correctly installed prior to use. </w:t>
                            </w:r>
                          </w:p>
                          <w:p w14:paraId="634B0563" w14:textId="77777777" w:rsidR="00762C79" w:rsidRPr="00DE0FA0" w:rsidRDefault="00762C79" w:rsidP="00DE0FA0">
                            <w:pPr>
                              <w:pStyle w:val="ListParagraph"/>
                              <w:numPr>
                                <w:ilvl w:val="0"/>
                                <w:numId w:val="19"/>
                              </w:numPr>
                              <w:spacing w:after="120"/>
                              <w:ind w:right="-164"/>
                              <w:contextualSpacing w:val="0"/>
                              <w:rPr>
                                <w:sz w:val="24"/>
                                <w:lang w:val="en-US"/>
                              </w:rPr>
                            </w:pPr>
                            <w:r w:rsidRPr="00DE0FA0">
                              <w:rPr>
                                <w:sz w:val="24"/>
                                <w:lang w:val="en-US"/>
                              </w:rPr>
                              <w:t xml:space="preserve">42 per cent of companies audited failed to ensure scaffold plans were developed when required and changes to the plan were signed off by a qualified person. </w:t>
                            </w:r>
                          </w:p>
                          <w:p w14:paraId="501A8034" w14:textId="77777777" w:rsidR="00762C79" w:rsidRPr="00DE0FA0" w:rsidRDefault="00762C79" w:rsidP="00D95F85">
                            <w:pPr>
                              <w:pStyle w:val="ListParagraph"/>
                              <w:numPr>
                                <w:ilvl w:val="0"/>
                                <w:numId w:val="19"/>
                              </w:numPr>
                              <w:spacing w:after="120"/>
                              <w:ind w:right="-164"/>
                              <w:contextualSpacing w:val="0"/>
                              <w:rPr>
                                <w:sz w:val="24"/>
                                <w:lang w:val="en-US"/>
                              </w:rPr>
                            </w:pPr>
                            <w:r w:rsidRPr="00DE0FA0">
                              <w:rPr>
                                <w:sz w:val="24"/>
                                <w:lang w:val="en-US"/>
                              </w:rPr>
                              <w:t xml:space="preserve">36 per cent of companies failed to have or implement safe systems of work for the use of mobile cranes taking into account ground conditions, the development of lift plans where required and the lifting of materials and workers. </w:t>
                            </w:r>
                          </w:p>
                          <w:p w14:paraId="23B5318B" w14:textId="77777777" w:rsidR="00762C79" w:rsidRDefault="00762C79" w:rsidP="00DE0FA0">
                            <w:pPr>
                              <w:spacing w:after="120"/>
                              <w:ind w:right="-164"/>
                              <w:rPr>
                                <w:sz w:val="24"/>
                                <w:szCs w:val="24"/>
                                <w:lang w:val="en-US"/>
                              </w:rPr>
                            </w:pPr>
                            <w:r>
                              <w:rPr>
                                <w:sz w:val="24"/>
                                <w:szCs w:val="24"/>
                                <w:lang w:val="en-US"/>
                              </w:rPr>
                              <w:t xml:space="preserve">Lag indicators of safety concerns (i.e. safety incident reports) confirm the need for ongoing improvement in relation to mobile plant and scaffolding. The proportion of incidents reported that resulted in, or had the potential to result in, serious or life-threatening injuries was too high (33 per cent for mobile plant and 26 per cent for scaffolding). </w:t>
                            </w:r>
                          </w:p>
                          <w:p w14:paraId="793A757D" w14:textId="77777777" w:rsidR="00762C79" w:rsidRDefault="00762C79" w:rsidP="00DE0FA0">
                            <w:pPr>
                              <w:spacing w:after="120"/>
                              <w:ind w:right="-164"/>
                              <w:rPr>
                                <w:sz w:val="24"/>
                                <w:szCs w:val="24"/>
                                <w:lang w:val="en-US"/>
                              </w:rPr>
                            </w:pPr>
                            <w:r>
                              <w:rPr>
                                <w:sz w:val="24"/>
                                <w:szCs w:val="24"/>
                                <w:lang w:val="en-US"/>
                              </w:rPr>
                              <w:t xml:space="preserve">The building and construction industry has shown enormous determination in rising to the challenge of COVID-19. Through raising awareness of the areas of concern identified so far in the Hazard 2020 campaign, I am hopeful the industry will similarly rise to the challenge of ensuring every worker goes home safely every day. </w:t>
                            </w:r>
                          </w:p>
                          <w:p w14:paraId="52BA2E00" w14:textId="77777777" w:rsidR="00762C79" w:rsidRDefault="00762C79" w:rsidP="00DE0FA0">
                            <w:pPr>
                              <w:spacing w:after="120"/>
                              <w:jc w:val="both"/>
                              <w:rPr>
                                <w:color w:val="C00000"/>
                                <w:sz w:val="24"/>
                                <w:szCs w:val="24"/>
                                <w:lang w:val="en-US"/>
                              </w:rPr>
                            </w:pPr>
                            <w:r>
                              <w:rPr>
                                <w:sz w:val="24"/>
                                <w:szCs w:val="24"/>
                                <w:lang w:val="en-US"/>
                              </w:rPr>
                              <w:t>The OFSC will continue to support companies to achieve better mobile plant and scaffolding safety outcomes by providing guidance and education materials, highlighting examples of good or innovative practice that work, and facilitating links to other resources and materials. Should your company require assistance, I would encourage you to make use of the materials available at</w:t>
                            </w:r>
                            <w:r>
                              <w:rPr>
                                <w:rFonts w:ascii="Calibri" w:hAnsi="Calibri" w:cs="Calibri"/>
                              </w:rPr>
                              <w:t xml:space="preserve"> </w:t>
                            </w:r>
                            <w:hyperlink r:id="rId21" w:history="1">
                              <w:r>
                                <w:rPr>
                                  <w:rStyle w:val="Hyperlink"/>
                                  <w:rFonts w:ascii="Calibri" w:hAnsi="Calibri" w:cs="Calibri"/>
                                </w:rPr>
                                <w:t>www.fsc.gov.au</w:t>
                              </w:r>
                            </w:hyperlink>
                            <w:r>
                              <w:rPr>
                                <w:rFonts w:ascii="Calibri" w:hAnsi="Calibri" w:cs="Calibri"/>
                              </w:rPr>
                              <w:t xml:space="preserve"> </w:t>
                            </w:r>
                            <w:r>
                              <w:rPr>
                                <w:sz w:val="24"/>
                                <w:szCs w:val="24"/>
                                <w:lang w:val="en-US"/>
                              </w:rPr>
                              <w:t>or to contact us on 1800 652 500.</w:t>
                            </w:r>
                          </w:p>
                          <w:p w14:paraId="4B839DED" w14:textId="77777777" w:rsidR="00762C79" w:rsidRPr="00F252E1" w:rsidRDefault="00762C79" w:rsidP="00F252E1">
                            <w:pPr>
                              <w:spacing w:before="120" w:after="120"/>
                              <w:ind w:firstLine="720"/>
                              <w:jc w:val="both"/>
                              <w:rPr>
                                <w:sz w:val="24"/>
                                <w:szCs w:val="24"/>
                                <w:lang w:val="en-US"/>
                              </w:rPr>
                            </w:pPr>
                            <w:r w:rsidRPr="00F252E1">
                              <w:rPr>
                                <w:sz w:val="24"/>
                                <w:szCs w:val="24"/>
                                <w:lang w:val="en-US"/>
                              </w:rPr>
                              <w:t>- David Denn</w:t>
                            </w:r>
                            <w:r>
                              <w:rPr>
                                <w:sz w:val="24"/>
                                <w:szCs w:val="24"/>
                                <w:lang w:val="en-US"/>
                              </w:rPr>
                              <w:t>e</w:t>
                            </w:r>
                            <w:r w:rsidRPr="00F252E1">
                              <w:rPr>
                                <w:sz w:val="24"/>
                                <w:szCs w:val="24"/>
                                <w:lang w:val="en-US"/>
                              </w:rPr>
                              <w:t>y, September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89462" id="_x0000_s1027" type="#_x0000_t202" style="position:absolute;margin-left:2.25pt;margin-top:0;width:767.35pt;height:498.75pt;z-index:251750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" filled="f" stroked="f">
                <v:textbox>
                  <w:txbxContent>
                    <w:p w14:paraId="46E70B94" w14:textId="77777777" w:rsidR="00762C79" w:rsidRPr="005F406E" w:rsidRDefault="00762C79" w:rsidP="00F252E1">
                      <w:pPr>
                        <w:pStyle w:val="Heading1"/>
                        <w:spacing w:before="120" w:after="0"/>
                      </w:pPr>
                      <w:bookmarkStart w:id="9" w:name="_Toc81917917"/>
                      <w:r w:rsidRPr="005F406E">
                        <w:t>Statement from the Federal Safety Commissioner</w:t>
                      </w:r>
                      <w:bookmarkEnd w:id="9"/>
                    </w:p>
                    <w:p w14:paraId="28B41A03" w14:textId="77777777" w:rsidR="00762C79" w:rsidRDefault="00762C79" w:rsidP="00F252E1">
                      <w:pPr>
                        <w:jc w:val="both"/>
                        <w:rPr>
                          <w:color w:val="C00000"/>
                          <w:sz w:val="24"/>
                          <w:szCs w:val="24"/>
                          <w:lang w:val="en-US"/>
                        </w:rPr>
                      </w:pPr>
                    </w:p>
                    <w:p w14:paraId="2056B87D" w14:textId="6171171A" w:rsidR="00762C79" w:rsidRDefault="00762C79" w:rsidP="00DE0FA0">
                      <w:pPr>
                        <w:spacing w:after="120"/>
                        <w:ind w:right="-164"/>
                        <w:rPr>
                          <w:rFonts w:ascii="Calibri" w:hAnsi="Calibri" w:cs="Calibri"/>
                          <w:sz w:val="24"/>
                        </w:rPr>
                      </w:pPr>
                      <w:r>
                        <w:rPr>
                          <w:rFonts w:ascii="Calibri" w:hAnsi="Calibri" w:cs="Calibri"/>
                          <w:sz w:val="24"/>
                        </w:rPr>
                        <w:t xml:space="preserve">I launched the 12-month Hazard 2020 Safety Campaign in October 2020 to look more closely at the two most frequent areas of non-compliance with Work Health and Safety Accreditation Scheme (the Scheme) requirements over the last three years – mobile plant and scaffolding. These hazards were also the most frequently associated with safety incidents reported to my Office during that period. </w:t>
                      </w:r>
                    </w:p>
                    <w:p w14:paraId="39F04D41" w14:textId="4A90248D" w:rsidR="00762C79" w:rsidRDefault="00762C79" w:rsidP="00DE0FA0">
                      <w:pPr>
                        <w:spacing w:after="120"/>
                        <w:jc w:val="both"/>
                        <w:rPr>
                          <w:sz w:val="24"/>
                          <w:szCs w:val="24"/>
                          <w:lang w:val="en-US"/>
                        </w:rPr>
                      </w:pPr>
                      <w:r>
                        <w:rPr>
                          <w:sz w:val="24"/>
                          <w:szCs w:val="24"/>
                          <w:lang w:val="en-US"/>
                        </w:rPr>
                        <w:t>The interim results outlined in this report show good safety improvements in some areas, but also raise some significant concerns.</w:t>
                      </w:r>
                    </w:p>
                    <w:p w14:paraId="52D09925" w14:textId="16D7027A" w:rsidR="00762C79" w:rsidRDefault="00762C79" w:rsidP="00DE0FA0">
                      <w:pPr>
                        <w:spacing w:after="120"/>
                        <w:jc w:val="both"/>
                        <w:rPr>
                          <w:sz w:val="24"/>
                          <w:szCs w:val="24"/>
                          <w:lang w:val="en-US"/>
                        </w:rPr>
                      </w:pPr>
                      <w:r>
                        <w:rPr>
                          <w:sz w:val="24"/>
                          <w:szCs w:val="24"/>
                          <w:lang w:val="en-US"/>
                        </w:rPr>
                        <w:t>In general, leading indicators of safety concerns (i.e. audit results) show improved compliance with Scheme requirements in relation to mobile plant. In some areas, improvements are greater than five percentage points on the 2017-2019 trend. This is a pleasing result, although there remains room for improvement in a number of areas, particularly ensuring mobile plant operations take account of site-specific hazards (despite improvements, this sub-criteria is still failed by more than one in three companies).</w:t>
                      </w:r>
                    </w:p>
                    <w:p w14:paraId="278FF4D0" w14:textId="77777777" w:rsidR="00762C79" w:rsidRDefault="00762C79" w:rsidP="00DE0FA0">
                      <w:pPr>
                        <w:spacing w:after="120"/>
                        <w:jc w:val="both"/>
                        <w:rPr>
                          <w:sz w:val="24"/>
                          <w:szCs w:val="24"/>
                          <w:lang w:val="en-US"/>
                        </w:rPr>
                      </w:pPr>
                      <w:r>
                        <w:rPr>
                          <w:sz w:val="24"/>
                          <w:szCs w:val="24"/>
                          <w:lang w:val="en-US"/>
                        </w:rPr>
                        <w:t>More concerning is the lack of improvement or declining compliance in relation to Scheme requirements with aspects of scaffolding and mobile cranes. Of biggest concern are:</w:t>
                      </w:r>
                    </w:p>
                    <w:p w14:paraId="58AF9745" w14:textId="77777777" w:rsidR="00762C79" w:rsidRPr="00DE0FA0" w:rsidRDefault="00762C79" w:rsidP="00DE0FA0">
                      <w:pPr>
                        <w:pStyle w:val="ListParagraph"/>
                        <w:numPr>
                          <w:ilvl w:val="0"/>
                          <w:numId w:val="19"/>
                        </w:numPr>
                        <w:spacing w:after="120"/>
                        <w:ind w:right="-164"/>
                        <w:contextualSpacing w:val="0"/>
                        <w:rPr>
                          <w:sz w:val="28"/>
                          <w:szCs w:val="24"/>
                          <w:lang w:val="en-US"/>
                        </w:rPr>
                      </w:pPr>
                      <w:r w:rsidRPr="00DE0FA0">
                        <w:rPr>
                          <w:sz w:val="24"/>
                          <w:lang w:val="en-US"/>
                        </w:rPr>
                        <w:t xml:space="preserve">52 per cent of companies audited failed to ensure temporary structures (the overwhelming majority of which was scaffolding) were installed by a competent person and were verified as correctly installed prior to use. </w:t>
                      </w:r>
                    </w:p>
                    <w:p w14:paraId="634B0563" w14:textId="77777777" w:rsidR="00762C79" w:rsidRPr="00DE0FA0" w:rsidRDefault="00762C79" w:rsidP="00DE0FA0">
                      <w:pPr>
                        <w:pStyle w:val="ListParagraph"/>
                        <w:numPr>
                          <w:ilvl w:val="0"/>
                          <w:numId w:val="19"/>
                        </w:numPr>
                        <w:spacing w:after="120"/>
                        <w:ind w:right="-164"/>
                        <w:contextualSpacing w:val="0"/>
                        <w:rPr>
                          <w:sz w:val="24"/>
                          <w:lang w:val="en-US"/>
                        </w:rPr>
                      </w:pPr>
                      <w:r w:rsidRPr="00DE0FA0">
                        <w:rPr>
                          <w:sz w:val="24"/>
                          <w:lang w:val="en-US"/>
                        </w:rPr>
                        <w:t xml:space="preserve">42 per cent of companies audited failed to ensure scaffold plans were developed when required and changes to the plan were signed off by a qualified person. </w:t>
                      </w:r>
                    </w:p>
                    <w:p w14:paraId="501A8034" w14:textId="77777777" w:rsidR="00762C79" w:rsidRPr="00DE0FA0" w:rsidRDefault="00762C79" w:rsidP="00D95F85">
                      <w:pPr>
                        <w:pStyle w:val="ListParagraph"/>
                        <w:numPr>
                          <w:ilvl w:val="0"/>
                          <w:numId w:val="19"/>
                        </w:numPr>
                        <w:spacing w:after="120"/>
                        <w:ind w:right="-164"/>
                        <w:contextualSpacing w:val="0"/>
                        <w:rPr>
                          <w:sz w:val="24"/>
                          <w:lang w:val="en-US"/>
                        </w:rPr>
                      </w:pPr>
                      <w:r w:rsidRPr="00DE0FA0">
                        <w:rPr>
                          <w:sz w:val="24"/>
                          <w:lang w:val="en-US"/>
                        </w:rPr>
                        <w:t xml:space="preserve">36 per cent of companies failed to have or implement safe systems of work for the use of mobile cranes taking into account ground conditions, the development of lift plans where required and the lifting of materials and workers. </w:t>
                      </w:r>
                    </w:p>
                    <w:p w14:paraId="23B5318B" w14:textId="77777777" w:rsidR="00762C79" w:rsidRDefault="00762C79" w:rsidP="00DE0FA0">
                      <w:pPr>
                        <w:spacing w:after="120"/>
                        <w:ind w:right="-164"/>
                        <w:rPr>
                          <w:sz w:val="24"/>
                          <w:szCs w:val="24"/>
                          <w:lang w:val="en-US"/>
                        </w:rPr>
                      </w:pPr>
                      <w:r>
                        <w:rPr>
                          <w:sz w:val="24"/>
                          <w:szCs w:val="24"/>
                          <w:lang w:val="en-US"/>
                        </w:rPr>
                        <w:t xml:space="preserve">Lag indicators of safety concerns (i.e. safety incident reports) confirm the need for ongoing improvement in relation to mobile plant and scaffolding. The proportion of incidents reported that resulted in, or had the potential to result in, serious or life-threatening injuries was too high (33 per cent for mobile plant and 26 per cent for scaffolding). </w:t>
                      </w:r>
                    </w:p>
                    <w:p w14:paraId="793A757D" w14:textId="77777777" w:rsidR="00762C79" w:rsidRDefault="00762C79" w:rsidP="00DE0FA0">
                      <w:pPr>
                        <w:spacing w:after="120"/>
                        <w:ind w:right="-164"/>
                        <w:rPr>
                          <w:sz w:val="24"/>
                          <w:szCs w:val="24"/>
                          <w:lang w:val="en-US"/>
                        </w:rPr>
                      </w:pPr>
                      <w:r>
                        <w:rPr>
                          <w:sz w:val="24"/>
                          <w:szCs w:val="24"/>
                          <w:lang w:val="en-US"/>
                        </w:rPr>
                        <w:t xml:space="preserve">The building and construction industry has shown enormous determination in rising to the challenge of COVID-19. Through raising awareness of the areas of concern identified so far in the Hazard 2020 campaign, I am hopeful the industry will similarly rise to the challenge of ensuring every worker goes home safely every day. </w:t>
                      </w:r>
                    </w:p>
                    <w:p w14:paraId="52BA2E00" w14:textId="77777777" w:rsidR="00762C79" w:rsidRDefault="00762C79" w:rsidP="00DE0FA0">
                      <w:pPr>
                        <w:spacing w:after="120"/>
                        <w:jc w:val="both"/>
                        <w:rPr>
                          <w:color w:val="C00000"/>
                          <w:sz w:val="24"/>
                          <w:szCs w:val="24"/>
                          <w:lang w:val="en-US"/>
                        </w:rPr>
                      </w:pPr>
                      <w:r>
                        <w:rPr>
                          <w:sz w:val="24"/>
                          <w:szCs w:val="24"/>
                          <w:lang w:val="en-US"/>
                        </w:rPr>
                        <w:t>The OFSC will continue to support companies to achieve better mobile plant and scaffolding safety outcomes by providing guidance and education materials, highlighting examples of good or innovative practice that work, and facilitating links to other resources and materials. Should your company require assistance, I would encourage you to make use of the materials available at</w:t>
                      </w:r>
                      <w:r>
                        <w:rPr>
                          <w:rFonts w:ascii="Calibri" w:hAnsi="Calibri" w:cs="Calibri"/>
                        </w:rPr>
                        <w:t xml:space="preserve"> </w:t>
                      </w:r>
                      <w:hyperlink r:id="rId22" w:history="1">
                        <w:r>
                          <w:rPr>
                            <w:rStyle w:val="Hyperlink"/>
                            <w:rFonts w:ascii="Calibri" w:hAnsi="Calibri" w:cs="Calibri"/>
                          </w:rPr>
                          <w:t>www.fsc.gov.au</w:t>
                        </w:r>
                      </w:hyperlink>
                      <w:r>
                        <w:rPr>
                          <w:rFonts w:ascii="Calibri" w:hAnsi="Calibri" w:cs="Calibri"/>
                        </w:rPr>
                        <w:t xml:space="preserve"> </w:t>
                      </w:r>
                      <w:r>
                        <w:rPr>
                          <w:sz w:val="24"/>
                          <w:szCs w:val="24"/>
                          <w:lang w:val="en-US"/>
                        </w:rPr>
                        <w:t>or to contact us on 1800 652 500.</w:t>
                      </w:r>
                    </w:p>
                    <w:p w14:paraId="4B839DED" w14:textId="77777777" w:rsidR="00762C79" w:rsidRPr="00F252E1" w:rsidRDefault="00762C79" w:rsidP="00F252E1">
                      <w:pPr>
                        <w:spacing w:before="120" w:after="120"/>
                        <w:ind w:firstLine="720"/>
                        <w:jc w:val="both"/>
                        <w:rPr>
                          <w:sz w:val="24"/>
                          <w:szCs w:val="24"/>
                          <w:lang w:val="en-US"/>
                        </w:rPr>
                      </w:pPr>
                      <w:r w:rsidRPr="00F252E1">
                        <w:rPr>
                          <w:sz w:val="24"/>
                          <w:szCs w:val="24"/>
                          <w:lang w:val="en-US"/>
                        </w:rPr>
                        <w:t>- David Denn</w:t>
                      </w:r>
                      <w:r>
                        <w:rPr>
                          <w:sz w:val="24"/>
                          <w:szCs w:val="24"/>
                          <w:lang w:val="en-US"/>
                        </w:rPr>
                        <w:t>e</w:t>
                      </w:r>
                      <w:r w:rsidRPr="00F252E1">
                        <w:rPr>
                          <w:sz w:val="24"/>
                          <w:szCs w:val="24"/>
                          <w:lang w:val="en-US"/>
                        </w:rPr>
                        <w:t>y, September 2021</w:t>
                      </w:r>
                    </w:p>
                  </w:txbxContent>
                </v:textbox>
                <w10:wrap type="square" anchorx="margin"/>
              </v:shape>
            </w:pict>
          </mc:Fallback>
        </mc:AlternateContent>
      </w:r>
      <w:r w:rsidR="009A700A">
        <w:rPr>
          <w:sz w:val="24"/>
          <w:szCs w:val="24"/>
          <w:lang w:val="en-US"/>
        </w:rPr>
        <w:br w:type="page"/>
      </w:r>
    </w:p>
    <w:p w14:paraId="2BE143F3" w14:textId="77777777" w:rsidR="0095441A" w:rsidRPr="00671148" w:rsidRDefault="00671148" w:rsidP="009078DC">
      <w:pPr>
        <w:pStyle w:val="Heading1"/>
      </w:pPr>
      <w:bookmarkStart w:id="10" w:name="_Toc81917918"/>
      <w:r>
        <w:lastRenderedPageBreak/>
        <w:t xml:space="preserve">Hazard 2020 </w:t>
      </w:r>
      <w:r w:rsidR="0095441A" w:rsidRPr="00671148">
        <w:t>Audits</w:t>
      </w:r>
      <w:r w:rsidR="00DF1339">
        <w:t xml:space="preserve"> - Overview</w:t>
      </w:r>
      <w:bookmarkEnd w:id="10"/>
    </w:p>
    <w:p w14:paraId="7BF890A0" w14:textId="3896F3B5" w:rsidR="00F26962" w:rsidRPr="00D30730" w:rsidRDefault="00F26962" w:rsidP="009145C3">
      <w:pPr>
        <w:pStyle w:val="ListParagraph"/>
        <w:numPr>
          <w:ilvl w:val="0"/>
          <w:numId w:val="1"/>
        </w:numPr>
        <w:rPr>
          <w:sz w:val="24"/>
          <w:szCs w:val="24"/>
          <w:lang w:val="en-US"/>
        </w:rPr>
      </w:pPr>
      <w:r w:rsidRPr="00D30730">
        <w:rPr>
          <w:sz w:val="24"/>
          <w:szCs w:val="24"/>
          <w:lang w:val="en-US"/>
        </w:rPr>
        <w:t xml:space="preserve">The OFSC conducted </w:t>
      </w:r>
      <w:r w:rsidRPr="00D30730">
        <w:rPr>
          <w:b/>
          <w:bCs/>
          <w:sz w:val="24"/>
          <w:szCs w:val="24"/>
          <w:lang w:val="en-US"/>
        </w:rPr>
        <w:t>183</w:t>
      </w:r>
      <w:r w:rsidRPr="00D30730">
        <w:rPr>
          <w:sz w:val="24"/>
          <w:szCs w:val="24"/>
          <w:lang w:val="en-US"/>
        </w:rPr>
        <w:t xml:space="preserve"> </w:t>
      </w:r>
      <w:r w:rsidR="00E672CA" w:rsidRPr="00D30730">
        <w:rPr>
          <w:sz w:val="24"/>
          <w:szCs w:val="24"/>
          <w:lang w:val="en-US"/>
        </w:rPr>
        <w:t>a</w:t>
      </w:r>
      <w:r w:rsidR="00685CBE" w:rsidRPr="00D30730">
        <w:rPr>
          <w:sz w:val="24"/>
          <w:szCs w:val="24"/>
          <w:lang w:val="en-US"/>
        </w:rPr>
        <w:t>udits</w:t>
      </w:r>
      <w:r w:rsidRPr="00D30730">
        <w:rPr>
          <w:sz w:val="24"/>
          <w:szCs w:val="24"/>
          <w:lang w:val="en-US"/>
        </w:rPr>
        <w:t xml:space="preserve"> involving Hazard 2020 criteria </w:t>
      </w:r>
      <w:r w:rsidR="00FF49A1" w:rsidRPr="00D30730">
        <w:rPr>
          <w:sz w:val="24"/>
          <w:szCs w:val="24"/>
          <w:lang w:val="en-US"/>
        </w:rPr>
        <w:t>from 1</w:t>
      </w:r>
      <w:r w:rsidR="00B0659A" w:rsidRPr="00D30730">
        <w:rPr>
          <w:sz w:val="24"/>
          <w:szCs w:val="24"/>
          <w:lang w:val="en-US"/>
        </w:rPr>
        <w:t>6</w:t>
      </w:r>
      <w:r w:rsidR="00FF49A1" w:rsidRPr="00D30730">
        <w:rPr>
          <w:sz w:val="24"/>
          <w:szCs w:val="24"/>
          <w:lang w:val="en-US"/>
        </w:rPr>
        <w:t xml:space="preserve"> October 2020 to 31</w:t>
      </w:r>
      <w:r w:rsidRPr="00D30730">
        <w:rPr>
          <w:sz w:val="24"/>
          <w:szCs w:val="24"/>
          <w:lang w:val="en-US"/>
        </w:rPr>
        <w:t xml:space="preserve"> May 2021.</w:t>
      </w:r>
    </w:p>
    <w:p w14:paraId="09D131AE" w14:textId="77777777" w:rsidR="009145C3" w:rsidRPr="00D30730" w:rsidRDefault="009145C3" w:rsidP="009145C3">
      <w:pPr>
        <w:pStyle w:val="ListParagraph"/>
        <w:numPr>
          <w:ilvl w:val="0"/>
          <w:numId w:val="1"/>
        </w:numPr>
        <w:rPr>
          <w:sz w:val="24"/>
          <w:szCs w:val="24"/>
          <w:lang w:val="en-US"/>
        </w:rPr>
      </w:pPr>
      <w:r w:rsidRPr="00D30730">
        <w:rPr>
          <w:b/>
          <w:bCs/>
          <w:sz w:val="24"/>
          <w:szCs w:val="24"/>
          <w:lang w:val="en-US"/>
        </w:rPr>
        <w:t>169</w:t>
      </w:r>
      <w:r w:rsidRPr="00D30730">
        <w:rPr>
          <w:sz w:val="24"/>
          <w:szCs w:val="24"/>
          <w:lang w:val="en-US"/>
        </w:rPr>
        <w:t xml:space="preserve"> audits reviewed mobile plant criteria, and </w:t>
      </w:r>
      <w:r w:rsidRPr="00D30730">
        <w:rPr>
          <w:b/>
          <w:bCs/>
          <w:sz w:val="24"/>
          <w:szCs w:val="24"/>
          <w:lang w:val="en-US"/>
        </w:rPr>
        <w:t>61</w:t>
      </w:r>
      <w:r w:rsidRPr="00D30730">
        <w:rPr>
          <w:sz w:val="24"/>
          <w:szCs w:val="24"/>
          <w:lang w:val="en-US"/>
        </w:rPr>
        <w:t xml:space="preserve"> </w:t>
      </w:r>
      <w:r w:rsidR="00FA47BF" w:rsidRPr="00D30730">
        <w:rPr>
          <w:sz w:val="24"/>
          <w:szCs w:val="24"/>
          <w:lang w:val="en-US"/>
        </w:rPr>
        <w:t>reviewed</w:t>
      </w:r>
      <w:r w:rsidRPr="00D30730">
        <w:rPr>
          <w:sz w:val="24"/>
          <w:szCs w:val="24"/>
          <w:lang w:val="en-US"/>
        </w:rPr>
        <w:t xml:space="preserve"> scaffolding criteria.</w:t>
      </w:r>
    </w:p>
    <w:p w14:paraId="396B94E3" w14:textId="77777777" w:rsidR="00E140E3" w:rsidRDefault="00723486" w:rsidP="00B270DE">
      <w:pPr>
        <w:rPr>
          <w:lang w:val="en-US"/>
        </w:rPr>
      </w:pPr>
      <w:r>
        <w:rPr>
          <w:noProof/>
          <w:lang w:eastAsia="en-AU"/>
        </w:rPr>
        <w:drawing>
          <wp:anchor distT="0" distB="0" distL="114300" distR="114300" simplePos="0" relativeHeight="251779584" behindDoc="1" locked="0" layoutInCell="1" allowOverlap="1" wp14:anchorId="237E32E3" wp14:editId="3029A504">
            <wp:simplePos x="0" y="0"/>
            <wp:positionH relativeFrom="column">
              <wp:posOffset>0</wp:posOffset>
            </wp:positionH>
            <wp:positionV relativeFrom="paragraph">
              <wp:posOffset>-4445</wp:posOffset>
            </wp:positionV>
            <wp:extent cx="9705975" cy="5210175"/>
            <wp:effectExtent l="0" t="0" r="0" b="0"/>
            <wp:wrapNone/>
            <wp:docPr id="1" name="Chart 1">
              <a:extLst xmlns:a="http://schemas.openxmlformats.org/drawingml/2006/main">
                <a:ext uri="{FF2B5EF4-FFF2-40B4-BE49-F238E27FC236}">
                  <a16:creationId xmlns:a16="http://schemas.microsoft.com/office/drawing/2014/main" id="{3DBD9851-E4D8-4A11-91D3-4B8660E63C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6F3B968A" w14:textId="77777777" w:rsidR="00D510E3" w:rsidRDefault="00D510E3" w:rsidP="00B270DE">
      <w:pPr>
        <w:rPr>
          <w:lang w:val="en-US"/>
        </w:rPr>
      </w:pPr>
    </w:p>
    <w:p w14:paraId="5C0B1050" w14:textId="77777777" w:rsidR="00D510E3" w:rsidRDefault="00D510E3" w:rsidP="00D510E3">
      <w:pPr>
        <w:pStyle w:val="Heading1"/>
      </w:pPr>
      <w:r>
        <w:br w:type="page"/>
      </w:r>
      <w:bookmarkStart w:id="11" w:name="_Toc81917919"/>
      <w:r>
        <w:rPr>
          <w:noProof/>
          <w:lang w:val="en-AU" w:eastAsia="en-AU"/>
        </w:rPr>
        <w:lastRenderedPageBreak/>
        <w:drawing>
          <wp:anchor distT="0" distB="0" distL="114300" distR="114300" simplePos="0" relativeHeight="251752960" behindDoc="1" locked="0" layoutInCell="1" allowOverlap="1" wp14:anchorId="44048D2F" wp14:editId="7DA925DA">
            <wp:simplePos x="0" y="0"/>
            <wp:positionH relativeFrom="column">
              <wp:posOffset>-85725</wp:posOffset>
            </wp:positionH>
            <wp:positionV relativeFrom="paragraph">
              <wp:posOffset>342899</wp:posOffset>
            </wp:positionV>
            <wp:extent cx="9753600" cy="6105525"/>
            <wp:effectExtent l="0" t="0" r="0" b="0"/>
            <wp:wrapNone/>
            <wp:docPr id="128" name="Chart 128">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753984" behindDoc="0" locked="0" layoutInCell="1" allowOverlap="1" wp14:anchorId="5D1E1DF8" wp14:editId="6770A402">
                <wp:simplePos x="0" y="0"/>
                <wp:positionH relativeFrom="column">
                  <wp:posOffset>-85725</wp:posOffset>
                </wp:positionH>
                <wp:positionV relativeFrom="paragraph">
                  <wp:posOffset>409575</wp:posOffset>
                </wp:positionV>
                <wp:extent cx="5953125" cy="1876425"/>
                <wp:effectExtent l="0" t="0" r="9525" b="9525"/>
                <wp:wrapNone/>
                <wp:docPr id="63" name="Text Box 63"/>
                <wp:cNvGraphicFramePr/>
                <a:graphic xmlns:a="http://schemas.openxmlformats.org/drawingml/2006/main">
                  <a:graphicData uri="http://schemas.microsoft.com/office/word/2010/wordprocessingShape">
                    <wps:wsp>
                      <wps:cNvSpPr txBox="1"/>
                      <wps:spPr>
                        <a:xfrm>
                          <a:off x="0" y="0"/>
                          <a:ext cx="5953125" cy="1876425"/>
                        </a:xfrm>
                        <a:prstGeom prst="rect">
                          <a:avLst/>
                        </a:prstGeom>
                        <a:solidFill>
                          <a:schemeClr val="lt1"/>
                        </a:solidFill>
                        <a:ln w="6350">
                          <a:noFill/>
                        </a:ln>
                      </wps:spPr>
                      <wps:txbx>
                        <w:txbxContent>
                          <w:p w14:paraId="4170FB21" w14:textId="77777777" w:rsidR="00762C79" w:rsidRPr="00C66B50" w:rsidRDefault="00762C79" w:rsidP="00D510E3">
                            <w:pPr>
                              <w:pStyle w:val="ListParagraph"/>
                              <w:numPr>
                                <w:ilvl w:val="0"/>
                                <w:numId w:val="1"/>
                              </w:numPr>
                              <w:rPr>
                                <w:sz w:val="24"/>
                                <w:szCs w:val="24"/>
                                <w:lang w:val="en-US"/>
                              </w:rPr>
                            </w:pPr>
                            <w:r w:rsidRPr="00C66B50">
                              <w:rPr>
                                <w:sz w:val="24"/>
                                <w:szCs w:val="24"/>
                                <w:lang w:val="en-US"/>
                              </w:rPr>
                              <w:t xml:space="preserve">The OFSC received </w:t>
                            </w:r>
                            <w:r>
                              <w:rPr>
                                <w:b/>
                                <w:bCs/>
                                <w:sz w:val="24"/>
                                <w:szCs w:val="24"/>
                                <w:lang w:val="en-US"/>
                              </w:rPr>
                              <w:t>102</w:t>
                            </w:r>
                            <w:r w:rsidRPr="00C66B50">
                              <w:rPr>
                                <w:bCs/>
                                <w:sz w:val="24"/>
                                <w:szCs w:val="24"/>
                                <w:lang w:val="en-US"/>
                              </w:rPr>
                              <w:t xml:space="preserve"> incident</w:t>
                            </w:r>
                            <w:r w:rsidRPr="00C66B50">
                              <w:rPr>
                                <w:sz w:val="24"/>
                                <w:szCs w:val="24"/>
                                <w:lang w:val="en-US"/>
                              </w:rPr>
                              <w:t xml:space="preserve"> reports </w:t>
                            </w:r>
                            <w:r w:rsidRPr="00D32399">
                              <w:rPr>
                                <w:sz w:val="24"/>
                                <w:szCs w:val="24"/>
                                <w:lang w:val="en-US"/>
                              </w:rPr>
                              <w:t xml:space="preserve">from Scheme accredited companies </w:t>
                            </w:r>
                            <w:r w:rsidRPr="00C66B50">
                              <w:rPr>
                                <w:sz w:val="24"/>
                                <w:szCs w:val="24"/>
                                <w:lang w:val="en-US"/>
                              </w:rPr>
                              <w:t xml:space="preserve">for incidents involving either mobile plant or scaffolding hazards </w:t>
                            </w:r>
                            <w:r>
                              <w:rPr>
                                <w:sz w:val="24"/>
                                <w:szCs w:val="24"/>
                                <w:lang w:val="en-US"/>
                              </w:rPr>
                              <w:t>to</w:t>
                            </w:r>
                            <w:r w:rsidRPr="00C66B50">
                              <w:rPr>
                                <w:sz w:val="24"/>
                                <w:szCs w:val="24"/>
                                <w:lang w:val="en-US"/>
                              </w:rPr>
                              <w:t xml:space="preserve"> the end of May 2021.</w:t>
                            </w:r>
                          </w:p>
                          <w:p w14:paraId="265EE8EC" w14:textId="77777777" w:rsidR="00762C79" w:rsidRPr="00C66B50" w:rsidRDefault="00762C79" w:rsidP="00D510E3">
                            <w:pPr>
                              <w:pStyle w:val="ListParagraph"/>
                              <w:numPr>
                                <w:ilvl w:val="0"/>
                                <w:numId w:val="1"/>
                              </w:numPr>
                              <w:rPr>
                                <w:sz w:val="24"/>
                                <w:szCs w:val="24"/>
                                <w:lang w:val="en-US"/>
                              </w:rPr>
                            </w:pPr>
                            <w:r>
                              <w:rPr>
                                <w:b/>
                                <w:bCs/>
                                <w:sz w:val="24"/>
                                <w:szCs w:val="24"/>
                                <w:lang w:val="en-US"/>
                              </w:rPr>
                              <w:t>83</w:t>
                            </w:r>
                            <w:r w:rsidRPr="00C66B50">
                              <w:rPr>
                                <w:bCs/>
                                <w:sz w:val="24"/>
                                <w:szCs w:val="24"/>
                                <w:lang w:val="en-US"/>
                              </w:rPr>
                              <w:t xml:space="preserve"> incidents</w:t>
                            </w:r>
                            <w:r w:rsidRPr="00C66B50">
                              <w:rPr>
                                <w:sz w:val="24"/>
                                <w:szCs w:val="24"/>
                                <w:lang w:val="en-US"/>
                              </w:rPr>
                              <w:t xml:space="preserve"> involved mobile plant or related hazards and </w:t>
                            </w:r>
                            <w:r>
                              <w:rPr>
                                <w:b/>
                                <w:bCs/>
                                <w:sz w:val="24"/>
                                <w:szCs w:val="24"/>
                                <w:lang w:val="en-US"/>
                              </w:rPr>
                              <w:t>19</w:t>
                            </w:r>
                            <w:r w:rsidRPr="00C66B50">
                              <w:rPr>
                                <w:sz w:val="24"/>
                                <w:szCs w:val="24"/>
                                <w:lang w:val="en-US"/>
                              </w:rPr>
                              <w:t xml:space="preserve"> incidents involved scaffolding or related hazards.</w:t>
                            </w:r>
                          </w:p>
                          <w:p w14:paraId="221A6799" w14:textId="77777777" w:rsidR="00762C79" w:rsidRPr="00C66B50" w:rsidRDefault="00762C79" w:rsidP="00D510E3">
                            <w:pPr>
                              <w:pStyle w:val="ListParagraph"/>
                              <w:numPr>
                                <w:ilvl w:val="0"/>
                                <w:numId w:val="1"/>
                              </w:numPr>
                              <w:rPr>
                                <w:sz w:val="24"/>
                                <w:szCs w:val="24"/>
                                <w:lang w:val="en-US"/>
                              </w:rPr>
                            </w:pPr>
                            <w:r>
                              <w:rPr>
                                <w:sz w:val="24"/>
                                <w:szCs w:val="24"/>
                                <w:lang w:val="en-US"/>
                              </w:rPr>
                              <w:t>Approximately two-thirds of both</w:t>
                            </w:r>
                            <w:r w:rsidRPr="00C66B50">
                              <w:rPr>
                                <w:bCs/>
                                <w:sz w:val="24"/>
                                <w:szCs w:val="24"/>
                                <w:lang w:val="en-US"/>
                              </w:rPr>
                              <w:t xml:space="preserve"> mobile plant incidents</w:t>
                            </w:r>
                            <w:r>
                              <w:rPr>
                                <w:bCs/>
                                <w:sz w:val="24"/>
                                <w:szCs w:val="24"/>
                                <w:lang w:val="en-US"/>
                              </w:rPr>
                              <w:t xml:space="preserve"> and </w:t>
                            </w:r>
                            <w:r w:rsidRPr="00C66B50">
                              <w:rPr>
                                <w:bCs/>
                                <w:sz w:val="24"/>
                                <w:szCs w:val="24"/>
                                <w:lang w:val="en-US"/>
                              </w:rPr>
                              <w:t>scaffolding incidents were categorized as Lost Time Injuries (LTIs).</w:t>
                            </w:r>
                          </w:p>
                          <w:p w14:paraId="6A052575" w14:textId="77777777" w:rsidR="00762C79" w:rsidRPr="00C66B50" w:rsidRDefault="00762C79" w:rsidP="00D510E3">
                            <w:pPr>
                              <w:pStyle w:val="ListParagraph"/>
                              <w:numPr>
                                <w:ilvl w:val="0"/>
                                <w:numId w:val="1"/>
                              </w:numPr>
                              <w:rPr>
                                <w:sz w:val="24"/>
                                <w:szCs w:val="24"/>
                                <w:lang w:val="en-US"/>
                              </w:rPr>
                            </w:pPr>
                            <w:r>
                              <w:rPr>
                                <w:b/>
                                <w:bCs/>
                                <w:sz w:val="24"/>
                                <w:szCs w:val="24"/>
                                <w:lang w:val="en-US"/>
                              </w:rPr>
                              <w:t>11 per cent</w:t>
                            </w:r>
                            <w:r w:rsidRPr="00C66B50">
                              <w:rPr>
                                <w:bCs/>
                                <w:sz w:val="24"/>
                                <w:szCs w:val="24"/>
                                <w:lang w:val="en-US"/>
                              </w:rPr>
                              <w:t xml:space="preserve"> of mobile plant incidents were categorized as Medically Treated Injuries (MTIs), while </w:t>
                            </w:r>
                            <w:r w:rsidRPr="00C66B50">
                              <w:rPr>
                                <w:b/>
                                <w:bCs/>
                                <w:sz w:val="24"/>
                                <w:szCs w:val="24"/>
                                <w:lang w:val="en-US"/>
                              </w:rPr>
                              <w:t>3</w:t>
                            </w:r>
                            <w:r>
                              <w:rPr>
                                <w:b/>
                                <w:bCs/>
                                <w:sz w:val="24"/>
                                <w:szCs w:val="24"/>
                                <w:lang w:val="en-US"/>
                              </w:rPr>
                              <w:t>2 per cent</w:t>
                            </w:r>
                            <w:r w:rsidRPr="00C66B50">
                              <w:rPr>
                                <w:bCs/>
                                <w:sz w:val="24"/>
                                <w:szCs w:val="24"/>
                                <w:lang w:val="en-US"/>
                              </w:rPr>
                              <w:t xml:space="preserve"> of scaffolding incidents were MTIs.</w:t>
                            </w:r>
                          </w:p>
                          <w:p w14:paraId="627AE147" w14:textId="77777777" w:rsidR="00762C79" w:rsidRPr="00C66B50" w:rsidRDefault="00762C79" w:rsidP="00D510E3">
                            <w:pPr>
                              <w:pStyle w:val="ListParagraph"/>
                              <w:numPr>
                                <w:ilvl w:val="0"/>
                                <w:numId w:val="1"/>
                              </w:numPr>
                              <w:rPr>
                                <w:sz w:val="24"/>
                                <w:szCs w:val="24"/>
                                <w:lang w:val="en-US"/>
                              </w:rPr>
                            </w:pPr>
                            <w:r>
                              <w:rPr>
                                <w:sz w:val="24"/>
                                <w:szCs w:val="24"/>
                                <w:lang w:val="en-US"/>
                              </w:rPr>
                              <w:t>N</w:t>
                            </w:r>
                            <w:r w:rsidRPr="00C66B50">
                              <w:rPr>
                                <w:sz w:val="24"/>
                                <w:szCs w:val="24"/>
                                <w:lang w:val="en-US"/>
                              </w:rPr>
                              <w:t xml:space="preserve">o fatalities </w:t>
                            </w:r>
                            <w:r>
                              <w:rPr>
                                <w:sz w:val="24"/>
                                <w:szCs w:val="24"/>
                                <w:lang w:val="en-US"/>
                              </w:rPr>
                              <w:t xml:space="preserve">were </w:t>
                            </w:r>
                            <w:r w:rsidRPr="00C66B50">
                              <w:rPr>
                                <w:sz w:val="24"/>
                                <w:szCs w:val="24"/>
                                <w:lang w:val="en-US"/>
                              </w:rPr>
                              <w:t>reported against either</w:t>
                            </w:r>
                            <w:r>
                              <w:rPr>
                                <w:sz w:val="24"/>
                                <w:szCs w:val="24"/>
                                <w:lang w:val="en-US"/>
                              </w:rPr>
                              <w:t xml:space="preserve"> high-risk</w:t>
                            </w:r>
                            <w:r w:rsidRPr="00C66B50">
                              <w:rPr>
                                <w:sz w:val="24"/>
                                <w:szCs w:val="24"/>
                                <w:lang w:val="en-US"/>
                              </w:rPr>
                              <w:t xml:space="preserve"> hazard.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E1DF8" id="Text Box 63" o:spid="_x0000_s1028" type="#_x0000_t202" style="position:absolute;margin-left:-6.75pt;margin-top:32.25pt;width:468.75pt;height:147.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" fillcolor="white [3201]" stroked="f" strokeweight=".5pt">
                <v:textbox>
                  <w:txbxContent>
                    <w:p w14:paraId="4170FB21" w14:textId="77777777" w:rsidR="00762C79" w:rsidRPr="00C66B50" w:rsidRDefault="00762C79" w:rsidP="00D510E3">
                      <w:pPr>
                        <w:pStyle w:val="ListParagraph"/>
                        <w:numPr>
                          <w:ilvl w:val="0"/>
                          <w:numId w:val="1"/>
                        </w:numPr>
                        <w:rPr>
                          <w:sz w:val="24"/>
                          <w:szCs w:val="24"/>
                          <w:lang w:val="en-US"/>
                        </w:rPr>
                      </w:pPr>
                      <w:r w:rsidRPr="00C66B50">
                        <w:rPr>
                          <w:sz w:val="24"/>
                          <w:szCs w:val="24"/>
                          <w:lang w:val="en-US"/>
                        </w:rPr>
                        <w:t xml:space="preserve">The OFSC received </w:t>
                      </w:r>
                      <w:r>
                        <w:rPr>
                          <w:b/>
                          <w:bCs/>
                          <w:sz w:val="24"/>
                          <w:szCs w:val="24"/>
                          <w:lang w:val="en-US"/>
                        </w:rPr>
                        <w:t>102</w:t>
                      </w:r>
                      <w:r w:rsidRPr="00C66B50">
                        <w:rPr>
                          <w:bCs/>
                          <w:sz w:val="24"/>
                          <w:szCs w:val="24"/>
                          <w:lang w:val="en-US"/>
                        </w:rPr>
                        <w:t xml:space="preserve"> incident</w:t>
                      </w:r>
                      <w:r w:rsidRPr="00C66B50">
                        <w:rPr>
                          <w:sz w:val="24"/>
                          <w:szCs w:val="24"/>
                          <w:lang w:val="en-US"/>
                        </w:rPr>
                        <w:t xml:space="preserve"> reports </w:t>
                      </w:r>
                      <w:r w:rsidRPr="00D32399">
                        <w:rPr>
                          <w:sz w:val="24"/>
                          <w:szCs w:val="24"/>
                          <w:lang w:val="en-US"/>
                        </w:rPr>
                        <w:t xml:space="preserve">from Scheme accredited companies </w:t>
                      </w:r>
                      <w:r w:rsidRPr="00C66B50">
                        <w:rPr>
                          <w:sz w:val="24"/>
                          <w:szCs w:val="24"/>
                          <w:lang w:val="en-US"/>
                        </w:rPr>
                        <w:t xml:space="preserve">for incidents involving either mobile plant or scaffolding hazards </w:t>
                      </w:r>
                      <w:r>
                        <w:rPr>
                          <w:sz w:val="24"/>
                          <w:szCs w:val="24"/>
                          <w:lang w:val="en-US"/>
                        </w:rPr>
                        <w:t>to</w:t>
                      </w:r>
                      <w:r w:rsidRPr="00C66B50">
                        <w:rPr>
                          <w:sz w:val="24"/>
                          <w:szCs w:val="24"/>
                          <w:lang w:val="en-US"/>
                        </w:rPr>
                        <w:t xml:space="preserve"> the end of May 2021.</w:t>
                      </w:r>
                    </w:p>
                    <w:p w14:paraId="265EE8EC" w14:textId="77777777" w:rsidR="00762C79" w:rsidRPr="00C66B50" w:rsidRDefault="00762C79" w:rsidP="00D510E3">
                      <w:pPr>
                        <w:pStyle w:val="ListParagraph"/>
                        <w:numPr>
                          <w:ilvl w:val="0"/>
                          <w:numId w:val="1"/>
                        </w:numPr>
                        <w:rPr>
                          <w:sz w:val="24"/>
                          <w:szCs w:val="24"/>
                          <w:lang w:val="en-US"/>
                        </w:rPr>
                      </w:pPr>
                      <w:r>
                        <w:rPr>
                          <w:b/>
                          <w:bCs/>
                          <w:sz w:val="24"/>
                          <w:szCs w:val="24"/>
                          <w:lang w:val="en-US"/>
                        </w:rPr>
                        <w:t>83</w:t>
                      </w:r>
                      <w:r w:rsidRPr="00C66B50">
                        <w:rPr>
                          <w:bCs/>
                          <w:sz w:val="24"/>
                          <w:szCs w:val="24"/>
                          <w:lang w:val="en-US"/>
                        </w:rPr>
                        <w:t xml:space="preserve"> incidents</w:t>
                      </w:r>
                      <w:r w:rsidRPr="00C66B50">
                        <w:rPr>
                          <w:sz w:val="24"/>
                          <w:szCs w:val="24"/>
                          <w:lang w:val="en-US"/>
                        </w:rPr>
                        <w:t xml:space="preserve"> involved mobile plant or related hazards and </w:t>
                      </w:r>
                      <w:r>
                        <w:rPr>
                          <w:b/>
                          <w:bCs/>
                          <w:sz w:val="24"/>
                          <w:szCs w:val="24"/>
                          <w:lang w:val="en-US"/>
                        </w:rPr>
                        <w:t>19</w:t>
                      </w:r>
                      <w:r w:rsidRPr="00C66B50">
                        <w:rPr>
                          <w:sz w:val="24"/>
                          <w:szCs w:val="24"/>
                          <w:lang w:val="en-US"/>
                        </w:rPr>
                        <w:t xml:space="preserve"> incidents involved scaffolding or related hazards.</w:t>
                      </w:r>
                    </w:p>
                    <w:p w14:paraId="221A6799" w14:textId="77777777" w:rsidR="00762C79" w:rsidRPr="00C66B50" w:rsidRDefault="00762C79" w:rsidP="00D510E3">
                      <w:pPr>
                        <w:pStyle w:val="ListParagraph"/>
                        <w:numPr>
                          <w:ilvl w:val="0"/>
                          <w:numId w:val="1"/>
                        </w:numPr>
                        <w:rPr>
                          <w:sz w:val="24"/>
                          <w:szCs w:val="24"/>
                          <w:lang w:val="en-US"/>
                        </w:rPr>
                      </w:pPr>
                      <w:r>
                        <w:rPr>
                          <w:sz w:val="24"/>
                          <w:szCs w:val="24"/>
                          <w:lang w:val="en-US"/>
                        </w:rPr>
                        <w:t>Approximately two-thirds of both</w:t>
                      </w:r>
                      <w:r w:rsidRPr="00C66B50">
                        <w:rPr>
                          <w:bCs/>
                          <w:sz w:val="24"/>
                          <w:szCs w:val="24"/>
                          <w:lang w:val="en-US"/>
                        </w:rPr>
                        <w:t xml:space="preserve"> mobile plant incidents</w:t>
                      </w:r>
                      <w:r>
                        <w:rPr>
                          <w:bCs/>
                          <w:sz w:val="24"/>
                          <w:szCs w:val="24"/>
                          <w:lang w:val="en-US"/>
                        </w:rPr>
                        <w:t xml:space="preserve"> and </w:t>
                      </w:r>
                      <w:r w:rsidRPr="00C66B50">
                        <w:rPr>
                          <w:bCs/>
                          <w:sz w:val="24"/>
                          <w:szCs w:val="24"/>
                          <w:lang w:val="en-US"/>
                        </w:rPr>
                        <w:t>scaffolding incidents were categorized as Lost Time Injuries (LTIs).</w:t>
                      </w:r>
                    </w:p>
                    <w:p w14:paraId="6A052575" w14:textId="77777777" w:rsidR="00762C79" w:rsidRPr="00C66B50" w:rsidRDefault="00762C79" w:rsidP="00D510E3">
                      <w:pPr>
                        <w:pStyle w:val="ListParagraph"/>
                        <w:numPr>
                          <w:ilvl w:val="0"/>
                          <w:numId w:val="1"/>
                        </w:numPr>
                        <w:rPr>
                          <w:sz w:val="24"/>
                          <w:szCs w:val="24"/>
                          <w:lang w:val="en-US"/>
                        </w:rPr>
                      </w:pPr>
                      <w:r>
                        <w:rPr>
                          <w:b/>
                          <w:bCs/>
                          <w:sz w:val="24"/>
                          <w:szCs w:val="24"/>
                          <w:lang w:val="en-US"/>
                        </w:rPr>
                        <w:t>11 per cent</w:t>
                      </w:r>
                      <w:r w:rsidRPr="00C66B50">
                        <w:rPr>
                          <w:bCs/>
                          <w:sz w:val="24"/>
                          <w:szCs w:val="24"/>
                          <w:lang w:val="en-US"/>
                        </w:rPr>
                        <w:t xml:space="preserve"> of mobile plant incidents were categorized as Medically Treated Injuries (MTIs), while </w:t>
                      </w:r>
                      <w:r w:rsidRPr="00C66B50">
                        <w:rPr>
                          <w:b/>
                          <w:bCs/>
                          <w:sz w:val="24"/>
                          <w:szCs w:val="24"/>
                          <w:lang w:val="en-US"/>
                        </w:rPr>
                        <w:t>3</w:t>
                      </w:r>
                      <w:r>
                        <w:rPr>
                          <w:b/>
                          <w:bCs/>
                          <w:sz w:val="24"/>
                          <w:szCs w:val="24"/>
                          <w:lang w:val="en-US"/>
                        </w:rPr>
                        <w:t>2 per cent</w:t>
                      </w:r>
                      <w:r w:rsidRPr="00C66B50">
                        <w:rPr>
                          <w:bCs/>
                          <w:sz w:val="24"/>
                          <w:szCs w:val="24"/>
                          <w:lang w:val="en-US"/>
                        </w:rPr>
                        <w:t xml:space="preserve"> of scaffolding incidents were MTIs.</w:t>
                      </w:r>
                    </w:p>
                    <w:p w14:paraId="627AE147" w14:textId="77777777" w:rsidR="00762C79" w:rsidRPr="00C66B50" w:rsidRDefault="00762C79" w:rsidP="00D510E3">
                      <w:pPr>
                        <w:pStyle w:val="ListParagraph"/>
                        <w:numPr>
                          <w:ilvl w:val="0"/>
                          <w:numId w:val="1"/>
                        </w:numPr>
                        <w:rPr>
                          <w:sz w:val="24"/>
                          <w:szCs w:val="24"/>
                          <w:lang w:val="en-US"/>
                        </w:rPr>
                      </w:pPr>
                      <w:r>
                        <w:rPr>
                          <w:sz w:val="24"/>
                          <w:szCs w:val="24"/>
                          <w:lang w:val="en-US"/>
                        </w:rPr>
                        <w:t>N</w:t>
                      </w:r>
                      <w:r w:rsidRPr="00C66B50">
                        <w:rPr>
                          <w:sz w:val="24"/>
                          <w:szCs w:val="24"/>
                          <w:lang w:val="en-US"/>
                        </w:rPr>
                        <w:t xml:space="preserve">o fatalities </w:t>
                      </w:r>
                      <w:r>
                        <w:rPr>
                          <w:sz w:val="24"/>
                          <w:szCs w:val="24"/>
                          <w:lang w:val="en-US"/>
                        </w:rPr>
                        <w:t xml:space="preserve">were </w:t>
                      </w:r>
                      <w:r w:rsidRPr="00C66B50">
                        <w:rPr>
                          <w:sz w:val="24"/>
                          <w:szCs w:val="24"/>
                          <w:lang w:val="en-US"/>
                        </w:rPr>
                        <w:t>reported against either</w:t>
                      </w:r>
                      <w:r>
                        <w:rPr>
                          <w:sz w:val="24"/>
                          <w:szCs w:val="24"/>
                          <w:lang w:val="en-US"/>
                        </w:rPr>
                        <w:t xml:space="preserve"> high-risk</w:t>
                      </w:r>
                      <w:r w:rsidRPr="00C66B50">
                        <w:rPr>
                          <w:sz w:val="24"/>
                          <w:szCs w:val="24"/>
                          <w:lang w:val="en-US"/>
                        </w:rPr>
                        <w:t xml:space="preserve"> hazard.</w:t>
                      </w:r>
                    </w:p>
                  </w:txbxContent>
                </v:textbox>
              </v:shape>
            </w:pict>
          </mc:Fallback>
        </mc:AlternateContent>
      </w:r>
      <w:r>
        <w:t xml:space="preserve">Hazard 2020 </w:t>
      </w:r>
      <w:r w:rsidRPr="00DD6B9C">
        <w:t xml:space="preserve">Incident Reports </w:t>
      </w:r>
      <w:r>
        <w:t>- Overview</w:t>
      </w:r>
      <w:bookmarkEnd w:id="11"/>
    </w:p>
    <w:p w14:paraId="2F7DA15C" w14:textId="77777777" w:rsidR="00D510E3" w:rsidRDefault="00D510E3" w:rsidP="00D510E3">
      <w:pPr>
        <w:spacing w:before="120"/>
        <w:rPr>
          <w:sz w:val="28"/>
          <w:szCs w:val="28"/>
          <w:lang w:val="en-US"/>
        </w:rPr>
      </w:pPr>
    </w:p>
    <w:p w14:paraId="01A4072A" w14:textId="77777777" w:rsidR="00D510E3" w:rsidRPr="00743D71" w:rsidRDefault="00D510E3" w:rsidP="00D510E3">
      <w:pPr>
        <w:tabs>
          <w:tab w:val="left" w:pos="7560"/>
          <w:tab w:val="right" w:pos="9026"/>
        </w:tabs>
        <w:spacing w:before="120"/>
        <w:rPr>
          <w:sz w:val="28"/>
          <w:szCs w:val="28"/>
          <w:lang w:val="en-US"/>
        </w:rPr>
      </w:pPr>
      <w:r>
        <w:rPr>
          <w:sz w:val="28"/>
          <w:szCs w:val="28"/>
          <w:lang w:val="en-US"/>
        </w:rPr>
        <w:tab/>
      </w:r>
      <w:r>
        <w:rPr>
          <w:sz w:val="28"/>
          <w:szCs w:val="28"/>
          <w:lang w:val="en-US"/>
        </w:rPr>
        <w:tab/>
      </w:r>
    </w:p>
    <w:p w14:paraId="0CB38757" w14:textId="77777777" w:rsidR="00D510E3" w:rsidRDefault="00D510E3" w:rsidP="00D510E3">
      <w:pPr>
        <w:rPr>
          <w:b/>
          <w:bCs/>
          <w:sz w:val="28"/>
          <w:szCs w:val="28"/>
          <w:lang w:val="en-US"/>
        </w:rPr>
      </w:pPr>
      <w:r>
        <w:rPr>
          <w:noProof/>
          <w:lang w:eastAsia="en-AU"/>
        </w:rPr>
        <w:drawing>
          <wp:anchor distT="0" distB="0" distL="114300" distR="114300" simplePos="0" relativeHeight="251756032" behindDoc="1" locked="0" layoutInCell="1" allowOverlap="1" wp14:anchorId="6750D6A9" wp14:editId="23480DDA">
            <wp:simplePos x="0" y="0"/>
            <wp:positionH relativeFrom="column">
              <wp:posOffset>2379345</wp:posOffset>
            </wp:positionH>
            <wp:positionV relativeFrom="paragraph">
              <wp:posOffset>1998861</wp:posOffset>
            </wp:positionV>
            <wp:extent cx="4572000" cy="3071004"/>
            <wp:effectExtent l="0" t="0" r="0" b="0"/>
            <wp:wrapNone/>
            <wp:docPr id="129" name="Chart 129">
              <a:extLst xmlns:a="http://schemas.openxmlformats.org/drawingml/2006/main">
                <a:ext uri="{FF2B5EF4-FFF2-40B4-BE49-F238E27FC236}">
                  <a16:creationId xmlns:a16="http://schemas.microsoft.com/office/drawing/2014/main" id="{FF608E0F-8FAC-4467-B80C-84D0E04D34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55008" behindDoc="0" locked="0" layoutInCell="1" allowOverlap="1" wp14:anchorId="1E4832B9" wp14:editId="52CEA478">
            <wp:simplePos x="0" y="0"/>
            <wp:positionH relativeFrom="column">
              <wp:posOffset>9525</wp:posOffset>
            </wp:positionH>
            <wp:positionV relativeFrom="paragraph">
              <wp:posOffset>1153795</wp:posOffset>
            </wp:positionV>
            <wp:extent cx="3181350" cy="3086100"/>
            <wp:effectExtent l="0" t="0" r="0" b="0"/>
            <wp:wrapNone/>
            <wp:docPr id="130" name="Chart 130">
              <a:extLst xmlns:a="http://schemas.openxmlformats.org/drawingml/2006/main">
                <a:ext uri="{FF2B5EF4-FFF2-40B4-BE49-F238E27FC236}">
                  <a16:creationId xmlns:a16="http://schemas.microsoft.com/office/drawing/2014/main" id="{5341C3D9-DCDD-4DA9-80C5-752E94E5D4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br w:type="page"/>
      </w:r>
    </w:p>
    <w:p w14:paraId="5E5BC71B" w14:textId="77777777" w:rsidR="00D510E3" w:rsidRDefault="006A09DC">
      <w:pPr>
        <w:rPr>
          <w:lang w:val="en-US"/>
        </w:rPr>
      </w:pPr>
      <w:r w:rsidRPr="004C1825">
        <w:rPr>
          <w:noProof/>
          <w:sz w:val="56"/>
          <w:szCs w:val="56"/>
          <w:lang w:eastAsia="en-AU"/>
        </w:rPr>
        <w:lastRenderedPageBreak/>
        <w:drawing>
          <wp:anchor distT="0" distB="0" distL="114300" distR="114300" simplePos="0" relativeHeight="251742720" behindDoc="1" locked="0" layoutInCell="1" allowOverlap="1" wp14:anchorId="5C887173" wp14:editId="67A1EB9F">
            <wp:simplePos x="0" y="0"/>
            <wp:positionH relativeFrom="page">
              <wp:posOffset>-608965</wp:posOffset>
            </wp:positionH>
            <wp:positionV relativeFrom="paragraph">
              <wp:posOffset>-1484630</wp:posOffset>
            </wp:positionV>
            <wp:extent cx="11296650" cy="8474710"/>
            <wp:effectExtent l="0" t="0" r="0" b="2540"/>
            <wp:wrapNone/>
            <wp:docPr id="56" name="Picture 56" descr="Decorative"/>
            <wp:cNvGraphicFramePr/>
            <a:graphic xmlns:a="http://schemas.openxmlformats.org/drawingml/2006/main">
              <a:graphicData uri="http://schemas.openxmlformats.org/drawingml/2006/picture">
                <pic:pic xmlns:pic="http://schemas.openxmlformats.org/drawingml/2006/picture">
                  <pic:nvPicPr>
                    <pic:cNvPr id="3" name="Picture 3" descr="Decorative"/>
                    <pic:cNvPicPr/>
                  </pic:nvPicPr>
                  <pic:blipFill>
                    <a:blip r:embed="rId10">
                      <a:extLst>
                        <a:ext uri="{28A0092B-C50C-407E-A947-70E740481C1C}">
                          <a14:useLocalDpi xmlns:a14="http://schemas.microsoft.com/office/drawing/2010/main" val="0"/>
                        </a:ext>
                      </a:extLst>
                    </a:blip>
                    <a:stretch>
                      <a:fillRect/>
                    </a:stretch>
                  </pic:blipFill>
                  <pic:spPr bwMode="auto">
                    <a:xfrm>
                      <a:off x="0" y="0"/>
                      <a:ext cx="11296650" cy="847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24C7D" w14:textId="77777777" w:rsidR="00D510E3" w:rsidRDefault="006A09DC" w:rsidP="00B270DE">
      <w:pPr>
        <w:rPr>
          <w:lang w:val="en-US"/>
        </w:rPr>
      </w:pPr>
      <w:r>
        <w:rPr>
          <w:noProof/>
          <w:lang w:eastAsia="en-AU"/>
        </w:rPr>
        <w:drawing>
          <wp:anchor distT="0" distB="0" distL="114300" distR="114300" simplePos="0" relativeHeight="251744768" behindDoc="1" locked="0" layoutInCell="1" allowOverlap="1" wp14:anchorId="1F058A54" wp14:editId="32988877">
            <wp:simplePos x="0" y="0"/>
            <wp:positionH relativeFrom="margin">
              <wp:align>right</wp:align>
            </wp:positionH>
            <wp:positionV relativeFrom="paragraph">
              <wp:posOffset>14955</wp:posOffset>
            </wp:positionV>
            <wp:extent cx="1615440" cy="1615440"/>
            <wp:effectExtent l="0" t="0" r="3810" b="3810"/>
            <wp:wrapNone/>
            <wp:docPr id="59" name="Picture 59" descr="OFSC Symbol Red &amp; White opaque surround"/>
            <wp:cNvGraphicFramePr/>
            <a:graphic xmlns:a="http://schemas.openxmlformats.org/drawingml/2006/main">
              <a:graphicData uri="http://schemas.openxmlformats.org/drawingml/2006/picture">
                <pic:pic xmlns:pic="http://schemas.openxmlformats.org/drawingml/2006/picture">
                  <pic:nvPicPr>
                    <pic:cNvPr id="7" name="Picture 7" descr="OFSC Symbol Red &amp; White opaque surround"/>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pic:spPr>
                </pic:pic>
              </a:graphicData>
            </a:graphic>
            <wp14:sizeRelH relativeFrom="page">
              <wp14:pctWidth>0</wp14:pctWidth>
            </wp14:sizeRelH>
            <wp14:sizeRelV relativeFrom="page">
              <wp14:pctHeight>0</wp14:pctHeight>
            </wp14:sizeRelV>
          </wp:anchor>
        </w:drawing>
      </w:r>
    </w:p>
    <w:p w14:paraId="476D01F8" w14:textId="77777777" w:rsidR="00E140E3" w:rsidRDefault="00E140E3">
      <w:pPr>
        <w:rPr>
          <w:lang w:val="en-US"/>
        </w:rPr>
      </w:pPr>
      <w:r>
        <w:rPr>
          <w:noProof/>
          <w:lang w:eastAsia="en-AU"/>
        </w:rPr>
        <mc:AlternateContent>
          <mc:Choice Requires="wps">
            <w:drawing>
              <wp:anchor distT="45720" distB="45720" distL="114300" distR="114300" simplePos="0" relativeHeight="251748864" behindDoc="0" locked="0" layoutInCell="1" allowOverlap="1" wp14:anchorId="20B80FCE" wp14:editId="35FD019B">
                <wp:simplePos x="0" y="0"/>
                <wp:positionH relativeFrom="margin">
                  <wp:posOffset>1059180</wp:posOffset>
                </wp:positionH>
                <wp:positionV relativeFrom="paragraph">
                  <wp:posOffset>2883535</wp:posOffset>
                </wp:positionV>
                <wp:extent cx="8718550" cy="982345"/>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0" cy="982345"/>
                        </a:xfrm>
                        <a:prstGeom prst="rect">
                          <a:avLst/>
                        </a:prstGeom>
                        <a:noFill/>
                        <a:ln w="9525">
                          <a:noFill/>
                          <a:miter lim="800000"/>
                          <a:headEnd/>
                          <a:tailEnd/>
                        </a:ln>
                      </wps:spPr>
                      <wps:txbx>
                        <w:txbxContent>
                          <w:p w14:paraId="5C1D64A1" w14:textId="77777777" w:rsidR="00762C79" w:rsidRPr="008122C1" w:rsidRDefault="00762C79" w:rsidP="008122C1">
                            <w:pPr>
                              <w:pStyle w:val="Heading1"/>
                              <w:jc w:val="right"/>
                              <w:rPr>
                                <w:color w:val="FFFFFF" w:themeColor="background1"/>
                                <w:sz w:val="72"/>
                                <w:szCs w:val="72"/>
                              </w:rPr>
                            </w:pPr>
                            <w:bookmarkStart w:id="12" w:name="_Toc81917920"/>
                            <w:r w:rsidRPr="008122C1">
                              <w:rPr>
                                <w:color w:val="FFFFFF" w:themeColor="background1"/>
                                <w:sz w:val="72"/>
                                <w:szCs w:val="72"/>
                              </w:rPr>
                              <w:t>Mobile Plant Update</w:t>
                            </w:r>
                            <w:bookmarkEnd w:id="12"/>
                            <w:r w:rsidRPr="008122C1">
                              <w:rPr>
                                <w:color w:val="FFFFFF" w:themeColor="background1"/>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80FCE" id="_x0000_s1029" type="#_x0000_t202" style="position:absolute;margin-left:83.4pt;margin-top:227.05pt;width:686.5pt;height:77.35pt;z-index:25174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" filled="f" stroked="f">
                <v:textbox>
                  <w:txbxContent>
                    <w:p w14:paraId="5C1D64A1" w14:textId="77777777" w:rsidR="00762C79" w:rsidRPr="008122C1" w:rsidRDefault="00762C79" w:rsidP="008122C1">
                      <w:pPr>
                        <w:pStyle w:val="Heading1"/>
                        <w:jc w:val="right"/>
                        <w:rPr>
                          <w:color w:val="FFFFFF" w:themeColor="background1"/>
                          <w:sz w:val="72"/>
                          <w:szCs w:val="72"/>
                        </w:rPr>
                      </w:pPr>
                      <w:bookmarkStart w:id="13" w:name="_Toc81917920"/>
                      <w:r w:rsidRPr="008122C1">
                        <w:rPr>
                          <w:color w:val="FFFFFF" w:themeColor="background1"/>
                          <w:sz w:val="72"/>
                          <w:szCs w:val="72"/>
                        </w:rPr>
                        <w:t>Mobile Plant Update</w:t>
                      </w:r>
                      <w:bookmarkEnd w:id="13"/>
                      <w:r w:rsidRPr="008122C1">
                        <w:rPr>
                          <w:color w:val="FFFFFF" w:themeColor="background1"/>
                          <w:sz w:val="72"/>
                          <w:szCs w:val="72"/>
                        </w:rPr>
                        <w:t xml:space="preserve"> </w:t>
                      </w:r>
                    </w:p>
                  </w:txbxContent>
                </v:textbox>
                <w10:wrap type="square" anchorx="margin"/>
              </v:shape>
            </w:pict>
          </mc:Fallback>
        </mc:AlternateContent>
      </w:r>
      <w:r>
        <w:rPr>
          <w:lang w:val="en-US"/>
        </w:rPr>
        <w:br w:type="page"/>
      </w:r>
    </w:p>
    <w:p w14:paraId="3BF16788" w14:textId="09797244" w:rsidR="002509C3" w:rsidRPr="009B7C34" w:rsidRDefault="006C7AC4" w:rsidP="009078DC">
      <w:pPr>
        <w:pStyle w:val="Heading1"/>
      </w:pPr>
      <w:bookmarkStart w:id="14" w:name="_Toc81917921"/>
      <w:r>
        <w:rPr>
          <w:noProof/>
          <w:lang w:val="en-AU" w:eastAsia="en-AU"/>
        </w:rPr>
        <w:lastRenderedPageBreak/>
        <w:drawing>
          <wp:anchor distT="0" distB="0" distL="114300" distR="114300" simplePos="0" relativeHeight="251702784" behindDoc="1" locked="0" layoutInCell="1" allowOverlap="1" wp14:anchorId="0035C79B" wp14:editId="29D07FBD">
            <wp:simplePos x="0" y="0"/>
            <wp:positionH relativeFrom="column">
              <wp:posOffset>5105400</wp:posOffset>
            </wp:positionH>
            <wp:positionV relativeFrom="paragraph">
              <wp:posOffset>1236980</wp:posOffset>
            </wp:positionV>
            <wp:extent cx="4843145" cy="5287645"/>
            <wp:effectExtent l="0" t="0" r="0" b="0"/>
            <wp:wrapNone/>
            <wp:docPr id="3" name="Chart 3">
              <a:extLst xmlns:a="http://schemas.openxmlformats.org/drawingml/2006/main">
                <a:ext uri="{FF2B5EF4-FFF2-40B4-BE49-F238E27FC236}">
                  <a16:creationId xmlns:a16="http://schemas.microsoft.com/office/drawing/2014/main" id="{90978BCB-4968-4C6D-A604-35BFA1BA7B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84747E">
        <w:rPr>
          <w:noProof/>
          <w:lang w:val="en-AU" w:eastAsia="en-AU"/>
        </w:rPr>
        <mc:AlternateContent>
          <mc:Choice Requires="wps">
            <w:drawing>
              <wp:anchor distT="0" distB="0" distL="114300" distR="114300" simplePos="0" relativeHeight="251704832" behindDoc="0" locked="0" layoutInCell="1" allowOverlap="1" wp14:anchorId="3726D49D" wp14:editId="2C2869AB">
                <wp:simplePos x="0" y="0"/>
                <wp:positionH relativeFrom="column">
                  <wp:posOffset>4933950</wp:posOffset>
                </wp:positionH>
                <wp:positionV relativeFrom="paragraph">
                  <wp:posOffset>104775</wp:posOffset>
                </wp:positionV>
                <wp:extent cx="4985708" cy="11144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985708" cy="1114425"/>
                        </a:xfrm>
                        <a:prstGeom prst="rect">
                          <a:avLst/>
                        </a:prstGeom>
                        <a:noFill/>
                        <a:ln w="6350">
                          <a:noFill/>
                        </a:ln>
                      </wps:spPr>
                      <wps:txbx>
                        <w:txbxContent>
                          <w:p w14:paraId="197FBC2D" w14:textId="5186C036" w:rsidR="00762C79" w:rsidRPr="00D30730" w:rsidRDefault="00762C79" w:rsidP="00E70832">
                            <w:pPr>
                              <w:pStyle w:val="ListParagraph"/>
                              <w:numPr>
                                <w:ilvl w:val="0"/>
                                <w:numId w:val="1"/>
                              </w:numPr>
                              <w:ind w:left="426" w:hanging="284"/>
                              <w:rPr>
                                <w:sz w:val="24"/>
                                <w:szCs w:val="24"/>
                                <w:lang w:val="en-US"/>
                              </w:rPr>
                            </w:pPr>
                            <w:r w:rsidRPr="00D30730">
                              <w:rPr>
                                <w:sz w:val="24"/>
                                <w:szCs w:val="24"/>
                                <w:lang w:val="en-US"/>
                              </w:rPr>
                              <w:t xml:space="preserve">The OFSC reviewed </w:t>
                            </w:r>
                            <w:r w:rsidRPr="00D30730">
                              <w:rPr>
                                <w:b/>
                                <w:bCs/>
                                <w:sz w:val="24"/>
                                <w:szCs w:val="24"/>
                                <w:lang w:val="en-US"/>
                              </w:rPr>
                              <w:t>2028</w:t>
                            </w:r>
                            <w:r w:rsidRPr="00D30730">
                              <w:rPr>
                                <w:sz w:val="24"/>
                                <w:szCs w:val="24"/>
                                <w:lang w:val="en-US"/>
                              </w:rPr>
                              <w:t xml:space="preserve"> mobile plant sub-criteria, issuing </w:t>
                            </w:r>
                            <w:r w:rsidRPr="00D30730">
                              <w:rPr>
                                <w:b/>
                                <w:bCs/>
                                <w:sz w:val="24"/>
                                <w:szCs w:val="24"/>
                                <w:lang w:val="en-US"/>
                              </w:rPr>
                              <w:t>454</w:t>
                            </w:r>
                            <w:r w:rsidRPr="00D30730">
                              <w:rPr>
                                <w:sz w:val="24"/>
                                <w:szCs w:val="24"/>
                                <w:lang w:val="en-US"/>
                              </w:rPr>
                              <w:t xml:space="preserve"> CARs</w:t>
                            </w:r>
                            <w:r>
                              <w:rPr>
                                <w:sz w:val="24"/>
                                <w:szCs w:val="24"/>
                                <w:lang w:val="en-US"/>
                              </w:rPr>
                              <w:t xml:space="preserve"> to the end of May 2021</w:t>
                            </w:r>
                            <w:r w:rsidRPr="00D30730">
                              <w:rPr>
                                <w:sz w:val="24"/>
                                <w:szCs w:val="24"/>
                                <w:lang w:val="en-US"/>
                              </w:rPr>
                              <w:t>.</w:t>
                            </w:r>
                          </w:p>
                          <w:p w14:paraId="5462DA25" w14:textId="4C4064D9" w:rsidR="00762C79" w:rsidRPr="0029787C" w:rsidRDefault="00762C79" w:rsidP="00E70832">
                            <w:pPr>
                              <w:pStyle w:val="ListParagraph"/>
                              <w:numPr>
                                <w:ilvl w:val="0"/>
                                <w:numId w:val="1"/>
                              </w:numPr>
                              <w:ind w:left="426" w:hanging="284"/>
                              <w:rPr>
                                <w:sz w:val="24"/>
                                <w:szCs w:val="24"/>
                                <w:lang w:val="en-US"/>
                              </w:rPr>
                            </w:pPr>
                            <w:r>
                              <w:rPr>
                                <w:sz w:val="24"/>
                                <w:szCs w:val="24"/>
                                <w:lang w:val="en-US"/>
                              </w:rPr>
                              <w:t xml:space="preserve">Non-compliance with mobile plant sub-criteria </w:t>
                            </w:r>
                            <w:r w:rsidRPr="00D30730">
                              <w:rPr>
                                <w:sz w:val="24"/>
                                <w:szCs w:val="24"/>
                                <w:lang w:val="en-US"/>
                              </w:rPr>
                              <w:t xml:space="preserve">during </w:t>
                            </w:r>
                            <w:r>
                              <w:rPr>
                                <w:sz w:val="24"/>
                                <w:szCs w:val="24"/>
                                <w:lang w:val="en-US"/>
                              </w:rPr>
                              <w:t>this period</w:t>
                            </w:r>
                            <w:r w:rsidRPr="00D30730">
                              <w:rPr>
                                <w:sz w:val="24"/>
                                <w:szCs w:val="24"/>
                                <w:lang w:val="en-US"/>
                              </w:rPr>
                              <w:t xml:space="preserve"> </w:t>
                            </w:r>
                            <w:r>
                              <w:rPr>
                                <w:sz w:val="24"/>
                                <w:szCs w:val="24"/>
                                <w:lang w:val="en-US"/>
                              </w:rPr>
                              <w:t>was</w:t>
                            </w:r>
                            <w:r w:rsidRPr="00D30730">
                              <w:rPr>
                                <w:sz w:val="24"/>
                                <w:szCs w:val="24"/>
                                <w:lang w:val="en-US"/>
                              </w:rPr>
                              <w:t xml:space="preserve"> </w:t>
                            </w:r>
                            <w:r w:rsidRPr="00D30730">
                              <w:rPr>
                                <w:b/>
                                <w:bCs/>
                                <w:sz w:val="24"/>
                                <w:szCs w:val="24"/>
                                <w:lang w:val="en-US"/>
                              </w:rPr>
                              <w:t>22.4</w:t>
                            </w:r>
                            <w:r>
                              <w:rPr>
                                <w:b/>
                                <w:bCs/>
                                <w:sz w:val="24"/>
                                <w:szCs w:val="24"/>
                                <w:lang w:val="en-US"/>
                              </w:rPr>
                              <w:t xml:space="preserve"> per cent</w:t>
                            </w:r>
                            <w:r w:rsidRPr="00D30730">
                              <w:rPr>
                                <w:sz w:val="24"/>
                                <w:szCs w:val="24"/>
                                <w:lang w:val="en-US"/>
                              </w:rPr>
                              <w:t xml:space="preserve">, which is </w:t>
                            </w:r>
                            <w:r w:rsidRPr="00D30730">
                              <w:rPr>
                                <w:b/>
                                <w:bCs/>
                                <w:sz w:val="24"/>
                                <w:szCs w:val="24"/>
                                <w:lang w:val="en-US"/>
                              </w:rPr>
                              <w:t>1.3</w:t>
                            </w:r>
                            <w:r>
                              <w:rPr>
                                <w:sz w:val="24"/>
                                <w:szCs w:val="24"/>
                                <w:lang w:val="en-US"/>
                              </w:rPr>
                              <w:t xml:space="preserve"> per</w:t>
                            </w:r>
                            <w:r w:rsidRPr="00D30730">
                              <w:rPr>
                                <w:sz w:val="24"/>
                                <w:szCs w:val="24"/>
                                <w:lang w:val="en-US"/>
                              </w:rPr>
                              <w:t>centage points lower than the previous three-year average from 2017-2019.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6D49D" id="Text Box 18" o:spid="_x0000_s1030" type="#_x0000_t202" style="position:absolute;margin-left:388.5pt;margin-top:8.25pt;width:392.6pt;height:87.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" filled="f" stroked="f" strokeweight=".5pt">
                <v:textbox>
                  <w:txbxContent>
                    <w:p w14:paraId="197FBC2D" w14:textId="5186C036" w:rsidR="00762C79" w:rsidRPr="00D30730" w:rsidRDefault="00762C79" w:rsidP="00E70832">
                      <w:pPr>
                        <w:pStyle w:val="ListParagraph"/>
                        <w:numPr>
                          <w:ilvl w:val="0"/>
                          <w:numId w:val="1"/>
                        </w:numPr>
                        <w:ind w:left="426" w:hanging="284"/>
                        <w:rPr>
                          <w:sz w:val="24"/>
                          <w:szCs w:val="24"/>
                          <w:lang w:val="en-US"/>
                        </w:rPr>
                      </w:pPr>
                      <w:r w:rsidRPr="00D30730">
                        <w:rPr>
                          <w:sz w:val="24"/>
                          <w:szCs w:val="24"/>
                          <w:lang w:val="en-US"/>
                        </w:rPr>
                        <w:t xml:space="preserve">The OFSC reviewed </w:t>
                      </w:r>
                      <w:r w:rsidRPr="00D30730">
                        <w:rPr>
                          <w:b/>
                          <w:bCs/>
                          <w:sz w:val="24"/>
                          <w:szCs w:val="24"/>
                          <w:lang w:val="en-US"/>
                        </w:rPr>
                        <w:t>2028</w:t>
                      </w:r>
                      <w:r w:rsidRPr="00D30730">
                        <w:rPr>
                          <w:sz w:val="24"/>
                          <w:szCs w:val="24"/>
                          <w:lang w:val="en-US"/>
                        </w:rPr>
                        <w:t xml:space="preserve"> mobile plant sub-criteria, issuing </w:t>
                      </w:r>
                      <w:r w:rsidRPr="00D30730">
                        <w:rPr>
                          <w:b/>
                          <w:bCs/>
                          <w:sz w:val="24"/>
                          <w:szCs w:val="24"/>
                          <w:lang w:val="en-US"/>
                        </w:rPr>
                        <w:t>454</w:t>
                      </w:r>
                      <w:r w:rsidRPr="00D30730">
                        <w:rPr>
                          <w:sz w:val="24"/>
                          <w:szCs w:val="24"/>
                          <w:lang w:val="en-US"/>
                        </w:rPr>
                        <w:t xml:space="preserve"> CARs</w:t>
                      </w:r>
                      <w:r>
                        <w:rPr>
                          <w:sz w:val="24"/>
                          <w:szCs w:val="24"/>
                          <w:lang w:val="en-US"/>
                        </w:rPr>
                        <w:t xml:space="preserve"> to the end of May 2021</w:t>
                      </w:r>
                      <w:r w:rsidRPr="00D30730">
                        <w:rPr>
                          <w:sz w:val="24"/>
                          <w:szCs w:val="24"/>
                          <w:lang w:val="en-US"/>
                        </w:rPr>
                        <w:t>.</w:t>
                      </w:r>
                    </w:p>
                    <w:p w14:paraId="5462DA25" w14:textId="4C4064D9" w:rsidR="00762C79" w:rsidRPr="0029787C" w:rsidRDefault="00762C79" w:rsidP="00E70832">
                      <w:pPr>
                        <w:pStyle w:val="ListParagraph"/>
                        <w:numPr>
                          <w:ilvl w:val="0"/>
                          <w:numId w:val="1"/>
                        </w:numPr>
                        <w:ind w:left="426" w:hanging="284"/>
                        <w:rPr>
                          <w:sz w:val="24"/>
                          <w:szCs w:val="24"/>
                          <w:lang w:val="en-US"/>
                        </w:rPr>
                      </w:pPr>
                      <w:r>
                        <w:rPr>
                          <w:sz w:val="24"/>
                          <w:szCs w:val="24"/>
                          <w:lang w:val="en-US"/>
                        </w:rPr>
                        <w:t xml:space="preserve">Non-compliance with mobile plant sub-criteria </w:t>
                      </w:r>
                      <w:r w:rsidRPr="00D30730">
                        <w:rPr>
                          <w:sz w:val="24"/>
                          <w:szCs w:val="24"/>
                          <w:lang w:val="en-US"/>
                        </w:rPr>
                        <w:t xml:space="preserve">during </w:t>
                      </w:r>
                      <w:r>
                        <w:rPr>
                          <w:sz w:val="24"/>
                          <w:szCs w:val="24"/>
                          <w:lang w:val="en-US"/>
                        </w:rPr>
                        <w:t>this period</w:t>
                      </w:r>
                      <w:r w:rsidRPr="00D30730">
                        <w:rPr>
                          <w:sz w:val="24"/>
                          <w:szCs w:val="24"/>
                          <w:lang w:val="en-US"/>
                        </w:rPr>
                        <w:t xml:space="preserve"> </w:t>
                      </w:r>
                      <w:r>
                        <w:rPr>
                          <w:sz w:val="24"/>
                          <w:szCs w:val="24"/>
                          <w:lang w:val="en-US"/>
                        </w:rPr>
                        <w:t>was</w:t>
                      </w:r>
                      <w:r w:rsidRPr="00D30730">
                        <w:rPr>
                          <w:sz w:val="24"/>
                          <w:szCs w:val="24"/>
                          <w:lang w:val="en-US"/>
                        </w:rPr>
                        <w:t xml:space="preserve"> </w:t>
                      </w:r>
                      <w:r w:rsidRPr="00D30730">
                        <w:rPr>
                          <w:b/>
                          <w:bCs/>
                          <w:sz w:val="24"/>
                          <w:szCs w:val="24"/>
                          <w:lang w:val="en-US"/>
                        </w:rPr>
                        <w:t>22.4</w:t>
                      </w:r>
                      <w:r>
                        <w:rPr>
                          <w:b/>
                          <w:bCs/>
                          <w:sz w:val="24"/>
                          <w:szCs w:val="24"/>
                          <w:lang w:val="en-US"/>
                        </w:rPr>
                        <w:t xml:space="preserve"> per cent</w:t>
                      </w:r>
                      <w:r w:rsidRPr="00D30730">
                        <w:rPr>
                          <w:sz w:val="24"/>
                          <w:szCs w:val="24"/>
                          <w:lang w:val="en-US"/>
                        </w:rPr>
                        <w:t xml:space="preserve">, which is </w:t>
                      </w:r>
                      <w:r w:rsidRPr="00D30730">
                        <w:rPr>
                          <w:b/>
                          <w:bCs/>
                          <w:sz w:val="24"/>
                          <w:szCs w:val="24"/>
                          <w:lang w:val="en-US"/>
                        </w:rPr>
                        <w:t>1.3</w:t>
                      </w:r>
                      <w:r>
                        <w:rPr>
                          <w:sz w:val="24"/>
                          <w:szCs w:val="24"/>
                          <w:lang w:val="en-US"/>
                        </w:rPr>
                        <w:t xml:space="preserve"> per</w:t>
                      </w:r>
                      <w:r w:rsidRPr="00D30730">
                        <w:rPr>
                          <w:sz w:val="24"/>
                          <w:szCs w:val="24"/>
                          <w:lang w:val="en-US"/>
                        </w:rPr>
                        <w:t>centage points lower than the previous three-year average from 2017-2019.</w:t>
                      </w:r>
                    </w:p>
                  </w:txbxContent>
                </v:textbox>
              </v:shape>
            </w:pict>
          </mc:Fallback>
        </mc:AlternateContent>
      </w:r>
      <w:r w:rsidR="002509C3" w:rsidRPr="009B7C34">
        <w:t>Mobile Plant</w:t>
      </w:r>
      <w:r w:rsidR="008B4EB6">
        <w:t xml:space="preserve"> – Corrective Action Reports Issued</w:t>
      </w:r>
      <w:bookmarkEnd w:id="14"/>
    </w:p>
    <w:tbl>
      <w:tblPr>
        <w:tblpPr w:leftFromText="180" w:rightFromText="180" w:vertAnchor="text" w:tblpY="1"/>
        <w:tblOverlap w:val="never"/>
        <w:tblW w:w="7792" w:type="dxa"/>
        <w:tblLook w:val="04A0" w:firstRow="1" w:lastRow="0" w:firstColumn="1" w:lastColumn="0" w:noHBand="0" w:noVBand="1"/>
      </w:tblPr>
      <w:tblGrid>
        <w:gridCol w:w="880"/>
        <w:gridCol w:w="6912"/>
      </w:tblGrid>
      <w:tr w:rsidR="0029787C" w:rsidRPr="007F78C4" w14:paraId="03E1FA35" w14:textId="77777777" w:rsidTr="006C7AC4">
        <w:trPr>
          <w:trHeight w:val="416"/>
        </w:trPr>
        <w:tc>
          <w:tcPr>
            <w:tcW w:w="7792" w:type="dxa"/>
            <w:gridSpan w:val="2"/>
            <w:tcBorders>
              <w:top w:val="single" w:sz="4" w:space="0" w:color="auto"/>
              <w:left w:val="single" w:sz="4" w:space="0" w:color="auto"/>
              <w:bottom w:val="single" w:sz="4" w:space="0" w:color="auto"/>
              <w:right w:val="single" w:sz="4" w:space="0" w:color="auto"/>
            </w:tcBorders>
            <w:shd w:val="clear" w:color="auto" w:fill="C00000"/>
            <w:noWrap/>
            <w:vAlign w:val="center"/>
          </w:tcPr>
          <w:p w14:paraId="371D8E1F" w14:textId="77777777" w:rsidR="0029787C" w:rsidRPr="0029787C" w:rsidRDefault="0029787C">
            <w:pPr>
              <w:jc w:val="center"/>
              <w:rPr>
                <w:rFonts w:ascii="Calibri" w:eastAsia="Times New Roman" w:hAnsi="Calibri" w:cs="Calibri"/>
                <w:color w:val="000000"/>
                <w:sz w:val="28"/>
                <w:szCs w:val="28"/>
                <w:lang w:eastAsia="en-AU"/>
              </w:rPr>
            </w:pPr>
            <w:bookmarkStart w:id="15" w:name="_Hlk79590468"/>
            <w:r w:rsidRPr="0029787C">
              <w:rPr>
                <w:b/>
                <w:bCs/>
                <w:sz w:val="28"/>
                <w:szCs w:val="28"/>
                <w:lang w:val="en-US"/>
              </w:rPr>
              <w:t>Mobile Plant Sub-criteria Definitions</w:t>
            </w:r>
          </w:p>
        </w:tc>
      </w:tr>
      <w:tr w:rsidR="0029787C" w:rsidRPr="007F78C4" w14:paraId="067D7C52" w14:textId="77777777" w:rsidTr="006C7AC4">
        <w:trPr>
          <w:trHeight w:val="624"/>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8668C" w14:textId="77777777" w:rsidR="0029787C" w:rsidRPr="007F78C4" w:rsidRDefault="0029787C">
            <w:pPr>
              <w:jc w:val="center"/>
              <w:rPr>
                <w:rFonts w:ascii="Calibri" w:eastAsia="Times New Roman" w:hAnsi="Calibri" w:cs="Calibri"/>
                <w:b/>
                <w:bCs/>
                <w:color w:val="000000"/>
                <w:lang w:eastAsia="en-AU"/>
              </w:rPr>
            </w:pPr>
            <w:r w:rsidRPr="007F78C4">
              <w:rPr>
                <w:rFonts w:ascii="Calibri" w:eastAsia="Times New Roman" w:hAnsi="Calibri" w:cs="Calibri"/>
                <w:b/>
                <w:bCs/>
                <w:color w:val="000000"/>
                <w:lang w:eastAsia="en-AU"/>
              </w:rPr>
              <w:t>H16.1</w:t>
            </w:r>
          </w:p>
        </w:tc>
        <w:tc>
          <w:tcPr>
            <w:tcW w:w="6912" w:type="dxa"/>
            <w:tcBorders>
              <w:top w:val="single" w:sz="4" w:space="0" w:color="auto"/>
              <w:left w:val="nil"/>
              <w:bottom w:val="single" w:sz="4" w:space="0" w:color="auto"/>
              <w:right w:val="single" w:sz="4" w:space="0" w:color="auto"/>
            </w:tcBorders>
            <w:shd w:val="clear" w:color="auto" w:fill="auto"/>
            <w:noWrap/>
            <w:vAlign w:val="center"/>
            <w:hideMark/>
          </w:tcPr>
          <w:p w14:paraId="6792D18A" w14:textId="77777777" w:rsidR="0029787C" w:rsidRPr="007F78C4" w:rsidRDefault="0029787C">
            <w:pPr>
              <w:rPr>
                <w:rFonts w:ascii="Calibri" w:eastAsia="Times New Roman" w:hAnsi="Calibri" w:cs="Calibri"/>
                <w:color w:val="000000"/>
                <w:sz w:val="20"/>
                <w:szCs w:val="20"/>
                <w:lang w:eastAsia="en-AU"/>
              </w:rPr>
            </w:pPr>
            <w:r w:rsidRPr="007F78C4">
              <w:rPr>
                <w:rFonts w:ascii="Calibri" w:eastAsia="Times New Roman" w:hAnsi="Calibri" w:cs="Calibri"/>
                <w:color w:val="000000"/>
                <w:sz w:val="20"/>
                <w:szCs w:val="20"/>
                <w:lang w:eastAsia="en-AU"/>
              </w:rPr>
              <w:t>The risks associated with the use of mobile plant are identified, assessed, and controlled in accordance with the Hierarchy of Control.</w:t>
            </w:r>
          </w:p>
        </w:tc>
      </w:tr>
      <w:tr w:rsidR="0029787C" w:rsidRPr="007F78C4" w14:paraId="5274C055" w14:textId="77777777" w:rsidTr="006C7AC4">
        <w:trPr>
          <w:trHeight w:val="624"/>
        </w:trPr>
        <w:tc>
          <w:tcPr>
            <w:tcW w:w="88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1716F975" w14:textId="77777777" w:rsidR="0029787C" w:rsidRPr="007F78C4" w:rsidRDefault="0029787C">
            <w:pPr>
              <w:jc w:val="center"/>
              <w:rPr>
                <w:rFonts w:ascii="Calibri" w:eastAsia="Times New Roman" w:hAnsi="Calibri" w:cs="Calibri"/>
                <w:b/>
                <w:bCs/>
                <w:color w:val="000000"/>
                <w:lang w:eastAsia="en-AU"/>
              </w:rPr>
            </w:pPr>
            <w:r w:rsidRPr="007F78C4">
              <w:rPr>
                <w:rFonts w:ascii="Calibri" w:eastAsia="Times New Roman" w:hAnsi="Calibri" w:cs="Calibri"/>
                <w:b/>
                <w:bCs/>
                <w:color w:val="000000"/>
                <w:lang w:eastAsia="en-AU"/>
              </w:rPr>
              <w:t>H16.2</w:t>
            </w:r>
          </w:p>
        </w:tc>
        <w:tc>
          <w:tcPr>
            <w:tcW w:w="6912" w:type="dxa"/>
            <w:tcBorders>
              <w:top w:val="nil"/>
              <w:left w:val="nil"/>
              <w:bottom w:val="single" w:sz="4" w:space="0" w:color="auto"/>
              <w:right w:val="single" w:sz="4" w:space="0" w:color="auto"/>
            </w:tcBorders>
            <w:shd w:val="clear" w:color="auto" w:fill="EEECE1" w:themeFill="background2"/>
            <w:noWrap/>
            <w:vAlign w:val="center"/>
            <w:hideMark/>
          </w:tcPr>
          <w:p w14:paraId="676CC2A9" w14:textId="77777777" w:rsidR="0029787C" w:rsidRPr="007F78C4" w:rsidRDefault="0029787C">
            <w:pPr>
              <w:rPr>
                <w:rFonts w:ascii="Calibri" w:eastAsia="Times New Roman" w:hAnsi="Calibri" w:cs="Calibri"/>
                <w:color w:val="000000"/>
                <w:sz w:val="20"/>
                <w:szCs w:val="20"/>
                <w:lang w:eastAsia="en-AU"/>
              </w:rPr>
            </w:pPr>
            <w:r w:rsidRPr="007F78C4">
              <w:rPr>
                <w:rFonts w:ascii="Calibri" w:eastAsia="Times New Roman" w:hAnsi="Calibri" w:cs="Calibri"/>
                <w:color w:val="000000"/>
                <w:sz w:val="20"/>
                <w:szCs w:val="20"/>
                <w:lang w:eastAsia="en-AU"/>
              </w:rPr>
              <w:t>The system ensures that a Plant Risk Assessment is carried out on all items of plant prior to use on-site.</w:t>
            </w:r>
          </w:p>
        </w:tc>
      </w:tr>
      <w:tr w:rsidR="0029787C" w:rsidRPr="007F78C4" w14:paraId="0C6C53B4" w14:textId="77777777" w:rsidTr="006C7AC4">
        <w:trPr>
          <w:trHeight w:val="62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4036F25" w14:textId="77777777" w:rsidR="0029787C" w:rsidRPr="007F78C4" w:rsidRDefault="0029787C">
            <w:pPr>
              <w:jc w:val="center"/>
              <w:rPr>
                <w:rFonts w:ascii="Calibri" w:eastAsia="Times New Roman" w:hAnsi="Calibri" w:cs="Calibri"/>
                <w:b/>
                <w:bCs/>
                <w:color w:val="000000"/>
                <w:lang w:eastAsia="en-AU"/>
              </w:rPr>
            </w:pPr>
            <w:r w:rsidRPr="007F78C4">
              <w:rPr>
                <w:rFonts w:ascii="Calibri" w:eastAsia="Times New Roman" w:hAnsi="Calibri" w:cs="Calibri"/>
                <w:b/>
                <w:bCs/>
                <w:color w:val="000000"/>
                <w:lang w:eastAsia="en-AU"/>
              </w:rPr>
              <w:t>H16.3</w:t>
            </w:r>
          </w:p>
        </w:tc>
        <w:tc>
          <w:tcPr>
            <w:tcW w:w="6912" w:type="dxa"/>
            <w:tcBorders>
              <w:top w:val="nil"/>
              <w:left w:val="nil"/>
              <w:bottom w:val="single" w:sz="4" w:space="0" w:color="auto"/>
              <w:right w:val="single" w:sz="4" w:space="0" w:color="auto"/>
            </w:tcBorders>
            <w:shd w:val="clear" w:color="auto" w:fill="auto"/>
            <w:noWrap/>
            <w:vAlign w:val="center"/>
            <w:hideMark/>
          </w:tcPr>
          <w:p w14:paraId="72CBB85A" w14:textId="77777777" w:rsidR="0029787C" w:rsidRPr="007F78C4" w:rsidRDefault="0029787C">
            <w:pPr>
              <w:rPr>
                <w:rFonts w:ascii="Calibri" w:eastAsia="Times New Roman" w:hAnsi="Calibri" w:cs="Calibri"/>
                <w:color w:val="000000"/>
                <w:sz w:val="20"/>
                <w:szCs w:val="20"/>
                <w:lang w:eastAsia="en-AU"/>
              </w:rPr>
            </w:pPr>
            <w:r w:rsidRPr="007F78C4">
              <w:rPr>
                <w:rFonts w:ascii="Calibri" w:eastAsia="Times New Roman" w:hAnsi="Calibri" w:cs="Calibri"/>
                <w:color w:val="000000"/>
                <w:sz w:val="20"/>
                <w:szCs w:val="20"/>
                <w:lang w:eastAsia="en-AU"/>
              </w:rPr>
              <w:t>Safe systems of work are established for the operation of mobile plant taking into account; the operator manual; outcomes from the plant risk assessment; site specific requirements; and the need for ROPS and FOPS.</w:t>
            </w:r>
          </w:p>
        </w:tc>
      </w:tr>
      <w:tr w:rsidR="0029787C" w:rsidRPr="007F78C4" w14:paraId="31B1FABD" w14:textId="77777777" w:rsidTr="006C7AC4">
        <w:trPr>
          <w:trHeight w:val="624"/>
        </w:trPr>
        <w:tc>
          <w:tcPr>
            <w:tcW w:w="88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32D3CF5F" w14:textId="77777777" w:rsidR="0029787C" w:rsidRPr="007F78C4" w:rsidRDefault="0029787C">
            <w:pPr>
              <w:jc w:val="center"/>
              <w:rPr>
                <w:rFonts w:ascii="Calibri" w:eastAsia="Times New Roman" w:hAnsi="Calibri" w:cs="Calibri"/>
                <w:b/>
                <w:bCs/>
                <w:color w:val="000000"/>
                <w:lang w:eastAsia="en-AU"/>
              </w:rPr>
            </w:pPr>
            <w:r w:rsidRPr="007F78C4">
              <w:rPr>
                <w:rFonts w:ascii="Calibri" w:eastAsia="Times New Roman" w:hAnsi="Calibri" w:cs="Calibri"/>
                <w:b/>
                <w:bCs/>
                <w:color w:val="000000"/>
                <w:lang w:eastAsia="en-AU"/>
              </w:rPr>
              <w:t>H16.4</w:t>
            </w:r>
          </w:p>
        </w:tc>
        <w:tc>
          <w:tcPr>
            <w:tcW w:w="6912" w:type="dxa"/>
            <w:tcBorders>
              <w:top w:val="nil"/>
              <w:left w:val="nil"/>
              <w:bottom w:val="single" w:sz="4" w:space="0" w:color="auto"/>
              <w:right w:val="single" w:sz="4" w:space="0" w:color="auto"/>
            </w:tcBorders>
            <w:shd w:val="clear" w:color="auto" w:fill="EEECE1" w:themeFill="background2"/>
            <w:noWrap/>
            <w:vAlign w:val="center"/>
            <w:hideMark/>
          </w:tcPr>
          <w:p w14:paraId="02C74515" w14:textId="77777777" w:rsidR="0029787C" w:rsidRPr="007F78C4" w:rsidRDefault="0029787C">
            <w:pPr>
              <w:rPr>
                <w:rFonts w:ascii="Calibri" w:eastAsia="Times New Roman" w:hAnsi="Calibri" w:cs="Calibri"/>
                <w:color w:val="000000"/>
                <w:sz w:val="20"/>
                <w:szCs w:val="20"/>
                <w:lang w:eastAsia="en-AU"/>
              </w:rPr>
            </w:pPr>
            <w:r w:rsidRPr="007F78C4">
              <w:rPr>
                <w:rFonts w:ascii="Calibri" w:eastAsia="Times New Roman" w:hAnsi="Calibri" w:cs="Calibri"/>
                <w:color w:val="000000"/>
                <w:sz w:val="20"/>
                <w:szCs w:val="20"/>
                <w:lang w:eastAsia="en-AU"/>
              </w:rPr>
              <w:t>Safe systems of work have been developed for all above ground and underground services taking into account; identification and location of services; management of works adjacent to services; and any necessary liaison with the asset owner.</w:t>
            </w:r>
          </w:p>
        </w:tc>
      </w:tr>
      <w:tr w:rsidR="0029787C" w:rsidRPr="007F78C4" w14:paraId="656CEB70" w14:textId="77777777" w:rsidTr="006C7AC4">
        <w:trPr>
          <w:trHeight w:val="62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3ED02C7" w14:textId="77777777" w:rsidR="0029787C" w:rsidRPr="007F78C4" w:rsidRDefault="0029787C">
            <w:pPr>
              <w:jc w:val="center"/>
              <w:rPr>
                <w:rFonts w:ascii="Calibri" w:eastAsia="Times New Roman" w:hAnsi="Calibri" w:cs="Calibri"/>
                <w:b/>
                <w:bCs/>
                <w:color w:val="000000"/>
                <w:lang w:eastAsia="en-AU"/>
              </w:rPr>
            </w:pPr>
            <w:r w:rsidRPr="007F78C4">
              <w:rPr>
                <w:rFonts w:ascii="Calibri" w:eastAsia="Times New Roman" w:hAnsi="Calibri" w:cs="Calibri"/>
                <w:b/>
                <w:bCs/>
                <w:color w:val="000000"/>
                <w:lang w:eastAsia="en-AU"/>
              </w:rPr>
              <w:t>H16.5</w:t>
            </w:r>
          </w:p>
        </w:tc>
        <w:tc>
          <w:tcPr>
            <w:tcW w:w="6912" w:type="dxa"/>
            <w:tcBorders>
              <w:top w:val="nil"/>
              <w:left w:val="nil"/>
              <w:bottom w:val="single" w:sz="4" w:space="0" w:color="auto"/>
              <w:right w:val="single" w:sz="4" w:space="0" w:color="auto"/>
            </w:tcBorders>
            <w:shd w:val="clear" w:color="auto" w:fill="auto"/>
            <w:noWrap/>
            <w:vAlign w:val="center"/>
            <w:hideMark/>
          </w:tcPr>
          <w:p w14:paraId="069035CF" w14:textId="77777777" w:rsidR="0029787C" w:rsidRPr="007F78C4" w:rsidRDefault="0029787C">
            <w:pPr>
              <w:rPr>
                <w:rFonts w:ascii="Calibri" w:eastAsia="Times New Roman" w:hAnsi="Calibri" w:cs="Calibri"/>
                <w:color w:val="000000"/>
                <w:sz w:val="20"/>
                <w:szCs w:val="20"/>
                <w:lang w:eastAsia="en-AU"/>
              </w:rPr>
            </w:pPr>
            <w:r w:rsidRPr="007F78C4">
              <w:rPr>
                <w:rFonts w:ascii="Calibri" w:eastAsia="Times New Roman" w:hAnsi="Calibri" w:cs="Calibri"/>
                <w:color w:val="000000"/>
                <w:sz w:val="20"/>
                <w:szCs w:val="20"/>
                <w:lang w:eastAsia="en-AU"/>
              </w:rPr>
              <w:t>Safe systems of work have been developed for the use of mobile cranes taking into account; ground conditions; development of lift plans in accordance with relevant legislation, codes of practice and Australian standards; and lifting of materials and workers.</w:t>
            </w:r>
          </w:p>
        </w:tc>
      </w:tr>
      <w:tr w:rsidR="0029787C" w:rsidRPr="007F78C4" w14:paraId="6750BD74" w14:textId="77777777" w:rsidTr="006C7AC4">
        <w:trPr>
          <w:trHeight w:val="624"/>
        </w:trPr>
        <w:tc>
          <w:tcPr>
            <w:tcW w:w="88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1E910C18" w14:textId="77777777" w:rsidR="0029787C" w:rsidRPr="007F78C4" w:rsidRDefault="0029787C">
            <w:pPr>
              <w:jc w:val="center"/>
              <w:rPr>
                <w:rFonts w:ascii="Calibri" w:eastAsia="Times New Roman" w:hAnsi="Calibri" w:cs="Calibri"/>
                <w:b/>
                <w:bCs/>
                <w:color w:val="000000"/>
                <w:lang w:eastAsia="en-AU"/>
              </w:rPr>
            </w:pPr>
            <w:r w:rsidRPr="007F78C4">
              <w:rPr>
                <w:rFonts w:ascii="Calibri" w:eastAsia="Times New Roman" w:hAnsi="Calibri" w:cs="Calibri"/>
                <w:b/>
                <w:bCs/>
                <w:color w:val="000000"/>
                <w:lang w:eastAsia="en-AU"/>
              </w:rPr>
              <w:t>H16.6</w:t>
            </w:r>
          </w:p>
        </w:tc>
        <w:tc>
          <w:tcPr>
            <w:tcW w:w="6912" w:type="dxa"/>
            <w:tcBorders>
              <w:top w:val="nil"/>
              <w:left w:val="nil"/>
              <w:bottom w:val="single" w:sz="4" w:space="0" w:color="auto"/>
              <w:right w:val="single" w:sz="4" w:space="0" w:color="auto"/>
            </w:tcBorders>
            <w:shd w:val="clear" w:color="auto" w:fill="EEECE1" w:themeFill="background2"/>
            <w:noWrap/>
            <w:vAlign w:val="center"/>
            <w:hideMark/>
          </w:tcPr>
          <w:p w14:paraId="3D89B77B" w14:textId="77777777" w:rsidR="0029787C" w:rsidRPr="007F78C4" w:rsidRDefault="0029787C">
            <w:pPr>
              <w:rPr>
                <w:rFonts w:ascii="Calibri" w:eastAsia="Times New Roman" w:hAnsi="Calibri" w:cs="Calibri"/>
                <w:color w:val="000000"/>
                <w:sz w:val="20"/>
                <w:szCs w:val="20"/>
                <w:lang w:eastAsia="en-AU"/>
              </w:rPr>
            </w:pPr>
            <w:r w:rsidRPr="007F78C4">
              <w:rPr>
                <w:rFonts w:ascii="Calibri" w:eastAsia="Times New Roman" w:hAnsi="Calibri" w:cs="Calibri"/>
                <w:color w:val="000000"/>
                <w:sz w:val="20"/>
                <w:szCs w:val="20"/>
                <w:lang w:eastAsia="en-AU"/>
              </w:rPr>
              <w:t>The system ensures there is an inspection and maintenance program for rigging and lifting equipment.</w:t>
            </w:r>
          </w:p>
        </w:tc>
      </w:tr>
      <w:tr w:rsidR="0029787C" w:rsidRPr="007F78C4" w14:paraId="57CE5CCB" w14:textId="77777777" w:rsidTr="006C7AC4">
        <w:trPr>
          <w:trHeight w:val="62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F80E7D4" w14:textId="77777777" w:rsidR="0029787C" w:rsidRPr="007F78C4" w:rsidRDefault="0029787C">
            <w:pPr>
              <w:jc w:val="center"/>
              <w:rPr>
                <w:rFonts w:ascii="Calibri" w:eastAsia="Times New Roman" w:hAnsi="Calibri" w:cs="Calibri"/>
                <w:b/>
                <w:bCs/>
                <w:color w:val="000000"/>
                <w:lang w:eastAsia="en-AU"/>
              </w:rPr>
            </w:pPr>
            <w:r w:rsidRPr="007F78C4">
              <w:rPr>
                <w:rFonts w:ascii="Calibri" w:eastAsia="Times New Roman" w:hAnsi="Calibri" w:cs="Calibri"/>
                <w:b/>
                <w:bCs/>
                <w:color w:val="000000"/>
                <w:lang w:eastAsia="en-AU"/>
              </w:rPr>
              <w:t>H16.7</w:t>
            </w:r>
          </w:p>
        </w:tc>
        <w:tc>
          <w:tcPr>
            <w:tcW w:w="6912" w:type="dxa"/>
            <w:tcBorders>
              <w:top w:val="nil"/>
              <w:left w:val="nil"/>
              <w:bottom w:val="single" w:sz="4" w:space="0" w:color="auto"/>
              <w:right w:val="single" w:sz="4" w:space="0" w:color="auto"/>
            </w:tcBorders>
            <w:shd w:val="clear" w:color="auto" w:fill="auto"/>
            <w:noWrap/>
            <w:vAlign w:val="center"/>
            <w:hideMark/>
          </w:tcPr>
          <w:p w14:paraId="2F4A7DF1" w14:textId="77777777" w:rsidR="0029787C" w:rsidRPr="007F78C4" w:rsidRDefault="0029787C">
            <w:pPr>
              <w:rPr>
                <w:rFonts w:ascii="Calibri" w:eastAsia="Times New Roman" w:hAnsi="Calibri" w:cs="Calibri"/>
                <w:color w:val="000000"/>
                <w:sz w:val="20"/>
                <w:szCs w:val="20"/>
                <w:lang w:eastAsia="en-AU"/>
              </w:rPr>
            </w:pPr>
            <w:r w:rsidRPr="007F78C4">
              <w:rPr>
                <w:rFonts w:ascii="Calibri" w:eastAsia="Times New Roman" w:hAnsi="Calibri" w:cs="Calibri"/>
                <w:color w:val="000000"/>
                <w:sz w:val="20"/>
                <w:szCs w:val="20"/>
                <w:lang w:eastAsia="en-AU"/>
              </w:rPr>
              <w:t>The system ensures that movement of plant and vehicles on-site is controlled.</w:t>
            </w:r>
          </w:p>
        </w:tc>
      </w:tr>
      <w:tr w:rsidR="0029787C" w:rsidRPr="007F78C4" w14:paraId="4CA033D2" w14:textId="77777777" w:rsidTr="006C7AC4">
        <w:trPr>
          <w:trHeight w:val="624"/>
        </w:trPr>
        <w:tc>
          <w:tcPr>
            <w:tcW w:w="88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22CAB436" w14:textId="77777777" w:rsidR="0029787C" w:rsidRPr="007F78C4" w:rsidRDefault="0029787C">
            <w:pPr>
              <w:jc w:val="center"/>
              <w:rPr>
                <w:rFonts w:ascii="Calibri" w:eastAsia="Times New Roman" w:hAnsi="Calibri" w:cs="Calibri"/>
                <w:b/>
                <w:bCs/>
                <w:color w:val="000000"/>
                <w:lang w:eastAsia="en-AU"/>
              </w:rPr>
            </w:pPr>
            <w:r w:rsidRPr="007F78C4">
              <w:rPr>
                <w:rFonts w:ascii="Calibri" w:eastAsia="Times New Roman" w:hAnsi="Calibri" w:cs="Calibri"/>
                <w:b/>
                <w:bCs/>
                <w:color w:val="000000"/>
                <w:lang w:eastAsia="en-AU"/>
              </w:rPr>
              <w:t>H16.8</w:t>
            </w:r>
          </w:p>
        </w:tc>
        <w:tc>
          <w:tcPr>
            <w:tcW w:w="6912" w:type="dxa"/>
            <w:tcBorders>
              <w:top w:val="nil"/>
              <w:left w:val="nil"/>
              <w:bottom w:val="single" w:sz="4" w:space="0" w:color="auto"/>
              <w:right w:val="single" w:sz="4" w:space="0" w:color="auto"/>
            </w:tcBorders>
            <w:shd w:val="clear" w:color="auto" w:fill="EEECE1" w:themeFill="background2"/>
            <w:noWrap/>
            <w:vAlign w:val="center"/>
            <w:hideMark/>
          </w:tcPr>
          <w:p w14:paraId="557034A3" w14:textId="77777777" w:rsidR="0029787C" w:rsidRPr="007F78C4" w:rsidRDefault="0029787C">
            <w:pPr>
              <w:rPr>
                <w:rFonts w:ascii="Calibri" w:eastAsia="Times New Roman" w:hAnsi="Calibri" w:cs="Calibri"/>
                <w:color w:val="000000"/>
                <w:sz w:val="20"/>
                <w:szCs w:val="20"/>
                <w:lang w:eastAsia="en-AU"/>
              </w:rPr>
            </w:pPr>
            <w:r w:rsidRPr="007F78C4">
              <w:rPr>
                <w:rFonts w:ascii="Calibri" w:eastAsia="Times New Roman" w:hAnsi="Calibri" w:cs="Calibri"/>
                <w:color w:val="000000"/>
                <w:sz w:val="20"/>
                <w:szCs w:val="20"/>
                <w:lang w:eastAsia="en-AU"/>
              </w:rPr>
              <w:t>The system ensures that all workers operating mobile plant are licensed trained or competent.</w:t>
            </w:r>
          </w:p>
        </w:tc>
      </w:tr>
      <w:tr w:rsidR="0029787C" w:rsidRPr="007F78C4" w14:paraId="1D5BAA9A" w14:textId="77777777" w:rsidTr="006C7AC4">
        <w:trPr>
          <w:trHeight w:val="62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8F0DAA1" w14:textId="77777777" w:rsidR="0029787C" w:rsidRPr="007F78C4" w:rsidRDefault="0029787C">
            <w:pPr>
              <w:jc w:val="center"/>
              <w:rPr>
                <w:rFonts w:ascii="Calibri" w:eastAsia="Times New Roman" w:hAnsi="Calibri" w:cs="Calibri"/>
                <w:b/>
                <w:bCs/>
                <w:color w:val="000000"/>
                <w:lang w:eastAsia="en-AU"/>
              </w:rPr>
            </w:pPr>
            <w:r w:rsidRPr="007F78C4">
              <w:rPr>
                <w:rFonts w:ascii="Calibri" w:eastAsia="Times New Roman" w:hAnsi="Calibri" w:cs="Calibri"/>
                <w:b/>
                <w:bCs/>
                <w:color w:val="000000"/>
                <w:lang w:eastAsia="en-AU"/>
              </w:rPr>
              <w:t>H16.9</w:t>
            </w:r>
          </w:p>
        </w:tc>
        <w:tc>
          <w:tcPr>
            <w:tcW w:w="6912" w:type="dxa"/>
            <w:tcBorders>
              <w:top w:val="nil"/>
              <w:left w:val="nil"/>
              <w:bottom w:val="single" w:sz="4" w:space="0" w:color="auto"/>
              <w:right w:val="single" w:sz="4" w:space="0" w:color="auto"/>
            </w:tcBorders>
            <w:shd w:val="clear" w:color="auto" w:fill="auto"/>
            <w:noWrap/>
            <w:vAlign w:val="center"/>
            <w:hideMark/>
          </w:tcPr>
          <w:p w14:paraId="0B001614" w14:textId="77777777" w:rsidR="0029787C" w:rsidRPr="007F78C4" w:rsidRDefault="0029787C">
            <w:pPr>
              <w:rPr>
                <w:rFonts w:ascii="Calibri" w:eastAsia="Times New Roman" w:hAnsi="Calibri" w:cs="Calibri"/>
                <w:color w:val="000000"/>
                <w:sz w:val="20"/>
                <w:szCs w:val="20"/>
                <w:lang w:eastAsia="en-AU"/>
              </w:rPr>
            </w:pPr>
            <w:r w:rsidRPr="007F78C4">
              <w:rPr>
                <w:rFonts w:ascii="Calibri" w:eastAsia="Times New Roman" w:hAnsi="Calibri" w:cs="Calibri"/>
                <w:color w:val="000000"/>
                <w:sz w:val="20"/>
                <w:szCs w:val="20"/>
                <w:lang w:eastAsia="en-AU"/>
              </w:rPr>
              <w:t>The system ensures there is an inspection program that is specific to the needs of the type of mobile plant, taking into account; regulatory inspections and registration; manufacturers’ inspection requirements; pre-start inspections; and commissioning prior to use on-site.</w:t>
            </w:r>
          </w:p>
        </w:tc>
      </w:tr>
      <w:tr w:rsidR="0029787C" w:rsidRPr="007F78C4" w14:paraId="11346EB0" w14:textId="77777777" w:rsidTr="006C7AC4">
        <w:trPr>
          <w:trHeight w:val="624"/>
        </w:trPr>
        <w:tc>
          <w:tcPr>
            <w:tcW w:w="88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60AC854C" w14:textId="77777777" w:rsidR="0029787C" w:rsidRPr="007F78C4" w:rsidRDefault="0029787C">
            <w:pPr>
              <w:jc w:val="center"/>
              <w:rPr>
                <w:rFonts w:ascii="Calibri" w:eastAsia="Times New Roman" w:hAnsi="Calibri" w:cs="Calibri"/>
                <w:b/>
                <w:bCs/>
                <w:color w:val="000000"/>
                <w:lang w:eastAsia="en-AU"/>
              </w:rPr>
            </w:pPr>
            <w:r w:rsidRPr="007F78C4">
              <w:rPr>
                <w:rFonts w:ascii="Calibri" w:eastAsia="Times New Roman" w:hAnsi="Calibri" w:cs="Calibri"/>
                <w:b/>
                <w:bCs/>
                <w:color w:val="000000"/>
                <w:lang w:eastAsia="en-AU"/>
              </w:rPr>
              <w:t>H16.10</w:t>
            </w:r>
          </w:p>
        </w:tc>
        <w:tc>
          <w:tcPr>
            <w:tcW w:w="6912" w:type="dxa"/>
            <w:tcBorders>
              <w:top w:val="nil"/>
              <w:left w:val="nil"/>
              <w:bottom w:val="single" w:sz="4" w:space="0" w:color="auto"/>
              <w:right w:val="single" w:sz="4" w:space="0" w:color="auto"/>
            </w:tcBorders>
            <w:shd w:val="clear" w:color="auto" w:fill="EEECE1" w:themeFill="background2"/>
            <w:noWrap/>
            <w:vAlign w:val="center"/>
            <w:hideMark/>
          </w:tcPr>
          <w:p w14:paraId="5582AD05" w14:textId="77777777" w:rsidR="0029787C" w:rsidRPr="007F78C4" w:rsidRDefault="0029787C">
            <w:pPr>
              <w:rPr>
                <w:rFonts w:ascii="Calibri" w:eastAsia="Times New Roman" w:hAnsi="Calibri" w:cs="Calibri"/>
                <w:color w:val="000000"/>
                <w:sz w:val="20"/>
                <w:szCs w:val="20"/>
                <w:lang w:eastAsia="en-AU"/>
              </w:rPr>
            </w:pPr>
            <w:r w:rsidRPr="007F78C4">
              <w:rPr>
                <w:rFonts w:ascii="Calibri" w:eastAsia="Times New Roman" w:hAnsi="Calibri" w:cs="Calibri"/>
                <w:color w:val="000000"/>
                <w:sz w:val="20"/>
                <w:szCs w:val="20"/>
                <w:lang w:eastAsia="en-AU"/>
              </w:rPr>
              <w:t>The system ensures that there is a process for the ongoing maintenance of mobile plant.</w:t>
            </w:r>
          </w:p>
        </w:tc>
      </w:tr>
      <w:tr w:rsidR="0029787C" w:rsidRPr="007F78C4" w14:paraId="57721E22" w14:textId="77777777" w:rsidTr="006C7AC4">
        <w:trPr>
          <w:trHeight w:val="62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3870F8F" w14:textId="77777777" w:rsidR="0029787C" w:rsidRPr="007F78C4" w:rsidRDefault="0029787C">
            <w:pPr>
              <w:jc w:val="center"/>
              <w:rPr>
                <w:rFonts w:ascii="Calibri" w:eastAsia="Times New Roman" w:hAnsi="Calibri" w:cs="Calibri"/>
                <w:b/>
                <w:bCs/>
                <w:color w:val="000000"/>
                <w:lang w:eastAsia="en-AU"/>
              </w:rPr>
            </w:pPr>
            <w:r w:rsidRPr="007F78C4">
              <w:rPr>
                <w:rFonts w:ascii="Calibri" w:eastAsia="Times New Roman" w:hAnsi="Calibri" w:cs="Calibri"/>
                <w:b/>
                <w:bCs/>
                <w:color w:val="000000"/>
                <w:lang w:eastAsia="en-AU"/>
              </w:rPr>
              <w:t>H16.11</w:t>
            </w:r>
          </w:p>
        </w:tc>
        <w:tc>
          <w:tcPr>
            <w:tcW w:w="6912" w:type="dxa"/>
            <w:tcBorders>
              <w:top w:val="nil"/>
              <w:left w:val="nil"/>
              <w:bottom w:val="single" w:sz="4" w:space="0" w:color="auto"/>
              <w:right w:val="single" w:sz="4" w:space="0" w:color="auto"/>
            </w:tcBorders>
            <w:shd w:val="clear" w:color="auto" w:fill="auto"/>
            <w:noWrap/>
            <w:vAlign w:val="center"/>
            <w:hideMark/>
          </w:tcPr>
          <w:p w14:paraId="0F6CAE94" w14:textId="77777777" w:rsidR="0029787C" w:rsidRPr="007F78C4" w:rsidRDefault="0029787C">
            <w:pPr>
              <w:rPr>
                <w:rFonts w:ascii="Calibri" w:eastAsia="Times New Roman" w:hAnsi="Calibri" w:cs="Calibri"/>
                <w:color w:val="000000"/>
                <w:sz w:val="20"/>
                <w:szCs w:val="20"/>
                <w:lang w:eastAsia="en-AU"/>
              </w:rPr>
            </w:pPr>
            <w:r w:rsidRPr="007F78C4">
              <w:rPr>
                <w:rFonts w:ascii="Calibri" w:eastAsia="Times New Roman" w:hAnsi="Calibri" w:cs="Calibri"/>
                <w:color w:val="000000"/>
                <w:sz w:val="20"/>
                <w:szCs w:val="20"/>
                <w:lang w:eastAsia="en-AU"/>
              </w:rPr>
              <w:t>The system ensures that emergency procedures are established specific to the scope of works.</w:t>
            </w:r>
          </w:p>
        </w:tc>
      </w:tr>
      <w:tr w:rsidR="0029787C" w:rsidRPr="007F78C4" w14:paraId="6D16F277" w14:textId="77777777" w:rsidTr="006C7AC4">
        <w:trPr>
          <w:trHeight w:val="624"/>
        </w:trPr>
        <w:tc>
          <w:tcPr>
            <w:tcW w:w="88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4FFAEB4C" w14:textId="77777777" w:rsidR="0029787C" w:rsidRPr="007F78C4" w:rsidRDefault="0029787C">
            <w:pPr>
              <w:jc w:val="center"/>
              <w:rPr>
                <w:rFonts w:ascii="Calibri" w:eastAsia="Times New Roman" w:hAnsi="Calibri" w:cs="Calibri"/>
                <w:b/>
                <w:bCs/>
                <w:color w:val="000000"/>
                <w:lang w:eastAsia="en-AU"/>
              </w:rPr>
            </w:pPr>
            <w:r w:rsidRPr="007F78C4">
              <w:rPr>
                <w:rFonts w:ascii="Calibri" w:eastAsia="Times New Roman" w:hAnsi="Calibri" w:cs="Calibri"/>
                <w:b/>
                <w:bCs/>
                <w:color w:val="000000"/>
                <w:lang w:eastAsia="en-AU"/>
              </w:rPr>
              <w:t>H16.12</w:t>
            </w:r>
          </w:p>
        </w:tc>
        <w:tc>
          <w:tcPr>
            <w:tcW w:w="6912" w:type="dxa"/>
            <w:tcBorders>
              <w:top w:val="nil"/>
              <w:left w:val="nil"/>
              <w:bottom w:val="single" w:sz="4" w:space="0" w:color="auto"/>
              <w:right w:val="single" w:sz="4" w:space="0" w:color="auto"/>
            </w:tcBorders>
            <w:shd w:val="clear" w:color="auto" w:fill="EEECE1" w:themeFill="background2"/>
            <w:noWrap/>
            <w:vAlign w:val="center"/>
            <w:hideMark/>
          </w:tcPr>
          <w:p w14:paraId="6821A07E" w14:textId="77777777" w:rsidR="0029787C" w:rsidRPr="007F78C4" w:rsidRDefault="0029787C">
            <w:pPr>
              <w:rPr>
                <w:rFonts w:ascii="Calibri" w:eastAsia="Times New Roman" w:hAnsi="Calibri" w:cs="Calibri"/>
                <w:color w:val="000000"/>
                <w:sz w:val="20"/>
                <w:szCs w:val="20"/>
                <w:lang w:eastAsia="en-AU"/>
              </w:rPr>
            </w:pPr>
            <w:r w:rsidRPr="007F78C4">
              <w:rPr>
                <w:rFonts w:ascii="Calibri" w:eastAsia="Times New Roman" w:hAnsi="Calibri" w:cs="Calibri"/>
                <w:color w:val="000000"/>
                <w:sz w:val="20"/>
                <w:szCs w:val="20"/>
                <w:lang w:eastAsia="en-AU"/>
              </w:rPr>
              <w:t>Other hazard-related activity</w:t>
            </w:r>
            <w:r w:rsidR="008C76E1">
              <w:rPr>
                <w:rFonts w:ascii="Calibri" w:eastAsia="Times New Roman" w:hAnsi="Calibri" w:cs="Calibri"/>
                <w:color w:val="000000"/>
                <w:sz w:val="20"/>
                <w:szCs w:val="20"/>
                <w:lang w:eastAsia="en-AU"/>
              </w:rPr>
              <w:t>.</w:t>
            </w:r>
          </w:p>
        </w:tc>
      </w:tr>
    </w:tbl>
    <w:p w14:paraId="2460A044" w14:textId="77777777" w:rsidR="00197026" w:rsidRPr="00197026" w:rsidRDefault="00197026" w:rsidP="00197026">
      <w:pPr>
        <w:pStyle w:val="Heading1"/>
        <w:spacing w:after="0"/>
        <w:rPr>
          <w:sz w:val="20"/>
          <w:szCs w:val="20"/>
        </w:rPr>
      </w:pPr>
      <w:bookmarkStart w:id="16" w:name="_Toc81917922"/>
      <w:bookmarkStart w:id="17" w:name="_Hlk79158699"/>
      <w:bookmarkEnd w:id="15"/>
      <w:r w:rsidRPr="009078DC">
        <w:lastRenderedPageBreak/>
        <w:t>Mobile Plant – CAR Issue Rates and Type</w:t>
      </w:r>
      <w:bookmarkEnd w:id="16"/>
      <w:r w:rsidR="00DC55D9">
        <w:br w:type="textWrapping" w:clear="all"/>
      </w:r>
      <w:bookmarkEnd w:id="17"/>
    </w:p>
    <w:p w14:paraId="29F10CDF" w14:textId="77777777" w:rsidR="00D367B4" w:rsidRPr="00197026" w:rsidRDefault="00E57CD3" w:rsidP="003E5D52">
      <w:pPr>
        <w:pStyle w:val="Heading1"/>
        <w:numPr>
          <w:ilvl w:val="0"/>
          <w:numId w:val="2"/>
        </w:numPr>
      </w:pPr>
      <w:bookmarkStart w:id="18" w:name="_Toc81812394"/>
      <w:bookmarkStart w:id="19" w:name="_Toc81917105"/>
      <w:bookmarkStart w:id="20" w:name="_Toc81917923"/>
      <w:r w:rsidRPr="003E5D52">
        <w:rPr>
          <w:b w:val="0"/>
          <w:noProof/>
          <w:lang w:val="en-AU" w:eastAsia="en-AU"/>
        </w:rPr>
        <mc:AlternateContent>
          <mc:Choice Requires="wps">
            <w:drawing>
              <wp:anchor distT="0" distB="0" distL="114300" distR="114300" simplePos="0" relativeHeight="251712000" behindDoc="0" locked="0" layoutInCell="1" allowOverlap="1" wp14:anchorId="22091A06" wp14:editId="523828BA">
                <wp:simplePos x="0" y="0"/>
                <wp:positionH relativeFrom="column">
                  <wp:posOffset>6162675</wp:posOffset>
                </wp:positionH>
                <wp:positionV relativeFrom="paragraph">
                  <wp:posOffset>16510</wp:posOffset>
                </wp:positionV>
                <wp:extent cx="3495675" cy="1647825"/>
                <wp:effectExtent l="0" t="0" r="28575" b="28575"/>
                <wp:wrapNone/>
                <wp:docPr id="46" name="Text Box 46"/>
                <wp:cNvGraphicFramePr/>
                <a:graphic xmlns:a="http://schemas.openxmlformats.org/drawingml/2006/main">
                  <a:graphicData uri="http://schemas.microsoft.com/office/word/2010/wordprocessingShape">
                    <wps:wsp>
                      <wps:cNvSpPr txBox="1"/>
                      <wps:spPr>
                        <a:xfrm>
                          <a:off x="0" y="0"/>
                          <a:ext cx="3495675" cy="1647825"/>
                        </a:xfrm>
                        <a:prstGeom prst="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14:paraId="10E5B937" w14:textId="77777777" w:rsidR="00762C79" w:rsidRPr="00E57CD3" w:rsidRDefault="00762C79" w:rsidP="00167554">
                            <w:pPr>
                              <w:pStyle w:val="NoSpacing"/>
                              <w:spacing w:line="276" w:lineRule="auto"/>
                              <w:rPr>
                                <w:b/>
                                <w:bCs/>
                                <w:sz w:val="22"/>
                              </w:rPr>
                            </w:pPr>
                            <w:r w:rsidRPr="00E57CD3">
                              <w:rPr>
                                <w:b/>
                                <w:bCs/>
                                <w:sz w:val="22"/>
                              </w:rPr>
                              <w:t xml:space="preserve">There are two levels of CARs, Major and Minor. A Major is the absence of a documented process, and/or the absence of implementation of a process where the opportunity for implementation has occurred in relation to a specific criterion. A </w:t>
                            </w:r>
                            <w:r>
                              <w:rPr>
                                <w:b/>
                                <w:bCs/>
                                <w:sz w:val="22"/>
                              </w:rPr>
                              <w:t>M</w:t>
                            </w:r>
                            <w:r w:rsidRPr="00E57CD3">
                              <w:rPr>
                                <w:b/>
                                <w:bCs/>
                                <w:sz w:val="22"/>
                              </w:rPr>
                              <w:t xml:space="preserve">inor non-conformance is where there is a partially documented and implemented process where the opportunity for implementation has occurred in relation to a specific criterion. </w:t>
                            </w:r>
                          </w:p>
                          <w:p w14:paraId="57FF3571" w14:textId="77777777" w:rsidR="00762C79" w:rsidRPr="00E57CD3" w:rsidRDefault="00762C79" w:rsidP="00167554">
                            <w:pP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91A06" id="Text Box 46" o:spid="_x0000_s1031" type="#_x0000_t202" style="position:absolute;left:0;text-align:left;margin-left:485.25pt;margin-top:1.3pt;width:275.25pt;height:129.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" fillcolor="white [3201]" strokecolor="#c00000" strokeweight="2pt">
                <v:textbox>
                  <w:txbxContent>
                    <w:p w14:paraId="10E5B937" w14:textId="77777777" w:rsidR="00762C79" w:rsidRPr="00E57CD3" w:rsidRDefault="00762C79" w:rsidP="00167554">
                      <w:pPr>
                        <w:pStyle w:val="NoSpacing"/>
                        <w:spacing w:line="276" w:lineRule="auto"/>
                        <w:rPr>
                          <w:b/>
                          <w:bCs/>
                          <w:sz w:val="22"/>
                        </w:rPr>
                      </w:pPr>
                      <w:r w:rsidRPr="00E57CD3">
                        <w:rPr>
                          <w:b/>
                          <w:bCs/>
                          <w:sz w:val="22"/>
                        </w:rPr>
                        <w:t xml:space="preserve">There are two levels of CARs, Major and Minor. A Major is the absence of a documented process, and/or the absence of implementation of a process where the opportunity for implementation has occurred in relation to a specific criterion. A </w:t>
                      </w:r>
                      <w:r>
                        <w:rPr>
                          <w:b/>
                          <w:bCs/>
                          <w:sz w:val="22"/>
                        </w:rPr>
                        <w:t>M</w:t>
                      </w:r>
                      <w:r w:rsidRPr="00E57CD3">
                        <w:rPr>
                          <w:b/>
                          <w:bCs/>
                          <w:sz w:val="22"/>
                        </w:rPr>
                        <w:t xml:space="preserve">inor non-conformance is where there is a partially documented and implemented process where the opportunity for implementation has occurred in relation to a specific criterion. </w:t>
                      </w:r>
                    </w:p>
                    <w:p w14:paraId="57FF3571" w14:textId="77777777" w:rsidR="00762C79" w:rsidRPr="00E57CD3" w:rsidRDefault="00762C79" w:rsidP="00167554">
                      <w:pPr>
                        <w:rPr>
                          <w:b/>
                          <w:bCs/>
                          <w:lang w:val="en-US"/>
                        </w:rPr>
                      </w:pPr>
                    </w:p>
                  </w:txbxContent>
                </v:textbox>
              </v:shape>
            </w:pict>
          </mc:Fallback>
        </mc:AlternateContent>
      </w:r>
      <w:r w:rsidR="00155E1D" w:rsidRPr="003E5D52">
        <w:rPr>
          <w:b w:val="0"/>
          <w:sz w:val="24"/>
          <w:szCs w:val="24"/>
        </w:rPr>
        <w:t>Of</w:t>
      </w:r>
      <w:r w:rsidR="003E5D52">
        <w:rPr>
          <w:b w:val="0"/>
          <w:sz w:val="24"/>
          <w:szCs w:val="24"/>
        </w:rPr>
        <w:t xml:space="preserve"> the</w:t>
      </w:r>
      <w:r w:rsidR="00155E1D" w:rsidRPr="003E5D52">
        <w:rPr>
          <w:b w:val="0"/>
          <w:sz w:val="24"/>
          <w:szCs w:val="24"/>
        </w:rPr>
        <w:t xml:space="preserve"> </w:t>
      </w:r>
      <w:r w:rsidR="00155E1D" w:rsidRPr="00197026">
        <w:rPr>
          <w:sz w:val="24"/>
          <w:szCs w:val="24"/>
        </w:rPr>
        <w:t xml:space="preserve">454 </w:t>
      </w:r>
      <w:r w:rsidR="00E672CA" w:rsidRPr="003E5D52">
        <w:rPr>
          <w:b w:val="0"/>
          <w:sz w:val="24"/>
          <w:szCs w:val="24"/>
        </w:rPr>
        <w:t>m</w:t>
      </w:r>
      <w:r w:rsidR="00155E1D" w:rsidRPr="003E5D52">
        <w:rPr>
          <w:b w:val="0"/>
          <w:sz w:val="24"/>
          <w:szCs w:val="24"/>
        </w:rPr>
        <w:t xml:space="preserve">obile </w:t>
      </w:r>
      <w:r w:rsidR="00E672CA" w:rsidRPr="003E5D52">
        <w:rPr>
          <w:b w:val="0"/>
          <w:sz w:val="24"/>
          <w:szCs w:val="24"/>
        </w:rPr>
        <w:t>p</w:t>
      </w:r>
      <w:r w:rsidR="00155E1D" w:rsidRPr="003E5D52">
        <w:rPr>
          <w:b w:val="0"/>
          <w:sz w:val="24"/>
          <w:szCs w:val="24"/>
        </w:rPr>
        <w:t>lant CARs issued</w:t>
      </w:r>
      <w:r w:rsidR="00D367B4" w:rsidRPr="003E5D52">
        <w:rPr>
          <w:b w:val="0"/>
          <w:sz w:val="24"/>
          <w:szCs w:val="24"/>
        </w:rPr>
        <w:t>:</w:t>
      </w:r>
      <w:bookmarkEnd w:id="18"/>
      <w:bookmarkEnd w:id="19"/>
      <w:bookmarkEnd w:id="20"/>
    </w:p>
    <w:p w14:paraId="1F879B62" w14:textId="77777777" w:rsidR="00D367B4" w:rsidRPr="00D30730" w:rsidRDefault="00D367B4" w:rsidP="00232AE4">
      <w:pPr>
        <w:pStyle w:val="ListParagraph"/>
        <w:numPr>
          <w:ilvl w:val="1"/>
          <w:numId w:val="2"/>
        </w:numPr>
        <w:ind w:left="1276" w:hanging="425"/>
        <w:rPr>
          <w:sz w:val="24"/>
          <w:szCs w:val="24"/>
          <w:lang w:val="en-US"/>
        </w:rPr>
      </w:pPr>
      <w:r w:rsidRPr="00D30730">
        <w:rPr>
          <w:b/>
          <w:bCs/>
          <w:sz w:val="24"/>
          <w:szCs w:val="24"/>
          <w:lang w:val="en-US"/>
        </w:rPr>
        <w:t>50 per cent</w:t>
      </w:r>
      <w:r w:rsidRPr="00D30730">
        <w:rPr>
          <w:sz w:val="24"/>
          <w:szCs w:val="24"/>
          <w:lang w:val="en-US"/>
        </w:rPr>
        <w:t xml:space="preserve"> (</w:t>
      </w:r>
      <w:r w:rsidR="00155E1D" w:rsidRPr="00D30730">
        <w:rPr>
          <w:b/>
          <w:bCs/>
          <w:sz w:val="24"/>
          <w:szCs w:val="24"/>
          <w:lang w:val="en-US"/>
        </w:rPr>
        <w:t>227</w:t>
      </w:r>
      <w:r w:rsidRPr="00D30730">
        <w:rPr>
          <w:b/>
          <w:bCs/>
          <w:sz w:val="24"/>
          <w:szCs w:val="24"/>
          <w:lang w:val="en-US"/>
        </w:rPr>
        <w:t>)</w:t>
      </w:r>
      <w:r w:rsidR="00155E1D" w:rsidRPr="00D30730">
        <w:rPr>
          <w:sz w:val="24"/>
          <w:szCs w:val="24"/>
          <w:lang w:val="en-US"/>
        </w:rPr>
        <w:t xml:space="preserve"> were for lack of </w:t>
      </w:r>
      <w:r w:rsidRPr="00D30730">
        <w:rPr>
          <w:sz w:val="24"/>
          <w:szCs w:val="24"/>
          <w:lang w:val="en-US"/>
        </w:rPr>
        <w:t xml:space="preserve">appropriate </w:t>
      </w:r>
      <w:r w:rsidR="00155E1D" w:rsidRPr="00D30730">
        <w:rPr>
          <w:sz w:val="24"/>
          <w:szCs w:val="24"/>
          <w:lang w:val="en-US"/>
        </w:rPr>
        <w:t>documentation</w:t>
      </w:r>
      <w:r w:rsidR="003E5D52">
        <w:rPr>
          <w:sz w:val="24"/>
          <w:szCs w:val="24"/>
          <w:lang w:val="en-US"/>
        </w:rPr>
        <w:t>;</w:t>
      </w:r>
    </w:p>
    <w:p w14:paraId="3060C64F" w14:textId="77777777" w:rsidR="00D367B4" w:rsidRPr="00D30730" w:rsidRDefault="00D367B4" w:rsidP="00232AE4">
      <w:pPr>
        <w:pStyle w:val="ListParagraph"/>
        <w:numPr>
          <w:ilvl w:val="1"/>
          <w:numId w:val="2"/>
        </w:numPr>
        <w:ind w:left="1276" w:hanging="425"/>
        <w:rPr>
          <w:sz w:val="24"/>
          <w:szCs w:val="24"/>
          <w:lang w:val="en-US"/>
        </w:rPr>
      </w:pPr>
      <w:r w:rsidRPr="00D30730">
        <w:rPr>
          <w:b/>
          <w:bCs/>
          <w:sz w:val="24"/>
          <w:szCs w:val="24"/>
          <w:lang w:val="en-US"/>
        </w:rPr>
        <w:t>31 per cent (</w:t>
      </w:r>
      <w:r w:rsidR="00155E1D" w:rsidRPr="00D30730">
        <w:rPr>
          <w:b/>
          <w:bCs/>
          <w:sz w:val="24"/>
          <w:szCs w:val="24"/>
          <w:lang w:val="en-US"/>
        </w:rPr>
        <w:t>143</w:t>
      </w:r>
      <w:r w:rsidRPr="00D30730">
        <w:rPr>
          <w:b/>
          <w:bCs/>
          <w:sz w:val="24"/>
          <w:szCs w:val="24"/>
          <w:lang w:val="en-US"/>
        </w:rPr>
        <w:t>)</w:t>
      </w:r>
      <w:r w:rsidR="00155E1D" w:rsidRPr="00D30730">
        <w:rPr>
          <w:sz w:val="24"/>
          <w:szCs w:val="24"/>
          <w:lang w:val="en-US"/>
        </w:rPr>
        <w:t xml:space="preserve"> were for inadequate </w:t>
      </w:r>
      <w:r w:rsidRPr="00D30730">
        <w:rPr>
          <w:sz w:val="24"/>
          <w:szCs w:val="24"/>
          <w:lang w:val="en-US"/>
        </w:rPr>
        <w:t xml:space="preserve">onsite </w:t>
      </w:r>
      <w:r w:rsidR="00155E1D" w:rsidRPr="00D30730">
        <w:rPr>
          <w:sz w:val="24"/>
          <w:szCs w:val="24"/>
          <w:lang w:val="en-US"/>
        </w:rPr>
        <w:t>implementation</w:t>
      </w:r>
      <w:r w:rsidR="003E5D52">
        <w:rPr>
          <w:sz w:val="24"/>
          <w:szCs w:val="24"/>
          <w:lang w:val="en-US"/>
        </w:rPr>
        <w:t>;</w:t>
      </w:r>
      <w:r w:rsidR="00155E1D" w:rsidRPr="00D30730">
        <w:rPr>
          <w:sz w:val="24"/>
          <w:szCs w:val="24"/>
          <w:lang w:val="en-US"/>
        </w:rPr>
        <w:t xml:space="preserve"> a</w:t>
      </w:r>
      <w:r w:rsidRPr="00D30730">
        <w:rPr>
          <w:sz w:val="24"/>
          <w:szCs w:val="24"/>
          <w:lang w:val="en-US"/>
        </w:rPr>
        <w:t>nd</w:t>
      </w:r>
    </w:p>
    <w:p w14:paraId="0BA49806" w14:textId="77777777" w:rsidR="00155E1D" w:rsidRPr="00D30730" w:rsidRDefault="00D367B4" w:rsidP="00232AE4">
      <w:pPr>
        <w:pStyle w:val="ListParagraph"/>
        <w:numPr>
          <w:ilvl w:val="1"/>
          <w:numId w:val="2"/>
        </w:numPr>
        <w:ind w:left="1276" w:hanging="425"/>
        <w:rPr>
          <w:sz w:val="24"/>
          <w:szCs w:val="24"/>
          <w:lang w:val="en-US"/>
        </w:rPr>
      </w:pPr>
      <w:r w:rsidRPr="00D30730">
        <w:rPr>
          <w:b/>
          <w:bCs/>
          <w:sz w:val="24"/>
          <w:szCs w:val="24"/>
          <w:lang w:val="en-US"/>
        </w:rPr>
        <w:t>19 per cent (</w:t>
      </w:r>
      <w:r w:rsidR="00155E1D" w:rsidRPr="00D30730">
        <w:rPr>
          <w:b/>
          <w:bCs/>
          <w:sz w:val="24"/>
          <w:szCs w:val="24"/>
          <w:lang w:val="en-US"/>
        </w:rPr>
        <w:t>84</w:t>
      </w:r>
      <w:r w:rsidRPr="00D30730">
        <w:rPr>
          <w:b/>
          <w:bCs/>
          <w:sz w:val="24"/>
          <w:szCs w:val="24"/>
          <w:lang w:val="en-US"/>
        </w:rPr>
        <w:t>)</w:t>
      </w:r>
      <w:r w:rsidR="00155E1D" w:rsidRPr="00D30730">
        <w:rPr>
          <w:sz w:val="24"/>
          <w:szCs w:val="24"/>
          <w:lang w:val="en-US"/>
        </w:rPr>
        <w:t xml:space="preserve"> for both </w:t>
      </w:r>
      <w:r w:rsidR="000605F1">
        <w:rPr>
          <w:sz w:val="24"/>
          <w:szCs w:val="24"/>
          <w:lang w:val="en-US"/>
        </w:rPr>
        <w:t xml:space="preserve">a lack of </w:t>
      </w:r>
      <w:r w:rsidR="00155E1D" w:rsidRPr="00D30730">
        <w:rPr>
          <w:sz w:val="24"/>
          <w:szCs w:val="24"/>
          <w:lang w:val="en-US"/>
        </w:rPr>
        <w:t>documentation and implementation.</w:t>
      </w:r>
    </w:p>
    <w:p w14:paraId="4468D10E" w14:textId="77777777" w:rsidR="006328A1" w:rsidRDefault="006328A1" w:rsidP="009D24E0">
      <w:pPr>
        <w:rPr>
          <w:lang w:val="en-US"/>
        </w:rPr>
      </w:pPr>
    </w:p>
    <w:tbl>
      <w:tblPr>
        <w:tblpPr w:leftFromText="180" w:rightFromText="180" w:vertAnchor="text" w:tblpY="1"/>
        <w:tblOverlap w:val="never"/>
        <w:tblW w:w="9483" w:type="dxa"/>
        <w:tblLayout w:type="fixed"/>
        <w:tblLook w:val="04A0" w:firstRow="1" w:lastRow="0" w:firstColumn="1" w:lastColumn="0" w:noHBand="0" w:noVBand="1"/>
      </w:tblPr>
      <w:tblGrid>
        <w:gridCol w:w="1061"/>
        <w:gridCol w:w="880"/>
        <w:gridCol w:w="1146"/>
        <w:gridCol w:w="1576"/>
        <w:gridCol w:w="709"/>
        <w:gridCol w:w="850"/>
        <w:gridCol w:w="709"/>
        <w:gridCol w:w="992"/>
        <w:gridCol w:w="709"/>
        <w:gridCol w:w="851"/>
      </w:tblGrid>
      <w:tr w:rsidR="00836FEB" w:rsidRPr="006328A1" w14:paraId="44C8F8B2" w14:textId="77777777" w:rsidTr="00836FEB">
        <w:trPr>
          <w:trHeight w:val="300"/>
        </w:trPr>
        <w:tc>
          <w:tcPr>
            <w:tcW w:w="1061" w:type="dxa"/>
            <w:vMerge w:val="restart"/>
            <w:tcBorders>
              <w:top w:val="single" w:sz="12" w:space="0" w:color="auto"/>
              <w:left w:val="single" w:sz="12" w:space="0" w:color="auto"/>
              <w:right w:val="single" w:sz="4" w:space="0" w:color="auto"/>
            </w:tcBorders>
            <w:shd w:val="clear" w:color="000000" w:fill="878541"/>
            <w:vAlign w:val="center"/>
          </w:tcPr>
          <w:p w14:paraId="0428ECBE" w14:textId="77777777" w:rsidR="001A7A3A" w:rsidRPr="006328A1" w:rsidRDefault="001A7A3A" w:rsidP="00EC495D">
            <w:pPr>
              <w:jc w:val="center"/>
              <w:rPr>
                <w:rFonts w:ascii="Calibri" w:eastAsia="Times New Roman" w:hAnsi="Calibri" w:cs="Calibri"/>
                <w:b/>
                <w:bCs/>
                <w:color w:val="FFFFFF"/>
                <w:lang w:eastAsia="en-AU"/>
              </w:rPr>
            </w:pPr>
            <w:r w:rsidRPr="006328A1">
              <w:rPr>
                <w:rFonts w:ascii="Calibri" w:eastAsia="Times New Roman" w:hAnsi="Calibri" w:cs="Calibri"/>
                <w:b/>
                <w:bCs/>
                <w:color w:val="FFFFFF"/>
                <w:lang w:eastAsia="en-AU"/>
              </w:rPr>
              <w:t>Sub-criteria</w:t>
            </w:r>
          </w:p>
        </w:tc>
        <w:tc>
          <w:tcPr>
            <w:tcW w:w="880" w:type="dxa"/>
            <w:vMerge w:val="restart"/>
            <w:tcBorders>
              <w:top w:val="single" w:sz="12" w:space="0" w:color="auto"/>
              <w:left w:val="nil"/>
              <w:right w:val="single" w:sz="4" w:space="0" w:color="auto"/>
            </w:tcBorders>
            <w:shd w:val="clear" w:color="000000" w:fill="878541"/>
            <w:vAlign w:val="center"/>
          </w:tcPr>
          <w:p w14:paraId="310EE2A8" w14:textId="77777777" w:rsidR="001A7A3A" w:rsidRDefault="001A7A3A" w:rsidP="00EC495D">
            <w:pPr>
              <w:jc w:val="center"/>
              <w:rPr>
                <w:rFonts w:ascii="Calibri" w:eastAsia="Times New Roman" w:hAnsi="Calibri" w:cs="Calibri"/>
                <w:b/>
                <w:bCs/>
                <w:color w:val="FFFFFF"/>
                <w:lang w:eastAsia="en-AU"/>
              </w:rPr>
            </w:pPr>
            <w:r w:rsidRPr="006328A1">
              <w:rPr>
                <w:rFonts w:ascii="Calibri" w:eastAsia="Times New Roman" w:hAnsi="Calibri" w:cs="Calibri"/>
                <w:b/>
                <w:bCs/>
                <w:color w:val="FFFFFF"/>
                <w:lang w:eastAsia="en-AU"/>
              </w:rPr>
              <w:t>CARs</w:t>
            </w:r>
          </w:p>
          <w:p w14:paraId="231A1243" w14:textId="77777777" w:rsidR="001A7A3A" w:rsidRPr="006328A1" w:rsidRDefault="001A7A3A" w:rsidP="00EC495D">
            <w:pPr>
              <w:jc w:val="center"/>
              <w:rPr>
                <w:rFonts w:ascii="Calibri" w:eastAsia="Times New Roman" w:hAnsi="Calibri" w:cs="Calibri"/>
                <w:b/>
                <w:bCs/>
                <w:color w:val="FFFFFF"/>
                <w:lang w:eastAsia="en-AU"/>
              </w:rPr>
            </w:pPr>
            <w:r>
              <w:rPr>
                <w:rFonts w:ascii="Calibri" w:eastAsia="Times New Roman" w:hAnsi="Calibri" w:cs="Calibri"/>
                <w:b/>
                <w:bCs/>
                <w:color w:val="FFFFFF"/>
                <w:lang w:eastAsia="en-AU"/>
              </w:rPr>
              <w:t>Issued</w:t>
            </w:r>
          </w:p>
        </w:tc>
        <w:tc>
          <w:tcPr>
            <w:tcW w:w="1146" w:type="dxa"/>
            <w:vMerge w:val="restart"/>
            <w:tcBorders>
              <w:top w:val="single" w:sz="12" w:space="0" w:color="auto"/>
              <w:left w:val="nil"/>
              <w:right w:val="single" w:sz="4" w:space="0" w:color="auto"/>
            </w:tcBorders>
            <w:shd w:val="clear" w:color="000000" w:fill="878541"/>
            <w:vAlign w:val="center"/>
          </w:tcPr>
          <w:p w14:paraId="3A3B55E7" w14:textId="77777777" w:rsidR="001A7A3A" w:rsidRDefault="001A7A3A" w:rsidP="00EC495D">
            <w:pPr>
              <w:jc w:val="center"/>
              <w:rPr>
                <w:rFonts w:ascii="Calibri" w:eastAsia="Times New Roman" w:hAnsi="Calibri" w:cs="Calibri"/>
                <w:b/>
                <w:bCs/>
                <w:color w:val="FFFFFF"/>
                <w:lang w:eastAsia="en-AU"/>
              </w:rPr>
            </w:pPr>
            <w:r>
              <w:rPr>
                <w:rFonts w:ascii="Calibri" w:eastAsia="Times New Roman" w:hAnsi="Calibri" w:cs="Calibri"/>
                <w:b/>
                <w:bCs/>
                <w:color w:val="FFFFFF"/>
                <w:lang w:eastAsia="en-AU"/>
              </w:rPr>
              <w:t>Times</w:t>
            </w:r>
          </w:p>
          <w:p w14:paraId="115B564A" w14:textId="77777777" w:rsidR="001A7A3A" w:rsidRDefault="001A7A3A" w:rsidP="00EC495D">
            <w:pPr>
              <w:rPr>
                <w:rFonts w:ascii="Calibri" w:eastAsia="Times New Roman" w:hAnsi="Calibri" w:cs="Calibri"/>
                <w:b/>
                <w:bCs/>
                <w:color w:val="FFFFFF"/>
                <w:lang w:eastAsia="en-AU"/>
              </w:rPr>
            </w:pPr>
            <w:r>
              <w:rPr>
                <w:rFonts w:ascii="Calibri" w:eastAsia="Times New Roman" w:hAnsi="Calibri" w:cs="Calibri"/>
                <w:b/>
                <w:bCs/>
                <w:color w:val="FFFFFF"/>
                <w:lang w:eastAsia="en-AU"/>
              </w:rPr>
              <w:t xml:space="preserve"> </w:t>
            </w:r>
            <w:r w:rsidR="00B0659A">
              <w:rPr>
                <w:rFonts w:ascii="Calibri" w:eastAsia="Times New Roman" w:hAnsi="Calibri" w:cs="Calibri"/>
                <w:b/>
                <w:bCs/>
                <w:color w:val="FFFFFF"/>
                <w:lang w:eastAsia="en-AU"/>
              </w:rPr>
              <w:t>Audited</w:t>
            </w:r>
          </w:p>
        </w:tc>
        <w:tc>
          <w:tcPr>
            <w:tcW w:w="1576" w:type="dxa"/>
            <w:vMerge w:val="restart"/>
            <w:tcBorders>
              <w:top w:val="single" w:sz="12" w:space="0" w:color="auto"/>
              <w:left w:val="nil"/>
              <w:right w:val="single" w:sz="12" w:space="0" w:color="auto"/>
            </w:tcBorders>
            <w:shd w:val="clear" w:color="000000" w:fill="878541"/>
            <w:vAlign w:val="center"/>
          </w:tcPr>
          <w:p w14:paraId="780A006A" w14:textId="77777777" w:rsidR="001A7A3A" w:rsidRPr="006328A1" w:rsidRDefault="00836FEB" w:rsidP="00EC495D">
            <w:pPr>
              <w:jc w:val="center"/>
              <w:rPr>
                <w:rFonts w:ascii="Calibri" w:eastAsia="Times New Roman" w:hAnsi="Calibri" w:cs="Calibri"/>
                <w:b/>
                <w:bCs/>
                <w:color w:val="FFFFFF"/>
                <w:lang w:eastAsia="en-AU"/>
              </w:rPr>
            </w:pPr>
            <w:r>
              <w:rPr>
                <w:rFonts w:ascii="Calibri" w:eastAsia="Times New Roman" w:hAnsi="Calibri" w:cs="Calibri"/>
                <w:b/>
                <w:bCs/>
                <w:color w:val="FFFFFF"/>
                <w:lang w:eastAsia="en-AU"/>
              </w:rPr>
              <w:t xml:space="preserve">Non-compliance </w:t>
            </w:r>
            <w:r w:rsidR="001A7A3A" w:rsidRPr="006328A1">
              <w:rPr>
                <w:rFonts w:ascii="Calibri" w:eastAsia="Times New Roman" w:hAnsi="Calibri" w:cs="Calibri"/>
                <w:b/>
                <w:bCs/>
                <w:color w:val="FFFFFF"/>
                <w:lang w:eastAsia="en-AU"/>
              </w:rPr>
              <w:t>%</w:t>
            </w:r>
          </w:p>
        </w:tc>
        <w:tc>
          <w:tcPr>
            <w:tcW w:w="1559" w:type="dxa"/>
            <w:gridSpan w:val="2"/>
            <w:tcBorders>
              <w:top w:val="single" w:sz="12" w:space="0" w:color="auto"/>
              <w:left w:val="single" w:sz="12" w:space="0" w:color="auto"/>
              <w:bottom w:val="single" w:sz="4" w:space="0" w:color="auto"/>
              <w:right w:val="single" w:sz="12" w:space="0" w:color="auto"/>
            </w:tcBorders>
            <w:shd w:val="clear" w:color="000000" w:fill="878541"/>
            <w:vAlign w:val="center"/>
          </w:tcPr>
          <w:p w14:paraId="32BED0CE" w14:textId="77777777" w:rsidR="001A7A3A" w:rsidRPr="006328A1" w:rsidRDefault="001A7A3A" w:rsidP="00EC495D">
            <w:pPr>
              <w:jc w:val="center"/>
              <w:rPr>
                <w:rFonts w:ascii="Calibri" w:eastAsia="Times New Roman" w:hAnsi="Calibri" w:cs="Calibri"/>
                <w:b/>
                <w:bCs/>
                <w:color w:val="FFFFFF"/>
                <w:sz w:val="20"/>
                <w:szCs w:val="20"/>
                <w:lang w:eastAsia="en-AU"/>
              </w:rPr>
            </w:pPr>
            <w:r w:rsidRPr="006328A1">
              <w:rPr>
                <w:rFonts w:ascii="Calibri" w:eastAsia="Times New Roman" w:hAnsi="Calibri" w:cs="Calibri"/>
                <w:b/>
                <w:bCs/>
                <w:color w:val="FFFFFF"/>
                <w:sz w:val="20"/>
                <w:szCs w:val="20"/>
                <w:lang w:eastAsia="en-AU"/>
              </w:rPr>
              <w:t>Documentation</w:t>
            </w:r>
          </w:p>
        </w:tc>
        <w:tc>
          <w:tcPr>
            <w:tcW w:w="1701" w:type="dxa"/>
            <w:gridSpan w:val="2"/>
            <w:tcBorders>
              <w:top w:val="single" w:sz="12" w:space="0" w:color="auto"/>
              <w:left w:val="single" w:sz="12" w:space="0" w:color="auto"/>
              <w:bottom w:val="single" w:sz="4" w:space="0" w:color="auto"/>
              <w:right w:val="single" w:sz="12" w:space="0" w:color="auto"/>
            </w:tcBorders>
            <w:shd w:val="clear" w:color="000000" w:fill="878541"/>
            <w:vAlign w:val="center"/>
          </w:tcPr>
          <w:p w14:paraId="5D5D30B2" w14:textId="77777777" w:rsidR="001A7A3A" w:rsidRPr="006328A1" w:rsidRDefault="001A7A3A" w:rsidP="00EC495D">
            <w:pPr>
              <w:jc w:val="center"/>
              <w:rPr>
                <w:rFonts w:ascii="Calibri" w:eastAsia="Times New Roman" w:hAnsi="Calibri" w:cs="Calibri"/>
                <w:b/>
                <w:bCs/>
                <w:color w:val="FFFFFF"/>
                <w:lang w:eastAsia="en-AU"/>
              </w:rPr>
            </w:pPr>
            <w:r w:rsidRPr="006328A1">
              <w:rPr>
                <w:rFonts w:ascii="Calibri" w:eastAsia="Times New Roman" w:hAnsi="Calibri" w:cs="Calibri"/>
                <w:b/>
                <w:bCs/>
                <w:color w:val="FFFFFF"/>
                <w:sz w:val="20"/>
                <w:szCs w:val="20"/>
                <w:lang w:eastAsia="en-AU"/>
              </w:rPr>
              <w:t>Implementation</w:t>
            </w:r>
          </w:p>
        </w:tc>
        <w:tc>
          <w:tcPr>
            <w:tcW w:w="1560" w:type="dxa"/>
            <w:gridSpan w:val="2"/>
            <w:tcBorders>
              <w:top w:val="single" w:sz="12" w:space="0" w:color="auto"/>
              <w:left w:val="single" w:sz="12" w:space="0" w:color="auto"/>
              <w:bottom w:val="single" w:sz="4" w:space="0" w:color="auto"/>
              <w:right w:val="single" w:sz="12" w:space="0" w:color="auto"/>
            </w:tcBorders>
            <w:shd w:val="clear" w:color="000000" w:fill="878541"/>
          </w:tcPr>
          <w:p w14:paraId="5B220FE7" w14:textId="77777777" w:rsidR="001A7A3A" w:rsidRPr="006328A1" w:rsidRDefault="001A7A3A" w:rsidP="00EC495D">
            <w:pPr>
              <w:jc w:val="center"/>
              <w:rPr>
                <w:rFonts w:ascii="Calibri" w:eastAsia="Times New Roman" w:hAnsi="Calibri" w:cs="Calibri"/>
                <w:b/>
                <w:bCs/>
                <w:color w:val="FFFFFF"/>
                <w:lang w:eastAsia="en-AU"/>
              </w:rPr>
            </w:pPr>
            <w:r w:rsidRPr="006328A1">
              <w:rPr>
                <w:rFonts w:ascii="Calibri" w:eastAsia="Times New Roman" w:hAnsi="Calibri" w:cs="Calibri"/>
                <w:b/>
                <w:bCs/>
                <w:color w:val="FFFFFF"/>
                <w:lang w:eastAsia="en-AU"/>
              </w:rPr>
              <w:t>Both</w:t>
            </w:r>
          </w:p>
        </w:tc>
      </w:tr>
      <w:tr w:rsidR="00836FEB" w:rsidRPr="006328A1" w14:paraId="66F3FA92" w14:textId="77777777" w:rsidTr="00F06556">
        <w:trPr>
          <w:trHeight w:val="300"/>
        </w:trPr>
        <w:tc>
          <w:tcPr>
            <w:tcW w:w="1061" w:type="dxa"/>
            <w:vMerge/>
            <w:tcBorders>
              <w:left w:val="single" w:sz="12" w:space="0" w:color="auto"/>
              <w:bottom w:val="single" w:sz="12" w:space="0" w:color="auto"/>
              <w:right w:val="single" w:sz="4" w:space="0" w:color="auto"/>
            </w:tcBorders>
            <w:shd w:val="clear" w:color="000000" w:fill="878541"/>
            <w:vAlign w:val="center"/>
            <w:hideMark/>
          </w:tcPr>
          <w:p w14:paraId="6CF98E17" w14:textId="77777777" w:rsidR="001A7A3A" w:rsidRPr="006328A1" w:rsidRDefault="001A7A3A" w:rsidP="00EC495D">
            <w:pPr>
              <w:jc w:val="center"/>
              <w:rPr>
                <w:rFonts w:ascii="Calibri" w:eastAsia="Times New Roman" w:hAnsi="Calibri" w:cs="Calibri"/>
                <w:b/>
                <w:bCs/>
                <w:color w:val="FFFFFF"/>
                <w:lang w:eastAsia="en-AU"/>
              </w:rPr>
            </w:pPr>
          </w:p>
        </w:tc>
        <w:tc>
          <w:tcPr>
            <w:tcW w:w="880" w:type="dxa"/>
            <w:vMerge/>
            <w:tcBorders>
              <w:left w:val="nil"/>
              <w:bottom w:val="single" w:sz="12" w:space="0" w:color="auto"/>
              <w:right w:val="single" w:sz="4" w:space="0" w:color="auto"/>
            </w:tcBorders>
            <w:shd w:val="clear" w:color="000000" w:fill="878541"/>
            <w:vAlign w:val="center"/>
            <w:hideMark/>
          </w:tcPr>
          <w:p w14:paraId="3CCD08DC" w14:textId="77777777" w:rsidR="001A7A3A" w:rsidRPr="006328A1" w:rsidRDefault="001A7A3A" w:rsidP="00EC495D">
            <w:pPr>
              <w:jc w:val="center"/>
              <w:rPr>
                <w:rFonts w:ascii="Calibri" w:eastAsia="Times New Roman" w:hAnsi="Calibri" w:cs="Calibri"/>
                <w:b/>
                <w:bCs/>
                <w:color w:val="FFFFFF"/>
                <w:lang w:eastAsia="en-AU"/>
              </w:rPr>
            </w:pPr>
          </w:p>
        </w:tc>
        <w:tc>
          <w:tcPr>
            <w:tcW w:w="1146" w:type="dxa"/>
            <w:vMerge/>
            <w:tcBorders>
              <w:left w:val="nil"/>
              <w:bottom w:val="single" w:sz="12" w:space="0" w:color="auto"/>
              <w:right w:val="single" w:sz="4" w:space="0" w:color="auto"/>
            </w:tcBorders>
            <w:shd w:val="clear" w:color="000000" w:fill="878541"/>
            <w:vAlign w:val="center"/>
            <w:hideMark/>
          </w:tcPr>
          <w:p w14:paraId="20D9A72E" w14:textId="77777777" w:rsidR="001A7A3A" w:rsidRPr="006328A1" w:rsidRDefault="001A7A3A" w:rsidP="00EC495D">
            <w:pPr>
              <w:rPr>
                <w:rFonts w:ascii="Calibri" w:eastAsia="Times New Roman" w:hAnsi="Calibri" w:cs="Calibri"/>
                <w:b/>
                <w:bCs/>
                <w:color w:val="FFFFFF"/>
                <w:lang w:eastAsia="en-AU"/>
              </w:rPr>
            </w:pPr>
          </w:p>
        </w:tc>
        <w:tc>
          <w:tcPr>
            <w:tcW w:w="1576" w:type="dxa"/>
            <w:vMerge/>
            <w:tcBorders>
              <w:left w:val="nil"/>
              <w:bottom w:val="single" w:sz="12" w:space="0" w:color="auto"/>
              <w:right w:val="single" w:sz="12" w:space="0" w:color="auto"/>
            </w:tcBorders>
            <w:shd w:val="clear" w:color="000000" w:fill="878541"/>
            <w:vAlign w:val="center"/>
            <w:hideMark/>
          </w:tcPr>
          <w:p w14:paraId="58EF5F95" w14:textId="77777777" w:rsidR="001A7A3A" w:rsidRPr="006328A1" w:rsidRDefault="001A7A3A" w:rsidP="00EC495D">
            <w:pPr>
              <w:jc w:val="center"/>
              <w:rPr>
                <w:rFonts w:ascii="Calibri" w:eastAsia="Times New Roman" w:hAnsi="Calibri" w:cs="Calibri"/>
                <w:b/>
                <w:bCs/>
                <w:color w:val="FFFFFF"/>
                <w:lang w:eastAsia="en-AU"/>
              </w:rPr>
            </w:pPr>
          </w:p>
        </w:tc>
        <w:tc>
          <w:tcPr>
            <w:tcW w:w="709" w:type="dxa"/>
            <w:tcBorders>
              <w:top w:val="single" w:sz="4" w:space="0" w:color="auto"/>
              <w:left w:val="single" w:sz="12" w:space="0" w:color="auto"/>
              <w:bottom w:val="single" w:sz="12" w:space="0" w:color="auto"/>
              <w:right w:val="single" w:sz="4" w:space="0" w:color="auto"/>
            </w:tcBorders>
            <w:shd w:val="clear" w:color="000000" w:fill="878541"/>
            <w:vAlign w:val="center"/>
          </w:tcPr>
          <w:p w14:paraId="7232C918" w14:textId="77777777" w:rsidR="001A7A3A" w:rsidRPr="006328A1" w:rsidRDefault="001A7A3A" w:rsidP="00EC495D">
            <w:pPr>
              <w:jc w:val="center"/>
              <w:rPr>
                <w:rFonts w:ascii="Calibri" w:eastAsia="Times New Roman" w:hAnsi="Calibri" w:cs="Calibri"/>
                <w:b/>
                <w:bCs/>
                <w:color w:val="FFFFFF"/>
                <w:sz w:val="20"/>
                <w:szCs w:val="20"/>
                <w:lang w:eastAsia="en-AU"/>
              </w:rPr>
            </w:pPr>
            <w:r>
              <w:rPr>
                <w:rFonts w:ascii="Calibri" w:eastAsia="Times New Roman" w:hAnsi="Calibri" w:cs="Calibri"/>
                <w:b/>
                <w:bCs/>
                <w:color w:val="FFFFFF"/>
                <w:sz w:val="20"/>
                <w:szCs w:val="20"/>
                <w:lang w:eastAsia="en-AU"/>
              </w:rPr>
              <w:t>#</w:t>
            </w:r>
          </w:p>
        </w:tc>
        <w:tc>
          <w:tcPr>
            <w:tcW w:w="850" w:type="dxa"/>
            <w:tcBorders>
              <w:top w:val="single" w:sz="4" w:space="0" w:color="auto"/>
              <w:left w:val="nil"/>
              <w:bottom w:val="single" w:sz="12" w:space="0" w:color="auto"/>
              <w:right w:val="single" w:sz="12" w:space="0" w:color="auto"/>
            </w:tcBorders>
            <w:shd w:val="clear" w:color="000000" w:fill="878541"/>
          </w:tcPr>
          <w:p w14:paraId="21598220" w14:textId="77777777" w:rsidR="001A7A3A" w:rsidRPr="006328A1" w:rsidRDefault="001A7A3A" w:rsidP="00EC495D">
            <w:pPr>
              <w:jc w:val="center"/>
              <w:rPr>
                <w:rFonts w:ascii="Calibri" w:eastAsia="Times New Roman" w:hAnsi="Calibri" w:cs="Calibri"/>
                <w:b/>
                <w:bCs/>
                <w:color w:val="FFFFFF"/>
                <w:sz w:val="20"/>
                <w:szCs w:val="20"/>
                <w:lang w:eastAsia="en-AU"/>
              </w:rPr>
            </w:pPr>
            <w:r>
              <w:rPr>
                <w:rFonts w:ascii="Calibri" w:eastAsia="Times New Roman" w:hAnsi="Calibri" w:cs="Calibri"/>
                <w:b/>
                <w:bCs/>
                <w:color w:val="FFFFFF"/>
                <w:sz w:val="20"/>
                <w:szCs w:val="20"/>
                <w:lang w:eastAsia="en-AU"/>
              </w:rPr>
              <w:t>%</w:t>
            </w:r>
          </w:p>
        </w:tc>
        <w:tc>
          <w:tcPr>
            <w:tcW w:w="709" w:type="dxa"/>
            <w:tcBorders>
              <w:top w:val="single" w:sz="4" w:space="0" w:color="auto"/>
              <w:left w:val="single" w:sz="12" w:space="0" w:color="auto"/>
              <w:bottom w:val="single" w:sz="12" w:space="0" w:color="auto"/>
              <w:right w:val="single" w:sz="4" w:space="0" w:color="auto"/>
            </w:tcBorders>
            <w:shd w:val="clear" w:color="000000" w:fill="878541"/>
            <w:vAlign w:val="center"/>
          </w:tcPr>
          <w:p w14:paraId="01E1C864" w14:textId="77777777" w:rsidR="001A7A3A" w:rsidRPr="006328A1" w:rsidRDefault="001A7A3A" w:rsidP="00EC495D">
            <w:pPr>
              <w:jc w:val="center"/>
              <w:rPr>
                <w:rFonts w:ascii="Calibri" w:eastAsia="Times New Roman" w:hAnsi="Calibri" w:cs="Calibri"/>
                <w:b/>
                <w:bCs/>
                <w:color w:val="FFFFFF"/>
                <w:sz w:val="20"/>
                <w:szCs w:val="20"/>
                <w:lang w:eastAsia="en-AU"/>
              </w:rPr>
            </w:pPr>
            <w:r>
              <w:rPr>
                <w:rFonts w:ascii="Calibri" w:eastAsia="Times New Roman" w:hAnsi="Calibri" w:cs="Calibri"/>
                <w:b/>
                <w:bCs/>
                <w:color w:val="FFFFFF"/>
                <w:sz w:val="20"/>
                <w:szCs w:val="20"/>
                <w:lang w:eastAsia="en-AU"/>
              </w:rPr>
              <w:t>#</w:t>
            </w:r>
          </w:p>
        </w:tc>
        <w:tc>
          <w:tcPr>
            <w:tcW w:w="992" w:type="dxa"/>
            <w:tcBorders>
              <w:top w:val="single" w:sz="4" w:space="0" w:color="auto"/>
              <w:left w:val="nil"/>
              <w:bottom w:val="single" w:sz="12" w:space="0" w:color="auto"/>
              <w:right w:val="single" w:sz="12" w:space="0" w:color="auto"/>
            </w:tcBorders>
            <w:shd w:val="clear" w:color="000000" w:fill="878541"/>
          </w:tcPr>
          <w:p w14:paraId="4DD151BC" w14:textId="77777777" w:rsidR="001A7A3A" w:rsidRPr="006328A1" w:rsidRDefault="001A7A3A" w:rsidP="00EC495D">
            <w:pPr>
              <w:jc w:val="center"/>
              <w:rPr>
                <w:rFonts w:ascii="Calibri" w:eastAsia="Times New Roman" w:hAnsi="Calibri" w:cs="Calibri"/>
                <w:b/>
                <w:bCs/>
                <w:color w:val="FFFFFF"/>
                <w:lang w:eastAsia="en-AU"/>
              </w:rPr>
            </w:pPr>
            <w:r>
              <w:rPr>
                <w:rFonts w:ascii="Calibri" w:eastAsia="Times New Roman" w:hAnsi="Calibri" w:cs="Calibri"/>
                <w:b/>
                <w:bCs/>
                <w:color w:val="FFFFFF"/>
                <w:sz w:val="20"/>
                <w:szCs w:val="20"/>
                <w:lang w:eastAsia="en-AU"/>
              </w:rPr>
              <w:t>%</w:t>
            </w:r>
          </w:p>
        </w:tc>
        <w:tc>
          <w:tcPr>
            <w:tcW w:w="709" w:type="dxa"/>
            <w:tcBorders>
              <w:top w:val="single" w:sz="4" w:space="0" w:color="auto"/>
              <w:left w:val="single" w:sz="12" w:space="0" w:color="auto"/>
              <w:bottom w:val="single" w:sz="12" w:space="0" w:color="auto"/>
              <w:right w:val="single" w:sz="4" w:space="0" w:color="auto"/>
            </w:tcBorders>
            <w:shd w:val="clear" w:color="000000" w:fill="878541"/>
            <w:vAlign w:val="center"/>
          </w:tcPr>
          <w:p w14:paraId="723975FC" w14:textId="77777777" w:rsidR="001A7A3A" w:rsidRPr="006328A1" w:rsidRDefault="001A7A3A" w:rsidP="00EC495D">
            <w:pPr>
              <w:jc w:val="center"/>
              <w:rPr>
                <w:rFonts w:ascii="Calibri" w:eastAsia="Times New Roman" w:hAnsi="Calibri" w:cs="Calibri"/>
                <w:b/>
                <w:bCs/>
                <w:color w:val="FFFFFF"/>
                <w:lang w:eastAsia="en-AU"/>
              </w:rPr>
            </w:pPr>
            <w:r>
              <w:rPr>
                <w:rFonts w:ascii="Calibri" w:eastAsia="Times New Roman" w:hAnsi="Calibri" w:cs="Calibri"/>
                <w:b/>
                <w:bCs/>
                <w:color w:val="FFFFFF"/>
                <w:sz w:val="20"/>
                <w:szCs w:val="20"/>
                <w:lang w:eastAsia="en-AU"/>
              </w:rPr>
              <w:t>#</w:t>
            </w:r>
          </w:p>
        </w:tc>
        <w:tc>
          <w:tcPr>
            <w:tcW w:w="851" w:type="dxa"/>
            <w:tcBorders>
              <w:top w:val="single" w:sz="4" w:space="0" w:color="auto"/>
              <w:left w:val="single" w:sz="4" w:space="0" w:color="auto"/>
              <w:bottom w:val="single" w:sz="12" w:space="0" w:color="auto"/>
              <w:right w:val="single" w:sz="12" w:space="0" w:color="auto"/>
            </w:tcBorders>
            <w:shd w:val="clear" w:color="000000" w:fill="878541"/>
          </w:tcPr>
          <w:p w14:paraId="2170297A" w14:textId="77777777" w:rsidR="001A7A3A" w:rsidRPr="006328A1" w:rsidRDefault="001A7A3A" w:rsidP="00EC495D">
            <w:pPr>
              <w:jc w:val="center"/>
              <w:rPr>
                <w:rFonts w:ascii="Calibri" w:eastAsia="Times New Roman" w:hAnsi="Calibri" w:cs="Calibri"/>
                <w:b/>
                <w:bCs/>
                <w:color w:val="FFFFFF"/>
                <w:lang w:eastAsia="en-AU"/>
              </w:rPr>
            </w:pPr>
            <w:r>
              <w:rPr>
                <w:rFonts w:ascii="Calibri" w:eastAsia="Times New Roman" w:hAnsi="Calibri" w:cs="Calibri"/>
                <w:b/>
                <w:bCs/>
                <w:color w:val="FFFFFF"/>
                <w:sz w:val="20"/>
                <w:szCs w:val="20"/>
                <w:lang w:eastAsia="en-AU"/>
              </w:rPr>
              <w:t>%</w:t>
            </w:r>
          </w:p>
        </w:tc>
      </w:tr>
      <w:tr w:rsidR="00836FEB" w:rsidRPr="006328A1" w14:paraId="0A3663DF" w14:textId="77777777" w:rsidTr="00F06556">
        <w:trPr>
          <w:trHeight w:val="315"/>
        </w:trPr>
        <w:tc>
          <w:tcPr>
            <w:tcW w:w="1061" w:type="dxa"/>
            <w:tcBorders>
              <w:top w:val="single" w:sz="12" w:space="0" w:color="auto"/>
              <w:left w:val="single" w:sz="12" w:space="0" w:color="auto"/>
              <w:bottom w:val="single" w:sz="4" w:space="0" w:color="auto"/>
              <w:right w:val="single" w:sz="4" w:space="0" w:color="auto"/>
            </w:tcBorders>
            <w:shd w:val="clear" w:color="auto" w:fill="DDD9C3" w:themeFill="background2" w:themeFillShade="E6"/>
            <w:vAlign w:val="center"/>
            <w:hideMark/>
          </w:tcPr>
          <w:p w14:paraId="38E0974B" w14:textId="77777777" w:rsidR="00D367B4" w:rsidRPr="006328A1" w:rsidRDefault="00D367B4" w:rsidP="00EC495D">
            <w:pPr>
              <w:jc w:val="center"/>
              <w:rPr>
                <w:rFonts w:ascii="Calibri" w:eastAsia="Times New Roman" w:hAnsi="Calibri" w:cs="Calibri"/>
                <w:b/>
                <w:bCs/>
                <w:color w:val="000000"/>
                <w:sz w:val="24"/>
                <w:szCs w:val="24"/>
                <w:lang w:eastAsia="en-AU"/>
              </w:rPr>
            </w:pPr>
            <w:r w:rsidRPr="006328A1">
              <w:rPr>
                <w:rFonts w:ascii="Calibri" w:eastAsia="Times New Roman" w:hAnsi="Calibri" w:cs="Calibri"/>
                <w:b/>
                <w:bCs/>
                <w:color w:val="000000"/>
                <w:sz w:val="24"/>
                <w:szCs w:val="24"/>
                <w:lang w:eastAsia="en-AU"/>
              </w:rPr>
              <w:t>H16.1</w:t>
            </w:r>
          </w:p>
        </w:tc>
        <w:tc>
          <w:tcPr>
            <w:tcW w:w="880" w:type="dxa"/>
            <w:tcBorders>
              <w:top w:val="single" w:sz="12" w:space="0" w:color="auto"/>
              <w:left w:val="nil"/>
              <w:bottom w:val="single" w:sz="4" w:space="0" w:color="auto"/>
              <w:right w:val="single" w:sz="4" w:space="0" w:color="auto"/>
            </w:tcBorders>
            <w:shd w:val="clear" w:color="000000" w:fill="E1E0C1"/>
            <w:vAlign w:val="center"/>
            <w:hideMark/>
          </w:tcPr>
          <w:p w14:paraId="1B18F370"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20</w:t>
            </w:r>
          </w:p>
        </w:tc>
        <w:tc>
          <w:tcPr>
            <w:tcW w:w="1146" w:type="dxa"/>
            <w:tcBorders>
              <w:top w:val="single" w:sz="12" w:space="0" w:color="auto"/>
              <w:left w:val="nil"/>
              <w:bottom w:val="single" w:sz="4" w:space="0" w:color="auto"/>
              <w:right w:val="single" w:sz="4" w:space="0" w:color="auto"/>
            </w:tcBorders>
            <w:shd w:val="clear" w:color="000000" w:fill="E1E0C1"/>
            <w:vAlign w:val="center"/>
            <w:hideMark/>
          </w:tcPr>
          <w:p w14:paraId="273FC557"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169</w:t>
            </w:r>
          </w:p>
        </w:tc>
        <w:tc>
          <w:tcPr>
            <w:tcW w:w="1576" w:type="dxa"/>
            <w:tcBorders>
              <w:top w:val="single" w:sz="12" w:space="0" w:color="auto"/>
              <w:left w:val="nil"/>
              <w:bottom w:val="single" w:sz="4" w:space="0" w:color="auto"/>
              <w:right w:val="single" w:sz="12" w:space="0" w:color="auto"/>
            </w:tcBorders>
            <w:shd w:val="clear" w:color="000000" w:fill="E1E0C1"/>
            <w:hideMark/>
          </w:tcPr>
          <w:p w14:paraId="5482502E" w14:textId="77777777" w:rsidR="00D367B4" w:rsidRPr="006328A1" w:rsidRDefault="00D367B4" w:rsidP="00EC495D">
            <w:pPr>
              <w:jc w:val="center"/>
              <w:rPr>
                <w:rFonts w:ascii="Calibri" w:eastAsia="Times New Roman" w:hAnsi="Calibri" w:cs="Calibri"/>
                <w:color w:val="000000"/>
                <w:lang w:eastAsia="en-AU"/>
              </w:rPr>
            </w:pPr>
            <w:r>
              <w:t>11.8%</w:t>
            </w:r>
          </w:p>
        </w:tc>
        <w:tc>
          <w:tcPr>
            <w:tcW w:w="709" w:type="dxa"/>
            <w:tcBorders>
              <w:top w:val="single" w:sz="12" w:space="0" w:color="auto"/>
              <w:left w:val="single" w:sz="12" w:space="0" w:color="auto"/>
              <w:bottom w:val="single" w:sz="4" w:space="0" w:color="auto"/>
              <w:right w:val="single" w:sz="4" w:space="0" w:color="auto"/>
            </w:tcBorders>
            <w:shd w:val="clear" w:color="000000" w:fill="E1E0C1"/>
            <w:vAlign w:val="center"/>
            <w:hideMark/>
          </w:tcPr>
          <w:p w14:paraId="264AC9AE"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10</w:t>
            </w:r>
          </w:p>
        </w:tc>
        <w:tc>
          <w:tcPr>
            <w:tcW w:w="850" w:type="dxa"/>
            <w:tcBorders>
              <w:top w:val="single" w:sz="12" w:space="0" w:color="auto"/>
              <w:left w:val="nil"/>
              <w:bottom w:val="single" w:sz="4" w:space="0" w:color="auto"/>
              <w:right w:val="single" w:sz="12" w:space="0" w:color="auto"/>
            </w:tcBorders>
            <w:shd w:val="clear" w:color="000000" w:fill="E1E0C1"/>
            <w:vAlign w:val="center"/>
          </w:tcPr>
          <w:p w14:paraId="1E27F14E"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50.0%</w:t>
            </w:r>
          </w:p>
        </w:tc>
        <w:tc>
          <w:tcPr>
            <w:tcW w:w="709" w:type="dxa"/>
            <w:tcBorders>
              <w:top w:val="single" w:sz="12" w:space="0" w:color="auto"/>
              <w:left w:val="single" w:sz="12" w:space="0" w:color="auto"/>
              <w:bottom w:val="single" w:sz="4" w:space="0" w:color="auto"/>
              <w:right w:val="single" w:sz="4" w:space="0" w:color="auto"/>
            </w:tcBorders>
            <w:shd w:val="clear" w:color="000000" w:fill="E1E0C1"/>
            <w:vAlign w:val="center"/>
            <w:hideMark/>
          </w:tcPr>
          <w:p w14:paraId="7D60EFAF"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6</w:t>
            </w:r>
          </w:p>
        </w:tc>
        <w:tc>
          <w:tcPr>
            <w:tcW w:w="992" w:type="dxa"/>
            <w:tcBorders>
              <w:top w:val="single" w:sz="12" w:space="0" w:color="auto"/>
              <w:left w:val="nil"/>
              <w:bottom w:val="single" w:sz="4" w:space="0" w:color="auto"/>
              <w:right w:val="single" w:sz="12" w:space="0" w:color="auto"/>
            </w:tcBorders>
            <w:shd w:val="clear" w:color="000000" w:fill="E1E0C1"/>
            <w:vAlign w:val="center"/>
          </w:tcPr>
          <w:p w14:paraId="0AD80F2E"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30.0%</w:t>
            </w:r>
          </w:p>
        </w:tc>
        <w:tc>
          <w:tcPr>
            <w:tcW w:w="709" w:type="dxa"/>
            <w:tcBorders>
              <w:top w:val="single" w:sz="12" w:space="0" w:color="auto"/>
              <w:left w:val="single" w:sz="12" w:space="0" w:color="auto"/>
              <w:bottom w:val="single" w:sz="4" w:space="0" w:color="auto"/>
              <w:right w:val="single" w:sz="4" w:space="0" w:color="auto"/>
            </w:tcBorders>
            <w:shd w:val="clear" w:color="000000" w:fill="E1E0C1"/>
            <w:vAlign w:val="center"/>
            <w:hideMark/>
          </w:tcPr>
          <w:p w14:paraId="1DCAFBE7"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4</w:t>
            </w:r>
          </w:p>
        </w:tc>
        <w:tc>
          <w:tcPr>
            <w:tcW w:w="851" w:type="dxa"/>
            <w:tcBorders>
              <w:top w:val="single" w:sz="12" w:space="0" w:color="auto"/>
              <w:left w:val="single" w:sz="4" w:space="0" w:color="auto"/>
              <w:bottom w:val="single" w:sz="4" w:space="0" w:color="auto"/>
              <w:right w:val="single" w:sz="12" w:space="0" w:color="auto"/>
            </w:tcBorders>
            <w:shd w:val="clear" w:color="000000" w:fill="E1E0C1"/>
            <w:vAlign w:val="center"/>
          </w:tcPr>
          <w:p w14:paraId="0F2E9C7F"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20.0%</w:t>
            </w:r>
          </w:p>
        </w:tc>
      </w:tr>
      <w:tr w:rsidR="00836FEB" w:rsidRPr="006328A1" w14:paraId="1913198D" w14:textId="77777777" w:rsidTr="00F06556">
        <w:trPr>
          <w:trHeight w:val="315"/>
        </w:trPr>
        <w:tc>
          <w:tcPr>
            <w:tcW w:w="1061" w:type="dxa"/>
            <w:tcBorders>
              <w:top w:val="nil"/>
              <w:left w:val="single" w:sz="12" w:space="0" w:color="auto"/>
              <w:bottom w:val="single" w:sz="4" w:space="0" w:color="auto"/>
              <w:right w:val="single" w:sz="4" w:space="0" w:color="auto"/>
            </w:tcBorders>
            <w:shd w:val="clear" w:color="auto" w:fill="EEECE1" w:themeFill="background2"/>
            <w:vAlign w:val="center"/>
            <w:hideMark/>
          </w:tcPr>
          <w:p w14:paraId="63A20A2C" w14:textId="77777777" w:rsidR="00D367B4" w:rsidRPr="006328A1" w:rsidRDefault="00D367B4" w:rsidP="00EC495D">
            <w:pPr>
              <w:jc w:val="center"/>
              <w:rPr>
                <w:rFonts w:ascii="Calibri" w:eastAsia="Times New Roman" w:hAnsi="Calibri" w:cs="Calibri"/>
                <w:b/>
                <w:bCs/>
                <w:color w:val="000000"/>
                <w:sz w:val="24"/>
                <w:szCs w:val="24"/>
                <w:lang w:eastAsia="en-AU"/>
              </w:rPr>
            </w:pPr>
            <w:r w:rsidRPr="006328A1">
              <w:rPr>
                <w:rFonts w:ascii="Calibri" w:eastAsia="Times New Roman" w:hAnsi="Calibri" w:cs="Calibri"/>
                <w:b/>
                <w:bCs/>
                <w:color w:val="000000"/>
                <w:sz w:val="24"/>
                <w:szCs w:val="24"/>
                <w:lang w:eastAsia="en-AU"/>
              </w:rPr>
              <w:t>H16.2</w:t>
            </w:r>
          </w:p>
        </w:tc>
        <w:tc>
          <w:tcPr>
            <w:tcW w:w="880" w:type="dxa"/>
            <w:tcBorders>
              <w:top w:val="nil"/>
              <w:left w:val="nil"/>
              <w:bottom w:val="single" w:sz="4" w:space="0" w:color="auto"/>
              <w:right w:val="single" w:sz="4" w:space="0" w:color="auto"/>
            </w:tcBorders>
            <w:shd w:val="clear" w:color="auto" w:fill="EEECE1" w:themeFill="background2"/>
            <w:vAlign w:val="center"/>
            <w:hideMark/>
          </w:tcPr>
          <w:p w14:paraId="5A6D219C"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34</w:t>
            </w:r>
          </w:p>
        </w:tc>
        <w:tc>
          <w:tcPr>
            <w:tcW w:w="1146" w:type="dxa"/>
            <w:tcBorders>
              <w:top w:val="nil"/>
              <w:left w:val="nil"/>
              <w:bottom w:val="single" w:sz="4" w:space="0" w:color="auto"/>
              <w:right w:val="single" w:sz="4" w:space="0" w:color="auto"/>
            </w:tcBorders>
            <w:shd w:val="clear" w:color="auto" w:fill="EEECE1" w:themeFill="background2"/>
            <w:vAlign w:val="center"/>
            <w:hideMark/>
          </w:tcPr>
          <w:p w14:paraId="27AF3F88"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169</w:t>
            </w:r>
          </w:p>
        </w:tc>
        <w:tc>
          <w:tcPr>
            <w:tcW w:w="1576" w:type="dxa"/>
            <w:tcBorders>
              <w:top w:val="nil"/>
              <w:left w:val="nil"/>
              <w:bottom w:val="single" w:sz="4" w:space="0" w:color="auto"/>
              <w:right w:val="single" w:sz="12" w:space="0" w:color="auto"/>
            </w:tcBorders>
            <w:shd w:val="clear" w:color="auto" w:fill="EEECE1" w:themeFill="background2"/>
            <w:hideMark/>
          </w:tcPr>
          <w:p w14:paraId="0925006D" w14:textId="77777777" w:rsidR="00D367B4" w:rsidRPr="006328A1" w:rsidRDefault="00D367B4" w:rsidP="00EC495D">
            <w:pPr>
              <w:jc w:val="center"/>
              <w:rPr>
                <w:rFonts w:ascii="Calibri" w:eastAsia="Times New Roman" w:hAnsi="Calibri" w:cs="Calibri"/>
                <w:color w:val="000000"/>
                <w:lang w:eastAsia="en-AU"/>
              </w:rPr>
            </w:pPr>
            <w:r>
              <w:t>20.1%</w:t>
            </w:r>
          </w:p>
        </w:tc>
        <w:tc>
          <w:tcPr>
            <w:tcW w:w="709" w:type="dxa"/>
            <w:tcBorders>
              <w:top w:val="nil"/>
              <w:left w:val="single" w:sz="12" w:space="0" w:color="auto"/>
              <w:bottom w:val="single" w:sz="4" w:space="0" w:color="auto"/>
              <w:right w:val="single" w:sz="4" w:space="0" w:color="auto"/>
            </w:tcBorders>
            <w:shd w:val="clear" w:color="auto" w:fill="EEECE1" w:themeFill="background2"/>
            <w:vAlign w:val="center"/>
            <w:hideMark/>
          </w:tcPr>
          <w:p w14:paraId="6B8E1C07"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9</w:t>
            </w:r>
          </w:p>
        </w:tc>
        <w:tc>
          <w:tcPr>
            <w:tcW w:w="850" w:type="dxa"/>
            <w:tcBorders>
              <w:top w:val="nil"/>
              <w:left w:val="nil"/>
              <w:bottom w:val="single" w:sz="4" w:space="0" w:color="auto"/>
              <w:right w:val="single" w:sz="12" w:space="0" w:color="auto"/>
            </w:tcBorders>
            <w:shd w:val="clear" w:color="auto" w:fill="EEECE1" w:themeFill="background2"/>
            <w:vAlign w:val="center"/>
          </w:tcPr>
          <w:p w14:paraId="45D62EDB"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26.5%</w:t>
            </w:r>
          </w:p>
        </w:tc>
        <w:tc>
          <w:tcPr>
            <w:tcW w:w="709" w:type="dxa"/>
            <w:tcBorders>
              <w:top w:val="nil"/>
              <w:left w:val="single" w:sz="12" w:space="0" w:color="auto"/>
              <w:bottom w:val="single" w:sz="4" w:space="0" w:color="auto"/>
              <w:right w:val="single" w:sz="4" w:space="0" w:color="auto"/>
            </w:tcBorders>
            <w:shd w:val="clear" w:color="auto" w:fill="EEECE1" w:themeFill="background2"/>
            <w:vAlign w:val="center"/>
            <w:hideMark/>
          </w:tcPr>
          <w:p w14:paraId="44D05A34"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12</w:t>
            </w:r>
          </w:p>
        </w:tc>
        <w:tc>
          <w:tcPr>
            <w:tcW w:w="992" w:type="dxa"/>
            <w:tcBorders>
              <w:top w:val="nil"/>
              <w:left w:val="nil"/>
              <w:bottom w:val="single" w:sz="4" w:space="0" w:color="auto"/>
              <w:right w:val="single" w:sz="12" w:space="0" w:color="auto"/>
            </w:tcBorders>
            <w:shd w:val="clear" w:color="auto" w:fill="EEECE1" w:themeFill="background2"/>
            <w:vAlign w:val="center"/>
          </w:tcPr>
          <w:p w14:paraId="08216425"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35.3%</w:t>
            </w:r>
          </w:p>
        </w:tc>
        <w:tc>
          <w:tcPr>
            <w:tcW w:w="709" w:type="dxa"/>
            <w:tcBorders>
              <w:top w:val="nil"/>
              <w:left w:val="single" w:sz="12" w:space="0" w:color="auto"/>
              <w:bottom w:val="single" w:sz="4" w:space="0" w:color="auto"/>
              <w:right w:val="single" w:sz="4" w:space="0" w:color="auto"/>
            </w:tcBorders>
            <w:shd w:val="clear" w:color="auto" w:fill="EEECE1" w:themeFill="background2"/>
            <w:vAlign w:val="center"/>
            <w:hideMark/>
          </w:tcPr>
          <w:p w14:paraId="040B9E76"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13</w:t>
            </w:r>
          </w:p>
        </w:tc>
        <w:tc>
          <w:tcPr>
            <w:tcW w:w="851" w:type="dxa"/>
            <w:tcBorders>
              <w:top w:val="nil"/>
              <w:left w:val="single" w:sz="4" w:space="0" w:color="auto"/>
              <w:bottom w:val="single" w:sz="4" w:space="0" w:color="auto"/>
              <w:right w:val="single" w:sz="12" w:space="0" w:color="auto"/>
            </w:tcBorders>
            <w:shd w:val="clear" w:color="auto" w:fill="EEECE1" w:themeFill="background2"/>
            <w:vAlign w:val="center"/>
          </w:tcPr>
          <w:p w14:paraId="4CCABF20"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38.2%</w:t>
            </w:r>
          </w:p>
        </w:tc>
      </w:tr>
      <w:tr w:rsidR="00836FEB" w:rsidRPr="006328A1" w14:paraId="44968701" w14:textId="77777777" w:rsidTr="00F06556">
        <w:trPr>
          <w:trHeight w:val="315"/>
        </w:trPr>
        <w:tc>
          <w:tcPr>
            <w:tcW w:w="1061" w:type="dxa"/>
            <w:tcBorders>
              <w:top w:val="nil"/>
              <w:left w:val="single" w:sz="12" w:space="0" w:color="auto"/>
              <w:bottom w:val="single" w:sz="4" w:space="0" w:color="auto"/>
              <w:right w:val="single" w:sz="4" w:space="0" w:color="auto"/>
            </w:tcBorders>
            <w:shd w:val="clear" w:color="auto" w:fill="DDD9C3" w:themeFill="background2" w:themeFillShade="E6"/>
            <w:vAlign w:val="center"/>
            <w:hideMark/>
          </w:tcPr>
          <w:p w14:paraId="0CC7F16B" w14:textId="77777777" w:rsidR="00D367B4" w:rsidRPr="006328A1" w:rsidRDefault="00D367B4" w:rsidP="00EC495D">
            <w:pPr>
              <w:jc w:val="center"/>
              <w:rPr>
                <w:rFonts w:ascii="Calibri" w:eastAsia="Times New Roman" w:hAnsi="Calibri" w:cs="Calibri"/>
                <w:b/>
                <w:bCs/>
                <w:color w:val="000000"/>
                <w:sz w:val="24"/>
                <w:szCs w:val="24"/>
                <w:lang w:eastAsia="en-AU"/>
              </w:rPr>
            </w:pPr>
            <w:r w:rsidRPr="006328A1">
              <w:rPr>
                <w:rFonts w:ascii="Calibri" w:eastAsia="Times New Roman" w:hAnsi="Calibri" w:cs="Calibri"/>
                <w:b/>
                <w:bCs/>
                <w:color w:val="000000"/>
                <w:sz w:val="24"/>
                <w:szCs w:val="24"/>
                <w:lang w:eastAsia="en-AU"/>
              </w:rPr>
              <w:t>H16.3</w:t>
            </w:r>
          </w:p>
        </w:tc>
        <w:tc>
          <w:tcPr>
            <w:tcW w:w="880" w:type="dxa"/>
            <w:tcBorders>
              <w:top w:val="nil"/>
              <w:left w:val="nil"/>
              <w:bottom w:val="single" w:sz="4" w:space="0" w:color="auto"/>
              <w:right w:val="single" w:sz="4" w:space="0" w:color="auto"/>
            </w:tcBorders>
            <w:shd w:val="clear" w:color="000000" w:fill="E1E0C1"/>
            <w:vAlign w:val="center"/>
            <w:hideMark/>
          </w:tcPr>
          <w:p w14:paraId="6D855C60"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65</w:t>
            </w:r>
          </w:p>
        </w:tc>
        <w:tc>
          <w:tcPr>
            <w:tcW w:w="1146" w:type="dxa"/>
            <w:tcBorders>
              <w:top w:val="nil"/>
              <w:left w:val="nil"/>
              <w:bottom w:val="single" w:sz="4" w:space="0" w:color="auto"/>
              <w:right w:val="single" w:sz="4" w:space="0" w:color="auto"/>
            </w:tcBorders>
            <w:shd w:val="clear" w:color="000000" w:fill="E1E0C1"/>
            <w:vAlign w:val="center"/>
            <w:hideMark/>
          </w:tcPr>
          <w:p w14:paraId="3035CC28"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169</w:t>
            </w:r>
          </w:p>
        </w:tc>
        <w:tc>
          <w:tcPr>
            <w:tcW w:w="1576" w:type="dxa"/>
            <w:tcBorders>
              <w:top w:val="nil"/>
              <w:left w:val="nil"/>
              <w:bottom w:val="single" w:sz="4" w:space="0" w:color="auto"/>
              <w:right w:val="single" w:sz="12" w:space="0" w:color="auto"/>
            </w:tcBorders>
            <w:shd w:val="clear" w:color="auto" w:fill="FF0000"/>
            <w:hideMark/>
          </w:tcPr>
          <w:p w14:paraId="1AE5E8FC" w14:textId="77777777" w:rsidR="00D367B4" w:rsidRPr="000836DC" w:rsidRDefault="00D367B4" w:rsidP="00EC495D">
            <w:pPr>
              <w:jc w:val="center"/>
              <w:rPr>
                <w:rFonts w:ascii="Calibri" w:eastAsia="Times New Roman" w:hAnsi="Calibri" w:cs="Calibri"/>
                <w:b/>
                <w:bCs/>
                <w:color w:val="FFFFFF" w:themeColor="background1"/>
                <w:lang w:eastAsia="en-AU"/>
              </w:rPr>
            </w:pPr>
            <w:r w:rsidRPr="000836DC">
              <w:rPr>
                <w:b/>
                <w:bCs/>
                <w:color w:val="FFFFFF" w:themeColor="background1"/>
              </w:rPr>
              <w:t>38.5%</w:t>
            </w:r>
          </w:p>
        </w:tc>
        <w:tc>
          <w:tcPr>
            <w:tcW w:w="709" w:type="dxa"/>
            <w:tcBorders>
              <w:top w:val="nil"/>
              <w:left w:val="single" w:sz="12" w:space="0" w:color="auto"/>
              <w:bottom w:val="single" w:sz="4" w:space="0" w:color="auto"/>
              <w:right w:val="single" w:sz="4" w:space="0" w:color="auto"/>
            </w:tcBorders>
            <w:shd w:val="clear" w:color="000000" w:fill="E1E0C1"/>
            <w:vAlign w:val="center"/>
            <w:hideMark/>
          </w:tcPr>
          <w:p w14:paraId="0127C5D8"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36</w:t>
            </w:r>
          </w:p>
        </w:tc>
        <w:tc>
          <w:tcPr>
            <w:tcW w:w="850" w:type="dxa"/>
            <w:tcBorders>
              <w:top w:val="nil"/>
              <w:left w:val="nil"/>
              <w:bottom w:val="single" w:sz="4" w:space="0" w:color="auto"/>
              <w:right w:val="single" w:sz="12" w:space="0" w:color="auto"/>
            </w:tcBorders>
            <w:shd w:val="clear" w:color="000000" w:fill="E1E0C1"/>
            <w:vAlign w:val="center"/>
          </w:tcPr>
          <w:p w14:paraId="6DDDAF15"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55.4%</w:t>
            </w:r>
          </w:p>
        </w:tc>
        <w:tc>
          <w:tcPr>
            <w:tcW w:w="709" w:type="dxa"/>
            <w:tcBorders>
              <w:top w:val="nil"/>
              <w:left w:val="single" w:sz="12" w:space="0" w:color="auto"/>
              <w:bottom w:val="single" w:sz="4" w:space="0" w:color="auto"/>
              <w:right w:val="single" w:sz="4" w:space="0" w:color="auto"/>
            </w:tcBorders>
            <w:shd w:val="clear" w:color="000000" w:fill="E1E0C1"/>
            <w:vAlign w:val="center"/>
            <w:hideMark/>
          </w:tcPr>
          <w:p w14:paraId="6C929AA2"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19</w:t>
            </w:r>
          </w:p>
        </w:tc>
        <w:tc>
          <w:tcPr>
            <w:tcW w:w="992" w:type="dxa"/>
            <w:tcBorders>
              <w:top w:val="nil"/>
              <w:left w:val="nil"/>
              <w:bottom w:val="single" w:sz="4" w:space="0" w:color="auto"/>
              <w:right w:val="single" w:sz="12" w:space="0" w:color="auto"/>
            </w:tcBorders>
            <w:shd w:val="clear" w:color="000000" w:fill="E1E0C1"/>
            <w:vAlign w:val="center"/>
          </w:tcPr>
          <w:p w14:paraId="4F4334B5"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29.2%</w:t>
            </w:r>
          </w:p>
        </w:tc>
        <w:tc>
          <w:tcPr>
            <w:tcW w:w="709" w:type="dxa"/>
            <w:tcBorders>
              <w:top w:val="nil"/>
              <w:left w:val="single" w:sz="12" w:space="0" w:color="auto"/>
              <w:bottom w:val="single" w:sz="4" w:space="0" w:color="auto"/>
              <w:right w:val="single" w:sz="4" w:space="0" w:color="auto"/>
            </w:tcBorders>
            <w:shd w:val="clear" w:color="000000" w:fill="E1E0C1"/>
            <w:vAlign w:val="center"/>
            <w:hideMark/>
          </w:tcPr>
          <w:p w14:paraId="6049E755"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10</w:t>
            </w:r>
          </w:p>
        </w:tc>
        <w:tc>
          <w:tcPr>
            <w:tcW w:w="851" w:type="dxa"/>
            <w:tcBorders>
              <w:top w:val="nil"/>
              <w:left w:val="single" w:sz="4" w:space="0" w:color="auto"/>
              <w:bottom w:val="single" w:sz="4" w:space="0" w:color="auto"/>
              <w:right w:val="single" w:sz="12" w:space="0" w:color="auto"/>
            </w:tcBorders>
            <w:shd w:val="clear" w:color="000000" w:fill="E1E0C1"/>
            <w:vAlign w:val="center"/>
          </w:tcPr>
          <w:p w14:paraId="0E3C9115"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15.4%</w:t>
            </w:r>
          </w:p>
        </w:tc>
      </w:tr>
      <w:tr w:rsidR="00836FEB" w:rsidRPr="006328A1" w14:paraId="07F75610" w14:textId="77777777" w:rsidTr="00F06556">
        <w:trPr>
          <w:trHeight w:val="315"/>
        </w:trPr>
        <w:tc>
          <w:tcPr>
            <w:tcW w:w="1061" w:type="dxa"/>
            <w:tcBorders>
              <w:top w:val="nil"/>
              <w:left w:val="single" w:sz="12" w:space="0" w:color="auto"/>
              <w:bottom w:val="single" w:sz="4" w:space="0" w:color="auto"/>
              <w:right w:val="single" w:sz="4" w:space="0" w:color="auto"/>
            </w:tcBorders>
            <w:shd w:val="clear" w:color="auto" w:fill="EEECE1" w:themeFill="background2"/>
            <w:vAlign w:val="center"/>
            <w:hideMark/>
          </w:tcPr>
          <w:p w14:paraId="5DC609ED" w14:textId="77777777" w:rsidR="00D367B4" w:rsidRPr="006328A1" w:rsidRDefault="00D367B4" w:rsidP="00EC495D">
            <w:pPr>
              <w:jc w:val="center"/>
              <w:rPr>
                <w:rFonts w:ascii="Calibri" w:eastAsia="Times New Roman" w:hAnsi="Calibri" w:cs="Calibri"/>
                <w:b/>
                <w:bCs/>
                <w:color w:val="000000"/>
                <w:sz w:val="24"/>
                <w:szCs w:val="24"/>
                <w:lang w:eastAsia="en-AU"/>
              </w:rPr>
            </w:pPr>
            <w:r w:rsidRPr="006328A1">
              <w:rPr>
                <w:rFonts w:ascii="Calibri" w:eastAsia="Times New Roman" w:hAnsi="Calibri" w:cs="Calibri"/>
                <w:b/>
                <w:bCs/>
                <w:color w:val="000000"/>
                <w:sz w:val="24"/>
                <w:szCs w:val="24"/>
                <w:lang w:eastAsia="en-AU"/>
              </w:rPr>
              <w:t>H16.4</w:t>
            </w:r>
          </w:p>
        </w:tc>
        <w:tc>
          <w:tcPr>
            <w:tcW w:w="880" w:type="dxa"/>
            <w:tcBorders>
              <w:top w:val="nil"/>
              <w:left w:val="nil"/>
              <w:bottom w:val="single" w:sz="4" w:space="0" w:color="auto"/>
              <w:right w:val="single" w:sz="4" w:space="0" w:color="auto"/>
            </w:tcBorders>
            <w:shd w:val="clear" w:color="auto" w:fill="EEECE1" w:themeFill="background2"/>
            <w:vAlign w:val="center"/>
            <w:hideMark/>
          </w:tcPr>
          <w:p w14:paraId="1177BDC4"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32</w:t>
            </w:r>
          </w:p>
        </w:tc>
        <w:tc>
          <w:tcPr>
            <w:tcW w:w="1146" w:type="dxa"/>
            <w:tcBorders>
              <w:top w:val="nil"/>
              <w:left w:val="nil"/>
              <w:bottom w:val="single" w:sz="4" w:space="0" w:color="auto"/>
              <w:right w:val="single" w:sz="4" w:space="0" w:color="auto"/>
            </w:tcBorders>
            <w:shd w:val="clear" w:color="auto" w:fill="EEECE1" w:themeFill="background2"/>
            <w:vAlign w:val="center"/>
            <w:hideMark/>
          </w:tcPr>
          <w:p w14:paraId="39B7B490"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169</w:t>
            </w:r>
          </w:p>
        </w:tc>
        <w:tc>
          <w:tcPr>
            <w:tcW w:w="1576" w:type="dxa"/>
            <w:tcBorders>
              <w:top w:val="nil"/>
              <w:left w:val="nil"/>
              <w:bottom w:val="single" w:sz="4" w:space="0" w:color="auto"/>
              <w:right w:val="single" w:sz="12" w:space="0" w:color="auto"/>
            </w:tcBorders>
            <w:shd w:val="clear" w:color="auto" w:fill="EEECE1" w:themeFill="background2"/>
            <w:hideMark/>
          </w:tcPr>
          <w:p w14:paraId="5796C02B" w14:textId="77777777" w:rsidR="00D367B4" w:rsidRPr="006328A1" w:rsidRDefault="00D367B4" w:rsidP="00EC495D">
            <w:pPr>
              <w:jc w:val="center"/>
              <w:rPr>
                <w:rFonts w:ascii="Calibri" w:eastAsia="Times New Roman" w:hAnsi="Calibri" w:cs="Calibri"/>
                <w:color w:val="000000"/>
                <w:lang w:eastAsia="en-AU"/>
              </w:rPr>
            </w:pPr>
            <w:r>
              <w:t>18.9%</w:t>
            </w:r>
          </w:p>
        </w:tc>
        <w:tc>
          <w:tcPr>
            <w:tcW w:w="709" w:type="dxa"/>
            <w:tcBorders>
              <w:top w:val="nil"/>
              <w:left w:val="single" w:sz="12" w:space="0" w:color="auto"/>
              <w:bottom w:val="single" w:sz="4" w:space="0" w:color="auto"/>
              <w:right w:val="single" w:sz="4" w:space="0" w:color="auto"/>
            </w:tcBorders>
            <w:shd w:val="clear" w:color="auto" w:fill="EEECE1" w:themeFill="background2"/>
            <w:vAlign w:val="center"/>
            <w:hideMark/>
          </w:tcPr>
          <w:p w14:paraId="4D5712E1"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18</w:t>
            </w:r>
          </w:p>
        </w:tc>
        <w:tc>
          <w:tcPr>
            <w:tcW w:w="850" w:type="dxa"/>
            <w:tcBorders>
              <w:top w:val="nil"/>
              <w:left w:val="nil"/>
              <w:bottom w:val="single" w:sz="4" w:space="0" w:color="auto"/>
              <w:right w:val="single" w:sz="12" w:space="0" w:color="auto"/>
            </w:tcBorders>
            <w:shd w:val="clear" w:color="auto" w:fill="EEECE1" w:themeFill="background2"/>
            <w:vAlign w:val="center"/>
          </w:tcPr>
          <w:p w14:paraId="207C12BD"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56.3%</w:t>
            </w:r>
          </w:p>
        </w:tc>
        <w:tc>
          <w:tcPr>
            <w:tcW w:w="709" w:type="dxa"/>
            <w:tcBorders>
              <w:top w:val="nil"/>
              <w:left w:val="single" w:sz="12" w:space="0" w:color="auto"/>
              <w:bottom w:val="single" w:sz="4" w:space="0" w:color="auto"/>
              <w:right w:val="single" w:sz="4" w:space="0" w:color="auto"/>
            </w:tcBorders>
            <w:shd w:val="clear" w:color="auto" w:fill="EEECE1" w:themeFill="background2"/>
            <w:vAlign w:val="center"/>
            <w:hideMark/>
          </w:tcPr>
          <w:p w14:paraId="52E79DB2"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8</w:t>
            </w:r>
          </w:p>
        </w:tc>
        <w:tc>
          <w:tcPr>
            <w:tcW w:w="992" w:type="dxa"/>
            <w:tcBorders>
              <w:top w:val="nil"/>
              <w:left w:val="nil"/>
              <w:bottom w:val="single" w:sz="4" w:space="0" w:color="auto"/>
              <w:right w:val="single" w:sz="12" w:space="0" w:color="auto"/>
            </w:tcBorders>
            <w:shd w:val="clear" w:color="auto" w:fill="EEECE1" w:themeFill="background2"/>
            <w:vAlign w:val="center"/>
          </w:tcPr>
          <w:p w14:paraId="1A99A8FB"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25.0%</w:t>
            </w:r>
          </w:p>
        </w:tc>
        <w:tc>
          <w:tcPr>
            <w:tcW w:w="709" w:type="dxa"/>
            <w:tcBorders>
              <w:top w:val="nil"/>
              <w:left w:val="single" w:sz="12" w:space="0" w:color="auto"/>
              <w:bottom w:val="single" w:sz="4" w:space="0" w:color="auto"/>
              <w:right w:val="single" w:sz="4" w:space="0" w:color="auto"/>
            </w:tcBorders>
            <w:shd w:val="clear" w:color="auto" w:fill="EEECE1" w:themeFill="background2"/>
            <w:vAlign w:val="center"/>
            <w:hideMark/>
          </w:tcPr>
          <w:p w14:paraId="13F46D91"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6</w:t>
            </w:r>
          </w:p>
        </w:tc>
        <w:tc>
          <w:tcPr>
            <w:tcW w:w="851" w:type="dxa"/>
            <w:tcBorders>
              <w:top w:val="nil"/>
              <w:left w:val="single" w:sz="4" w:space="0" w:color="auto"/>
              <w:bottom w:val="single" w:sz="4" w:space="0" w:color="auto"/>
              <w:right w:val="single" w:sz="12" w:space="0" w:color="auto"/>
            </w:tcBorders>
            <w:shd w:val="clear" w:color="auto" w:fill="EEECE1" w:themeFill="background2"/>
            <w:vAlign w:val="center"/>
          </w:tcPr>
          <w:p w14:paraId="231C18FD"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18.8%</w:t>
            </w:r>
          </w:p>
        </w:tc>
      </w:tr>
      <w:tr w:rsidR="00836FEB" w:rsidRPr="006328A1" w14:paraId="2426BFCB" w14:textId="77777777" w:rsidTr="00F06556">
        <w:trPr>
          <w:trHeight w:val="315"/>
        </w:trPr>
        <w:tc>
          <w:tcPr>
            <w:tcW w:w="1061" w:type="dxa"/>
            <w:tcBorders>
              <w:top w:val="nil"/>
              <w:left w:val="single" w:sz="12" w:space="0" w:color="auto"/>
              <w:bottom w:val="single" w:sz="4" w:space="0" w:color="auto"/>
              <w:right w:val="single" w:sz="4" w:space="0" w:color="auto"/>
            </w:tcBorders>
            <w:shd w:val="clear" w:color="auto" w:fill="DDD9C3" w:themeFill="background2" w:themeFillShade="E6"/>
            <w:vAlign w:val="center"/>
            <w:hideMark/>
          </w:tcPr>
          <w:p w14:paraId="36AD6779" w14:textId="77777777" w:rsidR="00D367B4" w:rsidRPr="006328A1" w:rsidRDefault="00D367B4" w:rsidP="00EC495D">
            <w:pPr>
              <w:jc w:val="center"/>
              <w:rPr>
                <w:rFonts w:ascii="Calibri" w:eastAsia="Times New Roman" w:hAnsi="Calibri" w:cs="Calibri"/>
                <w:b/>
                <w:bCs/>
                <w:color w:val="000000"/>
                <w:sz w:val="24"/>
                <w:szCs w:val="24"/>
                <w:lang w:eastAsia="en-AU"/>
              </w:rPr>
            </w:pPr>
            <w:r w:rsidRPr="006328A1">
              <w:rPr>
                <w:rFonts w:ascii="Calibri" w:eastAsia="Times New Roman" w:hAnsi="Calibri" w:cs="Calibri"/>
                <w:b/>
                <w:bCs/>
                <w:color w:val="000000"/>
                <w:sz w:val="24"/>
                <w:szCs w:val="24"/>
                <w:lang w:eastAsia="en-AU"/>
              </w:rPr>
              <w:t>H16.5</w:t>
            </w:r>
          </w:p>
        </w:tc>
        <w:tc>
          <w:tcPr>
            <w:tcW w:w="880" w:type="dxa"/>
            <w:tcBorders>
              <w:top w:val="nil"/>
              <w:left w:val="nil"/>
              <w:bottom w:val="single" w:sz="4" w:space="0" w:color="auto"/>
              <w:right w:val="single" w:sz="4" w:space="0" w:color="auto"/>
            </w:tcBorders>
            <w:shd w:val="clear" w:color="000000" w:fill="E1E0C1"/>
            <w:vAlign w:val="center"/>
            <w:hideMark/>
          </w:tcPr>
          <w:p w14:paraId="3567679F"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59</w:t>
            </w:r>
          </w:p>
        </w:tc>
        <w:tc>
          <w:tcPr>
            <w:tcW w:w="1146" w:type="dxa"/>
            <w:tcBorders>
              <w:top w:val="nil"/>
              <w:left w:val="nil"/>
              <w:bottom w:val="single" w:sz="4" w:space="0" w:color="auto"/>
              <w:right w:val="single" w:sz="4" w:space="0" w:color="auto"/>
            </w:tcBorders>
            <w:shd w:val="clear" w:color="000000" w:fill="E1E0C1"/>
            <w:vAlign w:val="center"/>
            <w:hideMark/>
          </w:tcPr>
          <w:p w14:paraId="5AFF105B"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169</w:t>
            </w:r>
          </w:p>
        </w:tc>
        <w:tc>
          <w:tcPr>
            <w:tcW w:w="1576" w:type="dxa"/>
            <w:tcBorders>
              <w:top w:val="nil"/>
              <w:left w:val="nil"/>
              <w:bottom w:val="single" w:sz="4" w:space="0" w:color="auto"/>
              <w:right w:val="single" w:sz="12" w:space="0" w:color="auto"/>
            </w:tcBorders>
            <w:shd w:val="clear" w:color="auto" w:fill="FF0000"/>
            <w:hideMark/>
          </w:tcPr>
          <w:p w14:paraId="06236BD9" w14:textId="77777777" w:rsidR="00D367B4" w:rsidRPr="000836DC" w:rsidRDefault="00D367B4" w:rsidP="00EC495D">
            <w:pPr>
              <w:jc w:val="center"/>
              <w:rPr>
                <w:rFonts w:ascii="Calibri" w:eastAsia="Times New Roman" w:hAnsi="Calibri" w:cs="Calibri"/>
                <w:b/>
                <w:bCs/>
                <w:color w:val="FFFFFF" w:themeColor="background1"/>
                <w:lang w:eastAsia="en-AU"/>
              </w:rPr>
            </w:pPr>
            <w:r w:rsidRPr="000836DC">
              <w:rPr>
                <w:b/>
                <w:bCs/>
                <w:color w:val="FFFFFF" w:themeColor="background1"/>
              </w:rPr>
              <w:t>34.9%</w:t>
            </w:r>
          </w:p>
        </w:tc>
        <w:tc>
          <w:tcPr>
            <w:tcW w:w="709" w:type="dxa"/>
            <w:tcBorders>
              <w:top w:val="nil"/>
              <w:left w:val="single" w:sz="12" w:space="0" w:color="auto"/>
              <w:bottom w:val="single" w:sz="4" w:space="0" w:color="auto"/>
              <w:right w:val="single" w:sz="4" w:space="0" w:color="auto"/>
            </w:tcBorders>
            <w:shd w:val="clear" w:color="000000" w:fill="E1E0C1"/>
            <w:vAlign w:val="center"/>
            <w:hideMark/>
          </w:tcPr>
          <w:p w14:paraId="17ED0FD1"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37</w:t>
            </w:r>
          </w:p>
        </w:tc>
        <w:tc>
          <w:tcPr>
            <w:tcW w:w="850" w:type="dxa"/>
            <w:tcBorders>
              <w:top w:val="nil"/>
              <w:left w:val="nil"/>
              <w:bottom w:val="single" w:sz="4" w:space="0" w:color="auto"/>
              <w:right w:val="single" w:sz="12" w:space="0" w:color="auto"/>
            </w:tcBorders>
            <w:shd w:val="clear" w:color="000000" w:fill="E1E0C1"/>
            <w:vAlign w:val="center"/>
          </w:tcPr>
          <w:p w14:paraId="7C84904D"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62.7%</w:t>
            </w:r>
          </w:p>
        </w:tc>
        <w:tc>
          <w:tcPr>
            <w:tcW w:w="709" w:type="dxa"/>
            <w:tcBorders>
              <w:top w:val="nil"/>
              <w:left w:val="single" w:sz="12" w:space="0" w:color="auto"/>
              <w:bottom w:val="single" w:sz="4" w:space="0" w:color="auto"/>
              <w:right w:val="single" w:sz="4" w:space="0" w:color="auto"/>
            </w:tcBorders>
            <w:shd w:val="clear" w:color="000000" w:fill="E1E0C1"/>
            <w:vAlign w:val="center"/>
            <w:hideMark/>
          </w:tcPr>
          <w:p w14:paraId="04A0CFD7"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12</w:t>
            </w:r>
          </w:p>
        </w:tc>
        <w:tc>
          <w:tcPr>
            <w:tcW w:w="992" w:type="dxa"/>
            <w:tcBorders>
              <w:top w:val="nil"/>
              <w:left w:val="nil"/>
              <w:bottom w:val="single" w:sz="4" w:space="0" w:color="auto"/>
              <w:right w:val="single" w:sz="12" w:space="0" w:color="auto"/>
            </w:tcBorders>
            <w:shd w:val="clear" w:color="000000" w:fill="E1E0C1"/>
            <w:vAlign w:val="center"/>
          </w:tcPr>
          <w:p w14:paraId="285213F1"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20.3%</w:t>
            </w:r>
          </w:p>
        </w:tc>
        <w:tc>
          <w:tcPr>
            <w:tcW w:w="709" w:type="dxa"/>
            <w:tcBorders>
              <w:top w:val="nil"/>
              <w:left w:val="single" w:sz="12" w:space="0" w:color="auto"/>
              <w:bottom w:val="single" w:sz="4" w:space="0" w:color="auto"/>
              <w:right w:val="single" w:sz="4" w:space="0" w:color="auto"/>
            </w:tcBorders>
            <w:shd w:val="clear" w:color="000000" w:fill="E1E0C1"/>
            <w:vAlign w:val="center"/>
            <w:hideMark/>
          </w:tcPr>
          <w:p w14:paraId="6FD3DE2A"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10</w:t>
            </w:r>
          </w:p>
        </w:tc>
        <w:tc>
          <w:tcPr>
            <w:tcW w:w="851" w:type="dxa"/>
            <w:tcBorders>
              <w:top w:val="nil"/>
              <w:left w:val="single" w:sz="4" w:space="0" w:color="auto"/>
              <w:bottom w:val="single" w:sz="4" w:space="0" w:color="auto"/>
              <w:right w:val="single" w:sz="12" w:space="0" w:color="auto"/>
            </w:tcBorders>
            <w:shd w:val="clear" w:color="000000" w:fill="E1E0C1"/>
            <w:vAlign w:val="center"/>
          </w:tcPr>
          <w:p w14:paraId="2DFED464"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16.9%</w:t>
            </w:r>
          </w:p>
        </w:tc>
      </w:tr>
      <w:tr w:rsidR="00836FEB" w:rsidRPr="006328A1" w14:paraId="7683A16C" w14:textId="77777777" w:rsidTr="00F06556">
        <w:trPr>
          <w:trHeight w:val="315"/>
        </w:trPr>
        <w:tc>
          <w:tcPr>
            <w:tcW w:w="1061" w:type="dxa"/>
            <w:tcBorders>
              <w:top w:val="nil"/>
              <w:left w:val="single" w:sz="12" w:space="0" w:color="auto"/>
              <w:bottom w:val="single" w:sz="4" w:space="0" w:color="auto"/>
              <w:right w:val="single" w:sz="4" w:space="0" w:color="auto"/>
            </w:tcBorders>
            <w:shd w:val="clear" w:color="auto" w:fill="EEECE1" w:themeFill="background2"/>
            <w:vAlign w:val="center"/>
            <w:hideMark/>
          </w:tcPr>
          <w:p w14:paraId="7D98A2D0" w14:textId="77777777" w:rsidR="00D367B4" w:rsidRPr="006328A1" w:rsidRDefault="00D367B4" w:rsidP="00EC495D">
            <w:pPr>
              <w:jc w:val="center"/>
              <w:rPr>
                <w:rFonts w:ascii="Calibri" w:eastAsia="Times New Roman" w:hAnsi="Calibri" w:cs="Calibri"/>
                <w:b/>
                <w:bCs/>
                <w:color w:val="000000"/>
                <w:sz w:val="24"/>
                <w:szCs w:val="24"/>
                <w:lang w:eastAsia="en-AU"/>
              </w:rPr>
            </w:pPr>
            <w:r w:rsidRPr="006328A1">
              <w:rPr>
                <w:rFonts w:ascii="Calibri" w:eastAsia="Times New Roman" w:hAnsi="Calibri" w:cs="Calibri"/>
                <w:b/>
                <w:bCs/>
                <w:color w:val="000000"/>
                <w:sz w:val="24"/>
                <w:szCs w:val="24"/>
                <w:lang w:eastAsia="en-AU"/>
              </w:rPr>
              <w:t>H16.6</w:t>
            </w:r>
          </w:p>
        </w:tc>
        <w:tc>
          <w:tcPr>
            <w:tcW w:w="880" w:type="dxa"/>
            <w:tcBorders>
              <w:top w:val="nil"/>
              <w:left w:val="nil"/>
              <w:bottom w:val="single" w:sz="4" w:space="0" w:color="auto"/>
              <w:right w:val="single" w:sz="4" w:space="0" w:color="auto"/>
            </w:tcBorders>
            <w:shd w:val="clear" w:color="auto" w:fill="EEECE1" w:themeFill="background2"/>
            <w:vAlign w:val="center"/>
            <w:hideMark/>
          </w:tcPr>
          <w:p w14:paraId="63AAFE1F"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47</w:t>
            </w:r>
          </w:p>
        </w:tc>
        <w:tc>
          <w:tcPr>
            <w:tcW w:w="1146" w:type="dxa"/>
            <w:tcBorders>
              <w:top w:val="nil"/>
              <w:left w:val="nil"/>
              <w:bottom w:val="single" w:sz="4" w:space="0" w:color="auto"/>
              <w:right w:val="single" w:sz="4" w:space="0" w:color="auto"/>
            </w:tcBorders>
            <w:shd w:val="clear" w:color="auto" w:fill="EEECE1" w:themeFill="background2"/>
            <w:vAlign w:val="center"/>
            <w:hideMark/>
          </w:tcPr>
          <w:p w14:paraId="31E3CF24"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169</w:t>
            </w:r>
          </w:p>
        </w:tc>
        <w:tc>
          <w:tcPr>
            <w:tcW w:w="1576" w:type="dxa"/>
            <w:tcBorders>
              <w:top w:val="nil"/>
              <w:left w:val="nil"/>
              <w:bottom w:val="single" w:sz="4" w:space="0" w:color="auto"/>
              <w:right w:val="single" w:sz="12" w:space="0" w:color="auto"/>
            </w:tcBorders>
            <w:shd w:val="clear" w:color="auto" w:fill="FF0000"/>
            <w:hideMark/>
          </w:tcPr>
          <w:p w14:paraId="0B8E76CA" w14:textId="77777777" w:rsidR="00D367B4" w:rsidRPr="000836DC" w:rsidRDefault="00D367B4" w:rsidP="00EC495D">
            <w:pPr>
              <w:jc w:val="center"/>
              <w:rPr>
                <w:rFonts w:ascii="Calibri" w:eastAsia="Times New Roman" w:hAnsi="Calibri" w:cs="Calibri"/>
                <w:b/>
                <w:bCs/>
                <w:color w:val="FFFFFF" w:themeColor="background1"/>
                <w:lang w:eastAsia="en-AU"/>
              </w:rPr>
            </w:pPr>
            <w:r w:rsidRPr="000836DC">
              <w:rPr>
                <w:b/>
                <w:bCs/>
                <w:color w:val="FFFFFF" w:themeColor="background1"/>
              </w:rPr>
              <w:t>27.8%</w:t>
            </w:r>
          </w:p>
        </w:tc>
        <w:tc>
          <w:tcPr>
            <w:tcW w:w="709" w:type="dxa"/>
            <w:tcBorders>
              <w:top w:val="nil"/>
              <w:left w:val="single" w:sz="12" w:space="0" w:color="auto"/>
              <w:bottom w:val="single" w:sz="4" w:space="0" w:color="auto"/>
              <w:right w:val="single" w:sz="4" w:space="0" w:color="auto"/>
            </w:tcBorders>
            <w:shd w:val="clear" w:color="auto" w:fill="EEECE1" w:themeFill="background2"/>
            <w:vAlign w:val="center"/>
            <w:hideMark/>
          </w:tcPr>
          <w:p w14:paraId="736FEDA2"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24</w:t>
            </w:r>
          </w:p>
        </w:tc>
        <w:tc>
          <w:tcPr>
            <w:tcW w:w="850" w:type="dxa"/>
            <w:tcBorders>
              <w:top w:val="nil"/>
              <w:left w:val="nil"/>
              <w:bottom w:val="single" w:sz="4" w:space="0" w:color="auto"/>
              <w:right w:val="single" w:sz="12" w:space="0" w:color="auto"/>
            </w:tcBorders>
            <w:shd w:val="clear" w:color="auto" w:fill="EEECE1" w:themeFill="background2"/>
            <w:vAlign w:val="center"/>
          </w:tcPr>
          <w:p w14:paraId="27FC6048"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51.1%</w:t>
            </w:r>
          </w:p>
        </w:tc>
        <w:tc>
          <w:tcPr>
            <w:tcW w:w="709" w:type="dxa"/>
            <w:tcBorders>
              <w:top w:val="nil"/>
              <w:left w:val="single" w:sz="12" w:space="0" w:color="auto"/>
              <w:bottom w:val="single" w:sz="4" w:space="0" w:color="auto"/>
              <w:right w:val="single" w:sz="4" w:space="0" w:color="auto"/>
            </w:tcBorders>
            <w:shd w:val="clear" w:color="auto" w:fill="EEECE1" w:themeFill="background2"/>
            <w:vAlign w:val="center"/>
            <w:hideMark/>
          </w:tcPr>
          <w:p w14:paraId="18066A86"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13</w:t>
            </w:r>
          </w:p>
        </w:tc>
        <w:tc>
          <w:tcPr>
            <w:tcW w:w="992" w:type="dxa"/>
            <w:tcBorders>
              <w:top w:val="nil"/>
              <w:left w:val="nil"/>
              <w:bottom w:val="single" w:sz="4" w:space="0" w:color="auto"/>
              <w:right w:val="single" w:sz="12" w:space="0" w:color="auto"/>
            </w:tcBorders>
            <w:shd w:val="clear" w:color="auto" w:fill="EEECE1" w:themeFill="background2"/>
            <w:vAlign w:val="center"/>
          </w:tcPr>
          <w:p w14:paraId="49314B47"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27.7%</w:t>
            </w:r>
          </w:p>
        </w:tc>
        <w:tc>
          <w:tcPr>
            <w:tcW w:w="709" w:type="dxa"/>
            <w:tcBorders>
              <w:top w:val="nil"/>
              <w:left w:val="single" w:sz="12" w:space="0" w:color="auto"/>
              <w:bottom w:val="single" w:sz="4" w:space="0" w:color="auto"/>
              <w:right w:val="single" w:sz="4" w:space="0" w:color="auto"/>
            </w:tcBorders>
            <w:shd w:val="clear" w:color="auto" w:fill="EEECE1" w:themeFill="background2"/>
            <w:vAlign w:val="center"/>
            <w:hideMark/>
          </w:tcPr>
          <w:p w14:paraId="0321D044"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10</w:t>
            </w:r>
          </w:p>
        </w:tc>
        <w:tc>
          <w:tcPr>
            <w:tcW w:w="851" w:type="dxa"/>
            <w:tcBorders>
              <w:top w:val="nil"/>
              <w:left w:val="single" w:sz="4" w:space="0" w:color="auto"/>
              <w:bottom w:val="single" w:sz="4" w:space="0" w:color="auto"/>
              <w:right w:val="single" w:sz="12" w:space="0" w:color="auto"/>
            </w:tcBorders>
            <w:shd w:val="clear" w:color="auto" w:fill="EEECE1" w:themeFill="background2"/>
            <w:vAlign w:val="center"/>
          </w:tcPr>
          <w:p w14:paraId="433F82A4"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21.3%</w:t>
            </w:r>
          </w:p>
        </w:tc>
      </w:tr>
      <w:tr w:rsidR="00836FEB" w:rsidRPr="006328A1" w14:paraId="4556D0B0" w14:textId="77777777" w:rsidTr="00F06556">
        <w:trPr>
          <w:trHeight w:val="315"/>
        </w:trPr>
        <w:tc>
          <w:tcPr>
            <w:tcW w:w="1061" w:type="dxa"/>
            <w:tcBorders>
              <w:top w:val="nil"/>
              <w:left w:val="single" w:sz="12" w:space="0" w:color="auto"/>
              <w:bottom w:val="single" w:sz="4" w:space="0" w:color="auto"/>
              <w:right w:val="single" w:sz="4" w:space="0" w:color="auto"/>
            </w:tcBorders>
            <w:shd w:val="clear" w:color="auto" w:fill="DDD9C3" w:themeFill="background2" w:themeFillShade="E6"/>
            <w:vAlign w:val="center"/>
            <w:hideMark/>
          </w:tcPr>
          <w:p w14:paraId="32D4A6E5" w14:textId="77777777" w:rsidR="00D367B4" w:rsidRPr="006328A1" w:rsidRDefault="00D367B4" w:rsidP="00EC495D">
            <w:pPr>
              <w:jc w:val="center"/>
              <w:rPr>
                <w:rFonts w:ascii="Calibri" w:eastAsia="Times New Roman" w:hAnsi="Calibri" w:cs="Calibri"/>
                <w:b/>
                <w:bCs/>
                <w:color w:val="000000"/>
                <w:sz w:val="24"/>
                <w:szCs w:val="24"/>
                <w:lang w:eastAsia="en-AU"/>
              </w:rPr>
            </w:pPr>
            <w:r w:rsidRPr="006328A1">
              <w:rPr>
                <w:rFonts w:ascii="Calibri" w:eastAsia="Times New Roman" w:hAnsi="Calibri" w:cs="Calibri"/>
                <w:b/>
                <w:bCs/>
                <w:color w:val="000000"/>
                <w:sz w:val="24"/>
                <w:szCs w:val="24"/>
                <w:lang w:eastAsia="en-AU"/>
              </w:rPr>
              <w:t>H16.7</w:t>
            </w:r>
          </w:p>
        </w:tc>
        <w:tc>
          <w:tcPr>
            <w:tcW w:w="880" w:type="dxa"/>
            <w:tcBorders>
              <w:top w:val="nil"/>
              <w:left w:val="nil"/>
              <w:bottom w:val="single" w:sz="4" w:space="0" w:color="auto"/>
              <w:right w:val="single" w:sz="4" w:space="0" w:color="auto"/>
            </w:tcBorders>
            <w:shd w:val="clear" w:color="000000" w:fill="E1E0C1"/>
            <w:vAlign w:val="center"/>
            <w:hideMark/>
          </w:tcPr>
          <w:p w14:paraId="23136002"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27</w:t>
            </w:r>
          </w:p>
        </w:tc>
        <w:tc>
          <w:tcPr>
            <w:tcW w:w="1146" w:type="dxa"/>
            <w:tcBorders>
              <w:top w:val="nil"/>
              <w:left w:val="nil"/>
              <w:bottom w:val="single" w:sz="4" w:space="0" w:color="auto"/>
              <w:right w:val="single" w:sz="4" w:space="0" w:color="auto"/>
            </w:tcBorders>
            <w:shd w:val="clear" w:color="000000" w:fill="E1E0C1"/>
            <w:vAlign w:val="center"/>
            <w:hideMark/>
          </w:tcPr>
          <w:p w14:paraId="3956E4C6"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169</w:t>
            </w:r>
          </w:p>
        </w:tc>
        <w:tc>
          <w:tcPr>
            <w:tcW w:w="1576" w:type="dxa"/>
            <w:tcBorders>
              <w:top w:val="nil"/>
              <w:left w:val="nil"/>
              <w:bottom w:val="single" w:sz="4" w:space="0" w:color="auto"/>
              <w:right w:val="single" w:sz="12" w:space="0" w:color="auto"/>
            </w:tcBorders>
            <w:shd w:val="clear" w:color="000000" w:fill="E1E0C1"/>
            <w:hideMark/>
          </w:tcPr>
          <w:p w14:paraId="559354AC" w14:textId="77777777" w:rsidR="00D367B4" w:rsidRPr="006328A1" w:rsidRDefault="00D367B4" w:rsidP="00EC495D">
            <w:pPr>
              <w:jc w:val="center"/>
              <w:rPr>
                <w:rFonts w:ascii="Calibri" w:eastAsia="Times New Roman" w:hAnsi="Calibri" w:cs="Calibri"/>
                <w:color w:val="000000"/>
                <w:lang w:eastAsia="en-AU"/>
              </w:rPr>
            </w:pPr>
            <w:r>
              <w:t>16.0%</w:t>
            </w:r>
          </w:p>
        </w:tc>
        <w:tc>
          <w:tcPr>
            <w:tcW w:w="709" w:type="dxa"/>
            <w:tcBorders>
              <w:top w:val="nil"/>
              <w:left w:val="single" w:sz="12" w:space="0" w:color="auto"/>
              <w:bottom w:val="single" w:sz="4" w:space="0" w:color="auto"/>
              <w:right w:val="single" w:sz="4" w:space="0" w:color="auto"/>
            </w:tcBorders>
            <w:shd w:val="clear" w:color="000000" w:fill="E1E0C1"/>
            <w:vAlign w:val="center"/>
            <w:hideMark/>
          </w:tcPr>
          <w:p w14:paraId="10243509"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13</w:t>
            </w:r>
          </w:p>
        </w:tc>
        <w:tc>
          <w:tcPr>
            <w:tcW w:w="850" w:type="dxa"/>
            <w:tcBorders>
              <w:top w:val="nil"/>
              <w:left w:val="nil"/>
              <w:bottom w:val="single" w:sz="4" w:space="0" w:color="auto"/>
              <w:right w:val="single" w:sz="12" w:space="0" w:color="auto"/>
            </w:tcBorders>
            <w:shd w:val="clear" w:color="000000" w:fill="E1E0C1"/>
            <w:vAlign w:val="center"/>
          </w:tcPr>
          <w:p w14:paraId="581358FC"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48.1%</w:t>
            </w:r>
          </w:p>
        </w:tc>
        <w:tc>
          <w:tcPr>
            <w:tcW w:w="709" w:type="dxa"/>
            <w:tcBorders>
              <w:top w:val="nil"/>
              <w:left w:val="single" w:sz="12" w:space="0" w:color="auto"/>
              <w:bottom w:val="single" w:sz="4" w:space="0" w:color="auto"/>
              <w:right w:val="single" w:sz="4" w:space="0" w:color="auto"/>
            </w:tcBorders>
            <w:shd w:val="clear" w:color="000000" w:fill="E1E0C1"/>
            <w:vAlign w:val="center"/>
            <w:hideMark/>
          </w:tcPr>
          <w:p w14:paraId="794996A8"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9</w:t>
            </w:r>
          </w:p>
        </w:tc>
        <w:tc>
          <w:tcPr>
            <w:tcW w:w="992" w:type="dxa"/>
            <w:tcBorders>
              <w:top w:val="nil"/>
              <w:left w:val="nil"/>
              <w:bottom w:val="single" w:sz="4" w:space="0" w:color="auto"/>
              <w:right w:val="single" w:sz="12" w:space="0" w:color="auto"/>
            </w:tcBorders>
            <w:shd w:val="clear" w:color="000000" w:fill="E1E0C1"/>
            <w:vAlign w:val="center"/>
          </w:tcPr>
          <w:p w14:paraId="1725A671"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33.3%</w:t>
            </w:r>
          </w:p>
        </w:tc>
        <w:tc>
          <w:tcPr>
            <w:tcW w:w="709" w:type="dxa"/>
            <w:tcBorders>
              <w:top w:val="nil"/>
              <w:left w:val="single" w:sz="12" w:space="0" w:color="auto"/>
              <w:bottom w:val="single" w:sz="4" w:space="0" w:color="auto"/>
              <w:right w:val="single" w:sz="4" w:space="0" w:color="auto"/>
            </w:tcBorders>
            <w:shd w:val="clear" w:color="000000" w:fill="E1E0C1"/>
            <w:vAlign w:val="center"/>
            <w:hideMark/>
          </w:tcPr>
          <w:p w14:paraId="1A6EF6D3"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5</w:t>
            </w:r>
          </w:p>
        </w:tc>
        <w:tc>
          <w:tcPr>
            <w:tcW w:w="851" w:type="dxa"/>
            <w:tcBorders>
              <w:top w:val="nil"/>
              <w:left w:val="single" w:sz="4" w:space="0" w:color="auto"/>
              <w:bottom w:val="single" w:sz="4" w:space="0" w:color="auto"/>
              <w:right w:val="single" w:sz="12" w:space="0" w:color="auto"/>
            </w:tcBorders>
            <w:shd w:val="clear" w:color="000000" w:fill="E1E0C1"/>
            <w:vAlign w:val="center"/>
          </w:tcPr>
          <w:p w14:paraId="2DFFB1DA"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18.5%</w:t>
            </w:r>
          </w:p>
        </w:tc>
      </w:tr>
      <w:tr w:rsidR="00836FEB" w:rsidRPr="006328A1" w14:paraId="0E1EBD5B" w14:textId="77777777" w:rsidTr="00F06556">
        <w:trPr>
          <w:trHeight w:val="315"/>
        </w:trPr>
        <w:tc>
          <w:tcPr>
            <w:tcW w:w="1061" w:type="dxa"/>
            <w:tcBorders>
              <w:top w:val="nil"/>
              <w:left w:val="single" w:sz="12" w:space="0" w:color="auto"/>
              <w:bottom w:val="single" w:sz="4" w:space="0" w:color="auto"/>
              <w:right w:val="single" w:sz="4" w:space="0" w:color="auto"/>
            </w:tcBorders>
            <w:shd w:val="clear" w:color="auto" w:fill="EEECE1" w:themeFill="background2"/>
            <w:vAlign w:val="center"/>
            <w:hideMark/>
          </w:tcPr>
          <w:p w14:paraId="2E90B745" w14:textId="77777777" w:rsidR="00D367B4" w:rsidRPr="006328A1" w:rsidRDefault="00D367B4" w:rsidP="00EC495D">
            <w:pPr>
              <w:jc w:val="center"/>
              <w:rPr>
                <w:rFonts w:ascii="Calibri" w:eastAsia="Times New Roman" w:hAnsi="Calibri" w:cs="Calibri"/>
                <w:b/>
                <w:bCs/>
                <w:color w:val="000000"/>
                <w:sz w:val="24"/>
                <w:szCs w:val="24"/>
                <w:lang w:eastAsia="en-AU"/>
              </w:rPr>
            </w:pPr>
            <w:r w:rsidRPr="006328A1">
              <w:rPr>
                <w:rFonts w:ascii="Calibri" w:eastAsia="Times New Roman" w:hAnsi="Calibri" w:cs="Calibri"/>
                <w:b/>
                <w:bCs/>
                <w:color w:val="000000"/>
                <w:sz w:val="24"/>
                <w:szCs w:val="24"/>
                <w:lang w:eastAsia="en-AU"/>
              </w:rPr>
              <w:t>H16.8</w:t>
            </w:r>
          </w:p>
        </w:tc>
        <w:tc>
          <w:tcPr>
            <w:tcW w:w="880" w:type="dxa"/>
            <w:tcBorders>
              <w:top w:val="nil"/>
              <w:left w:val="nil"/>
              <w:bottom w:val="single" w:sz="4" w:space="0" w:color="auto"/>
              <w:right w:val="single" w:sz="4" w:space="0" w:color="auto"/>
            </w:tcBorders>
            <w:shd w:val="clear" w:color="auto" w:fill="EEECE1" w:themeFill="background2"/>
            <w:vAlign w:val="center"/>
            <w:hideMark/>
          </w:tcPr>
          <w:p w14:paraId="00D3A8EA"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33</w:t>
            </w:r>
          </w:p>
        </w:tc>
        <w:tc>
          <w:tcPr>
            <w:tcW w:w="1146" w:type="dxa"/>
            <w:tcBorders>
              <w:top w:val="nil"/>
              <w:left w:val="nil"/>
              <w:bottom w:val="single" w:sz="4" w:space="0" w:color="auto"/>
              <w:right w:val="single" w:sz="4" w:space="0" w:color="auto"/>
            </w:tcBorders>
            <w:shd w:val="clear" w:color="auto" w:fill="EEECE1" w:themeFill="background2"/>
            <w:vAlign w:val="center"/>
            <w:hideMark/>
          </w:tcPr>
          <w:p w14:paraId="5303BA20"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169</w:t>
            </w:r>
          </w:p>
        </w:tc>
        <w:tc>
          <w:tcPr>
            <w:tcW w:w="1576" w:type="dxa"/>
            <w:tcBorders>
              <w:top w:val="nil"/>
              <w:left w:val="nil"/>
              <w:bottom w:val="single" w:sz="4" w:space="0" w:color="auto"/>
              <w:right w:val="single" w:sz="12" w:space="0" w:color="auto"/>
            </w:tcBorders>
            <w:shd w:val="clear" w:color="auto" w:fill="EEECE1" w:themeFill="background2"/>
            <w:hideMark/>
          </w:tcPr>
          <w:p w14:paraId="51084267" w14:textId="77777777" w:rsidR="00D367B4" w:rsidRPr="006328A1" w:rsidRDefault="00D367B4" w:rsidP="00EC495D">
            <w:pPr>
              <w:jc w:val="center"/>
              <w:rPr>
                <w:rFonts w:ascii="Calibri" w:eastAsia="Times New Roman" w:hAnsi="Calibri" w:cs="Calibri"/>
                <w:color w:val="000000"/>
                <w:lang w:eastAsia="en-AU"/>
              </w:rPr>
            </w:pPr>
            <w:r>
              <w:t>19.5%</w:t>
            </w:r>
          </w:p>
        </w:tc>
        <w:tc>
          <w:tcPr>
            <w:tcW w:w="709" w:type="dxa"/>
            <w:tcBorders>
              <w:top w:val="nil"/>
              <w:left w:val="single" w:sz="12" w:space="0" w:color="auto"/>
              <w:bottom w:val="single" w:sz="4" w:space="0" w:color="auto"/>
              <w:right w:val="single" w:sz="4" w:space="0" w:color="auto"/>
            </w:tcBorders>
            <w:shd w:val="clear" w:color="auto" w:fill="EEECE1" w:themeFill="background2"/>
            <w:vAlign w:val="center"/>
            <w:hideMark/>
          </w:tcPr>
          <w:p w14:paraId="44E85A7C"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18</w:t>
            </w:r>
          </w:p>
        </w:tc>
        <w:tc>
          <w:tcPr>
            <w:tcW w:w="850" w:type="dxa"/>
            <w:tcBorders>
              <w:top w:val="nil"/>
              <w:left w:val="nil"/>
              <w:bottom w:val="single" w:sz="4" w:space="0" w:color="auto"/>
              <w:right w:val="single" w:sz="12" w:space="0" w:color="auto"/>
            </w:tcBorders>
            <w:shd w:val="clear" w:color="auto" w:fill="EEECE1" w:themeFill="background2"/>
            <w:vAlign w:val="center"/>
          </w:tcPr>
          <w:p w14:paraId="20E4248F"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54.5%</w:t>
            </w:r>
          </w:p>
        </w:tc>
        <w:tc>
          <w:tcPr>
            <w:tcW w:w="709" w:type="dxa"/>
            <w:tcBorders>
              <w:top w:val="nil"/>
              <w:left w:val="single" w:sz="12" w:space="0" w:color="auto"/>
              <w:bottom w:val="single" w:sz="4" w:space="0" w:color="auto"/>
              <w:right w:val="single" w:sz="4" w:space="0" w:color="auto"/>
            </w:tcBorders>
            <w:shd w:val="clear" w:color="auto" w:fill="EEECE1" w:themeFill="background2"/>
            <w:vAlign w:val="center"/>
            <w:hideMark/>
          </w:tcPr>
          <w:p w14:paraId="6B5B4FCC"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10</w:t>
            </w:r>
          </w:p>
        </w:tc>
        <w:tc>
          <w:tcPr>
            <w:tcW w:w="992" w:type="dxa"/>
            <w:tcBorders>
              <w:top w:val="nil"/>
              <w:left w:val="nil"/>
              <w:bottom w:val="single" w:sz="4" w:space="0" w:color="auto"/>
              <w:right w:val="single" w:sz="12" w:space="0" w:color="auto"/>
            </w:tcBorders>
            <w:shd w:val="clear" w:color="auto" w:fill="EEECE1" w:themeFill="background2"/>
            <w:vAlign w:val="center"/>
          </w:tcPr>
          <w:p w14:paraId="29113AC0"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30.3%</w:t>
            </w:r>
          </w:p>
        </w:tc>
        <w:tc>
          <w:tcPr>
            <w:tcW w:w="709" w:type="dxa"/>
            <w:tcBorders>
              <w:top w:val="nil"/>
              <w:left w:val="single" w:sz="12" w:space="0" w:color="auto"/>
              <w:bottom w:val="single" w:sz="4" w:space="0" w:color="auto"/>
              <w:right w:val="single" w:sz="4" w:space="0" w:color="auto"/>
            </w:tcBorders>
            <w:shd w:val="clear" w:color="auto" w:fill="EEECE1" w:themeFill="background2"/>
            <w:vAlign w:val="center"/>
            <w:hideMark/>
          </w:tcPr>
          <w:p w14:paraId="1507921F"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5</w:t>
            </w:r>
          </w:p>
        </w:tc>
        <w:tc>
          <w:tcPr>
            <w:tcW w:w="851" w:type="dxa"/>
            <w:tcBorders>
              <w:top w:val="nil"/>
              <w:left w:val="single" w:sz="4" w:space="0" w:color="auto"/>
              <w:bottom w:val="single" w:sz="4" w:space="0" w:color="auto"/>
              <w:right w:val="single" w:sz="12" w:space="0" w:color="auto"/>
            </w:tcBorders>
            <w:shd w:val="clear" w:color="auto" w:fill="EEECE1" w:themeFill="background2"/>
            <w:vAlign w:val="center"/>
          </w:tcPr>
          <w:p w14:paraId="5E7D75D8"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15.2%</w:t>
            </w:r>
          </w:p>
        </w:tc>
      </w:tr>
      <w:tr w:rsidR="00836FEB" w:rsidRPr="006328A1" w14:paraId="4FC22FE7" w14:textId="77777777" w:rsidTr="00F06556">
        <w:trPr>
          <w:trHeight w:val="315"/>
        </w:trPr>
        <w:tc>
          <w:tcPr>
            <w:tcW w:w="1061" w:type="dxa"/>
            <w:tcBorders>
              <w:top w:val="nil"/>
              <w:left w:val="single" w:sz="12" w:space="0" w:color="auto"/>
              <w:bottom w:val="single" w:sz="4" w:space="0" w:color="auto"/>
              <w:right w:val="single" w:sz="4" w:space="0" w:color="auto"/>
            </w:tcBorders>
            <w:shd w:val="clear" w:color="auto" w:fill="DDD9C3" w:themeFill="background2" w:themeFillShade="E6"/>
            <w:vAlign w:val="center"/>
            <w:hideMark/>
          </w:tcPr>
          <w:p w14:paraId="4C531663" w14:textId="77777777" w:rsidR="00D367B4" w:rsidRPr="006328A1" w:rsidRDefault="00D367B4" w:rsidP="00EC495D">
            <w:pPr>
              <w:jc w:val="center"/>
              <w:rPr>
                <w:rFonts w:ascii="Calibri" w:eastAsia="Times New Roman" w:hAnsi="Calibri" w:cs="Calibri"/>
                <w:b/>
                <w:bCs/>
                <w:color w:val="000000"/>
                <w:sz w:val="24"/>
                <w:szCs w:val="24"/>
                <w:lang w:eastAsia="en-AU"/>
              </w:rPr>
            </w:pPr>
            <w:r w:rsidRPr="006328A1">
              <w:rPr>
                <w:rFonts w:ascii="Calibri" w:eastAsia="Times New Roman" w:hAnsi="Calibri" w:cs="Calibri"/>
                <w:b/>
                <w:bCs/>
                <w:color w:val="000000"/>
                <w:sz w:val="24"/>
                <w:szCs w:val="24"/>
                <w:lang w:eastAsia="en-AU"/>
              </w:rPr>
              <w:t>H16.9</w:t>
            </w:r>
          </w:p>
        </w:tc>
        <w:tc>
          <w:tcPr>
            <w:tcW w:w="880" w:type="dxa"/>
            <w:tcBorders>
              <w:top w:val="nil"/>
              <w:left w:val="nil"/>
              <w:bottom w:val="single" w:sz="4" w:space="0" w:color="auto"/>
              <w:right w:val="single" w:sz="4" w:space="0" w:color="auto"/>
            </w:tcBorders>
            <w:shd w:val="clear" w:color="000000" w:fill="E1E0C1"/>
            <w:vAlign w:val="center"/>
            <w:hideMark/>
          </w:tcPr>
          <w:p w14:paraId="2A8EB500"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58</w:t>
            </w:r>
          </w:p>
        </w:tc>
        <w:tc>
          <w:tcPr>
            <w:tcW w:w="1146" w:type="dxa"/>
            <w:tcBorders>
              <w:top w:val="nil"/>
              <w:left w:val="nil"/>
              <w:bottom w:val="single" w:sz="4" w:space="0" w:color="auto"/>
              <w:right w:val="single" w:sz="4" w:space="0" w:color="auto"/>
            </w:tcBorders>
            <w:shd w:val="clear" w:color="000000" w:fill="E1E0C1"/>
            <w:vAlign w:val="center"/>
            <w:hideMark/>
          </w:tcPr>
          <w:p w14:paraId="3FC27D18"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169</w:t>
            </w:r>
          </w:p>
        </w:tc>
        <w:tc>
          <w:tcPr>
            <w:tcW w:w="1576" w:type="dxa"/>
            <w:tcBorders>
              <w:top w:val="nil"/>
              <w:left w:val="nil"/>
              <w:bottom w:val="single" w:sz="4" w:space="0" w:color="auto"/>
              <w:right w:val="single" w:sz="12" w:space="0" w:color="auto"/>
            </w:tcBorders>
            <w:shd w:val="clear" w:color="auto" w:fill="FF0000"/>
            <w:hideMark/>
          </w:tcPr>
          <w:p w14:paraId="2345CF1F" w14:textId="77777777" w:rsidR="00D367B4" w:rsidRPr="000836DC" w:rsidRDefault="00D367B4" w:rsidP="00EC495D">
            <w:pPr>
              <w:jc w:val="center"/>
              <w:rPr>
                <w:rFonts w:ascii="Calibri" w:eastAsia="Times New Roman" w:hAnsi="Calibri" w:cs="Calibri"/>
                <w:b/>
                <w:bCs/>
                <w:color w:val="FFFFFF" w:themeColor="background1"/>
                <w:lang w:eastAsia="en-AU"/>
              </w:rPr>
            </w:pPr>
            <w:r w:rsidRPr="000836DC">
              <w:rPr>
                <w:b/>
                <w:bCs/>
                <w:color w:val="FFFFFF" w:themeColor="background1"/>
              </w:rPr>
              <w:t>34.3%</w:t>
            </w:r>
          </w:p>
        </w:tc>
        <w:tc>
          <w:tcPr>
            <w:tcW w:w="709" w:type="dxa"/>
            <w:tcBorders>
              <w:top w:val="nil"/>
              <w:left w:val="single" w:sz="12" w:space="0" w:color="auto"/>
              <w:bottom w:val="single" w:sz="4" w:space="0" w:color="auto"/>
              <w:right w:val="single" w:sz="4" w:space="0" w:color="auto"/>
            </w:tcBorders>
            <w:shd w:val="clear" w:color="000000" w:fill="E1E0C1"/>
            <w:vAlign w:val="center"/>
            <w:hideMark/>
          </w:tcPr>
          <w:p w14:paraId="4827A417"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21</w:t>
            </w:r>
          </w:p>
        </w:tc>
        <w:tc>
          <w:tcPr>
            <w:tcW w:w="850" w:type="dxa"/>
            <w:tcBorders>
              <w:top w:val="nil"/>
              <w:left w:val="nil"/>
              <w:bottom w:val="single" w:sz="4" w:space="0" w:color="auto"/>
              <w:right w:val="single" w:sz="12" w:space="0" w:color="auto"/>
            </w:tcBorders>
            <w:shd w:val="clear" w:color="000000" w:fill="E1E0C1"/>
            <w:vAlign w:val="center"/>
          </w:tcPr>
          <w:p w14:paraId="33CED94D"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36.2%</w:t>
            </w:r>
          </w:p>
        </w:tc>
        <w:tc>
          <w:tcPr>
            <w:tcW w:w="709" w:type="dxa"/>
            <w:tcBorders>
              <w:top w:val="nil"/>
              <w:left w:val="single" w:sz="12" w:space="0" w:color="auto"/>
              <w:bottom w:val="single" w:sz="4" w:space="0" w:color="auto"/>
              <w:right w:val="single" w:sz="4" w:space="0" w:color="auto"/>
            </w:tcBorders>
            <w:shd w:val="clear" w:color="000000" w:fill="E1E0C1"/>
            <w:vAlign w:val="center"/>
            <w:hideMark/>
          </w:tcPr>
          <w:p w14:paraId="21733BBC"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24</w:t>
            </w:r>
          </w:p>
        </w:tc>
        <w:tc>
          <w:tcPr>
            <w:tcW w:w="992" w:type="dxa"/>
            <w:tcBorders>
              <w:top w:val="nil"/>
              <w:left w:val="nil"/>
              <w:bottom w:val="single" w:sz="4" w:space="0" w:color="auto"/>
              <w:right w:val="single" w:sz="12" w:space="0" w:color="auto"/>
            </w:tcBorders>
            <w:shd w:val="clear" w:color="000000" w:fill="E1E0C1"/>
            <w:vAlign w:val="center"/>
          </w:tcPr>
          <w:p w14:paraId="5CC77030"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41.4%</w:t>
            </w:r>
          </w:p>
        </w:tc>
        <w:tc>
          <w:tcPr>
            <w:tcW w:w="709" w:type="dxa"/>
            <w:tcBorders>
              <w:top w:val="nil"/>
              <w:left w:val="single" w:sz="12" w:space="0" w:color="auto"/>
              <w:bottom w:val="single" w:sz="4" w:space="0" w:color="auto"/>
              <w:right w:val="single" w:sz="4" w:space="0" w:color="auto"/>
            </w:tcBorders>
            <w:shd w:val="clear" w:color="000000" w:fill="E1E0C1"/>
            <w:vAlign w:val="center"/>
            <w:hideMark/>
          </w:tcPr>
          <w:p w14:paraId="6A27D9EC"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13</w:t>
            </w:r>
          </w:p>
        </w:tc>
        <w:tc>
          <w:tcPr>
            <w:tcW w:w="851" w:type="dxa"/>
            <w:tcBorders>
              <w:top w:val="nil"/>
              <w:left w:val="single" w:sz="4" w:space="0" w:color="auto"/>
              <w:bottom w:val="single" w:sz="4" w:space="0" w:color="auto"/>
              <w:right w:val="single" w:sz="12" w:space="0" w:color="auto"/>
            </w:tcBorders>
            <w:shd w:val="clear" w:color="000000" w:fill="E1E0C1"/>
            <w:vAlign w:val="center"/>
          </w:tcPr>
          <w:p w14:paraId="15E00F93"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22.4%</w:t>
            </w:r>
          </w:p>
        </w:tc>
      </w:tr>
      <w:tr w:rsidR="00836FEB" w:rsidRPr="006328A1" w14:paraId="24E56B70" w14:textId="77777777" w:rsidTr="00F06556">
        <w:trPr>
          <w:trHeight w:val="315"/>
        </w:trPr>
        <w:tc>
          <w:tcPr>
            <w:tcW w:w="1061" w:type="dxa"/>
            <w:tcBorders>
              <w:top w:val="nil"/>
              <w:left w:val="single" w:sz="12" w:space="0" w:color="auto"/>
              <w:bottom w:val="single" w:sz="4" w:space="0" w:color="auto"/>
              <w:right w:val="single" w:sz="4" w:space="0" w:color="auto"/>
            </w:tcBorders>
            <w:shd w:val="clear" w:color="auto" w:fill="EEECE1" w:themeFill="background2"/>
            <w:vAlign w:val="center"/>
            <w:hideMark/>
          </w:tcPr>
          <w:p w14:paraId="67B47EEB" w14:textId="77777777" w:rsidR="00D367B4" w:rsidRPr="006328A1" w:rsidRDefault="00D367B4" w:rsidP="00EC495D">
            <w:pPr>
              <w:jc w:val="center"/>
              <w:rPr>
                <w:rFonts w:ascii="Calibri" w:eastAsia="Times New Roman" w:hAnsi="Calibri" w:cs="Calibri"/>
                <w:b/>
                <w:bCs/>
                <w:color w:val="000000"/>
                <w:sz w:val="24"/>
                <w:szCs w:val="24"/>
                <w:lang w:eastAsia="en-AU"/>
              </w:rPr>
            </w:pPr>
            <w:r w:rsidRPr="006328A1">
              <w:rPr>
                <w:rFonts w:ascii="Calibri" w:eastAsia="Times New Roman" w:hAnsi="Calibri" w:cs="Calibri"/>
                <w:b/>
                <w:bCs/>
                <w:color w:val="000000"/>
                <w:sz w:val="24"/>
                <w:szCs w:val="24"/>
                <w:lang w:eastAsia="en-AU"/>
              </w:rPr>
              <w:t>H16.10</w:t>
            </w:r>
          </w:p>
        </w:tc>
        <w:tc>
          <w:tcPr>
            <w:tcW w:w="880" w:type="dxa"/>
            <w:tcBorders>
              <w:top w:val="nil"/>
              <w:left w:val="nil"/>
              <w:bottom w:val="single" w:sz="4" w:space="0" w:color="auto"/>
              <w:right w:val="single" w:sz="4" w:space="0" w:color="auto"/>
            </w:tcBorders>
            <w:shd w:val="clear" w:color="auto" w:fill="EEECE1" w:themeFill="background2"/>
            <w:vAlign w:val="center"/>
            <w:hideMark/>
          </w:tcPr>
          <w:p w14:paraId="1275DA96"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55</w:t>
            </w:r>
          </w:p>
        </w:tc>
        <w:tc>
          <w:tcPr>
            <w:tcW w:w="1146" w:type="dxa"/>
            <w:tcBorders>
              <w:top w:val="nil"/>
              <w:left w:val="nil"/>
              <w:bottom w:val="single" w:sz="4" w:space="0" w:color="auto"/>
              <w:right w:val="single" w:sz="4" w:space="0" w:color="auto"/>
            </w:tcBorders>
            <w:shd w:val="clear" w:color="auto" w:fill="EEECE1" w:themeFill="background2"/>
            <w:vAlign w:val="center"/>
            <w:hideMark/>
          </w:tcPr>
          <w:p w14:paraId="4E4F5E78"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169</w:t>
            </w:r>
          </w:p>
        </w:tc>
        <w:tc>
          <w:tcPr>
            <w:tcW w:w="1576" w:type="dxa"/>
            <w:tcBorders>
              <w:top w:val="nil"/>
              <w:left w:val="nil"/>
              <w:bottom w:val="single" w:sz="4" w:space="0" w:color="auto"/>
              <w:right w:val="single" w:sz="12" w:space="0" w:color="auto"/>
            </w:tcBorders>
            <w:shd w:val="clear" w:color="auto" w:fill="FF0000"/>
            <w:hideMark/>
          </w:tcPr>
          <w:p w14:paraId="55E8015A" w14:textId="77777777" w:rsidR="00D367B4" w:rsidRPr="000836DC" w:rsidRDefault="00D367B4" w:rsidP="00EC495D">
            <w:pPr>
              <w:jc w:val="center"/>
              <w:rPr>
                <w:rFonts w:ascii="Calibri" w:eastAsia="Times New Roman" w:hAnsi="Calibri" w:cs="Calibri"/>
                <w:b/>
                <w:bCs/>
                <w:color w:val="FFFFFF" w:themeColor="background1"/>
                <w:lang w:eastAsia="en-AU"/>
              </w:rPr>
            </w:pPr>
            <w:r w:rsidRPr="000836DC">
              <w:rPr>
                <w:b/>
                <w:bCs/>
                <w:color w:val="FFFFFF" w:themeColor="background1"/>
              </w:rPr>
              <w:t>32.5%</w:t>
            </w:r>
          </w:p>
        </w:tc>
        <w:tc>
          <w:tcPr>
            <w:tcW w:w="709" w:type="dxa"/>
            <w:tcBorders>
              <w:top w:val="nil"/>
              <w:left w:val="single" w:sz="12" w:space="0" w:color="auto"/>
              <w:bottom w:val="single" w:sz="4" w:space="0" w:color="auto"/>
              <w:right w:val="single" w:sz="4" w:space="0" w:color="auto"/>
            </w:tcBorders>
            <w:shd w:val="clear" w:color="auto" w:fill="EEECE1" w:themeFill="background2"/>
            <w:vAlign w:val="center"/>
            <w:hideMark/>
          </w:tcPr>
          <w:p w14:paraId="4088B8C8"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26</w:t>
            </w:r>
          </w:p>
        </w:tc>
        <w:tc>
          <w:tcPr>
            <w:tcW w:w="850" w:type="dxa"/>
            <w:tcBorders>
              <w:top w:val="nil"/>
              <w:left w:val="nil"/>
              <w:bottom w:val="single" w:sz="4" w:space="0" w:color="auto"/>
              <w:right w:val="single" w:sz="12" w:space="0" w:color="auto"/>
            </w:tcBorders>
            <w:shd w:val="clear" w:color="auto" w:fill="EEECE1" w:themeFill="background2"/>
            <w:vAlign w:val="center"/>
          </w:tcPr>
          <w:p w14:paraId="58259763"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47.3%</w:t>
            </w:r>
          </w:p>
        </w:tc>
        <w:tc>
          <w:tcPr>
            <w:tcW w:w="709" w:type="dxa"/>
            <w:tcBorders>
              <w:top w:val="nil"/>
              <w:left w:val="single" w:sz="12" w:space="0" w:color="auto"/>
              <w:bottom w:val="single" w:sz="4" w:space="0" w:color="auto"/>
              <w:right w:val="single" w:sz="4" w:space="0" w:color="auto"/>
            </w:tcBorders>
            <w:shd w:val="clear" w:color="auto" w:fill="EEECE1" w:themeFill="background2"/>
            <w:vAlign w:val="center"/>
            <w:hideMark/>
          </w:tcPr>
          <w:p w14:paraId="352D9CCA"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24</w:t>
            </w:r>
          </w:p>
        </w:tc>
        <w:tc>
          <w:tcPr>
            <w:tcW w:w="992" w:type="dxa"/>
            <w:tcBorders>
              <w:top w:val="nil"/>
              <w:left w:val="nil"/>
              <w:bottom w:val="single" w:sz="4" w:space="0" w:color="auto"/>
              <w:right w:val="single" w:sz="12" w:space="0" w:color="auto"/>
            </w:tcBorders>
            <w:shd w:val="clear" w:color="auto" w:fill="EEECE1" w:themeFill="background2"/>
            <w:vAlign w:val="center"/>
          </w:tcPr>
          <w:p w14:paraId="31E4B379"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43.6%</w:t>
            </w:r>
          </w:p>
        </w:tc>
        <w:tc>
          <w:tcPr>
            <w:tcW w:w="709" w:type="dxa"/>
            <w:tcBorders>
              <w:top w:val="nil"/>
              <w:left w:val="single" w:sz="12" w:space="0" w:color="auto"/>
              <w:bottom w:val="single" w:sz="4" w:space="0" w:color="auto"/>
              <w:right w:val="single" w:sz="4" w:space="0" w:color="auto"/>
            </w:tcBorders>
            <w:shd w:val="clear" w:color="auto" w:fill="EEECE1" w:themeFill="background2"/>
            <w:vAlign w:val="center"/>
            <w:hideMark/>
          </w:tcPr>
          <w:p w14:paraId="2DC5E460"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5</w:t>
            </w:r>
          </w:p>
        </w:tc>
        <w:tc>
          <w:tcPr>
            <w:tcW w:w="851" w:type="dxa"/>
            <w:tcBorders>
              <w:top w:val="nil"/>
              <w:left w:val="single" w:sz="4" w:space="0" w:color="auto"/>
              <w:bottom w:val="single" w:sz="4" w:space="0" w:color="auto"/>
              <w:right w:val="single" w:sz="12" w:space="0" w:color="auto"/>
            </w:tcBorders>
            <w:shd w:val="clear" w:color="auto" w:fill="EEECE1" w:themeFill="background2"/>
            <w:vAlign w:val="center"/>
          </w:tcPr>
          <w:p w14:paraId="1BD7124A"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9.1%</w:t>
            </w:r>
          </w:p>
        </w:tc>
      </w:tr>
      <w:tr w:rsidR="00836FEB" w:rsidRPr="006328A1" w14:paraId="0F27EE5F" w14:textId="77777777" w:rsidTr="00F06556">
        <w:trPr>
          <w:trHeight w:val="315"/>
        </w:trPr>
        <w:tc>
          <w:tcPr>
            <w:tcW w:w="1061" w:type="dxa"/>
            <w:tcBorders>
              <w:top w:val="nil"/>
              <w:left w:val="single" w:sz="12" w:space="0" w:color="auto"/>
              <w:bottom w:val="single" w:sz="4" w:space="0" w:color="auto"/>
              <w:right w:val="single" w:sz="4" w:space="0" w:color="auto"/>
            </w:tcBorders>
            <w:shd w:val="clear" w:color="auto" w:fill="DDD9C3" w:themeFill="background2" w:themeFillShade="E6"/>
            <w:vAlign w:val="center"/>
            <w:hideMark/>
          </w:tcPr>
          <w:p w14:paraId="10577744" w14:textId="77777777" w:rsidR="00D367B4" w:rsidRPr="006328A1" w:rsidRDefault="00D367B4" w:rsidP="00EC495D">
            <w:pPr>
              <w:jc w:val="center"/>
              <w:rPr>
                <w:rFonts w:ascii="Calibri" w:eastAsia="Times New Roman" w:hAnsi="Calibri" w:cs="Calibri"/>
                <w:b/>
                <w:bCs/>
                <w:color w:val="000000"/>
                <w:sz w:val="24"/>
                <w:szCs w:val="24"/>
                <w:lang w:eastAsia="en-AU"/>
              </w:rPr>
            </w:pPr>
            <w:r w:rsidRPr="006328A1">
              <w:rPr>
                <w:rFonts w:ascii="Calibri" w:eastAsia="Times New Roman" w:hAnsi="Calibri" w:cs="Calibri"/>
                <w:b/>
                <w:bCs/>
                <w:color w:val="000000"/>
                <w:sz w:val="24"/>
                <w:szCs w:val="24"/>
                <w:lang w:eastAsia="en-AU"/>
              </w:rPr>
              <w:t>H16.11</w:t>
            </w:r>
          </w:p>
        </w:tc>
        <w:tc>
          <w:tcPr>
            <w:tcW w:w="880" w:type="dxa"/>
            <w:tcBorders>
              <w:top w:val="nil"/>
              <w:left w:val="nil"/>
              <w:bottom w:val="single" w:sz="4" w:space="0" w:color="auto"/>
              <w:right w:val="single" w:sz="4" w:space="0" w:color="auto"/>
            </w:tcBorders>
            <w:shd w:val="clear" w:color="000000" w:fill="E1E0C1"/>
            <w:vAlign w:val="center"/>
            <w:hideMark/>
          </w:tcPr>
          <w:p w14:paraId="06871B70"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22</w:t>
            </w:r>
          </w:p>
        </w:tc>
        <w:tc>
          <w:tcPr>
            <w:tcW w:w="1146" w:type="dxa"/>
            <w:tcBorders>
              <w:top w:val="nil"/>
              <w:left w:val="nil"/>
              <w:bottom w:val="single" w:sz="4" w:space="0" w:color="auto"/>
              <w:right w:val="single" w:sz="4" w:space="0" w:color="auto"/>
            </w:tcBorders>
            <w:shd w:val="clear" w:color="000000" w:fill="E1E0C1"/>
            <w:vAlign w:val="center"/>
            <w:hideMark/>
          </w:tcPr>
          <w:p w14:paraId="08343FDA"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169</w:t>
            </w:r>
          </w:p>
        </w:tc>
        <w:tc>
          <w:tcPr>
            <w:tcW w:w="1576" w:type="dxa"/>
            <w:tcBorders>
              <w:top w:val="nil"/>
              <w:left w:val="nil"/>
              <w:bottom w:val="single" w:sz="4" w:space="0" w:color="auto"/>
              <w:right w:val="single" w:sz="12" w:space="0" w:color="auto"/>
            </w:tcBorders>
            <w:shd w:val="clear" w:color="000000" w:fill="E1E0C1"/>
            <w:hideMark/>
          </w:tcPr>
          <w:p w14:paraId="57824F75" w14:textId="77777777" w:rsidR="00D367B4" w:rsidRPr="006328A1" w:rsidRDefault="00D367B4" w:rsidP="00EC495D">
            <w:pPr>
              <w:jc w:val="center"/>
              <w:rPr>
                <w:rFonts w:ascii="Calibri" w:eastAsia="Times New Roman" w:hAnsi="Calibri" w:cs="Calibri"/>
                <w:color w:val="000000"/>
                <w:lang w:eastAsia="en-AU"/>
              </w:rPr>
            </w:pPr>
            <w:r>
              <w:t>13.0%</w:t>
            </w:r>
          </w:p>
        </w:tc>
        <w:tc>
          <w:tcPr>
            <w:tcW w:w="709" w:type="dxa"/>
            <w:tcBorders>
              <w:top w:val="nil"/>
              <w:left w:val="single" w:sz="12" w:space="0" w:color="auto"/>
              <w:bottom w:val="single" w:sz="4" w:space="0" w:color="auto"/>
              <w:right w:val="single" w:sz="4" w:space="0" w:color="auto"/>
            </w:tcBorders>
            <w:shd w:val="clear" w:color="000000" w:fill="E1E0C1"/>
            <w:vAlign w:val="center"/>
            <w:hideMark/>
          </w:tcPr>
          <w:p w14:paraId="3D2F1D5C"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15</w:t>
            </w:r>
          </w:p>
        </w:tc>
        <w:tc>
          <w:tcPr>
            <w:tcW w:w="850" w:type="dxa"/>
            <w:tcBorders>
              <w:top w:val="nil"/>
              <w:left w:val="nil"/>
              <w:bottom w:val="single" w:sz="4" w:space="0" w:color="auto"/>
              <w:right w:val="single" w:sz="12" w:space="0" w:color="auto"/>
            </w:tcBorders>
            <w:shd w:val="clear" w:color="000000" w:fill="E1E0C1"/>
            <w:vAlign w:val="center"/>
          </w:tcPr>
          <w:p w14:paraId="538634CD"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68.2%</w:t>
            </w:r>
          </w:p>
        </w:tc>
        <w:tc>
          <w:tcPr>
            <w:tcW w:w="709" w:type="dxa"/>
            <w:tcBorders>
              <w:top w:val="nil"/>
              <w:left w:val="single" w:sz="12" w:space="0" w:color="auto"/>
              <w:bottom w:val="single" w:sz="4" w:space="0" w:color="auto"/>
              <w:right w:val="single" w:sz="4" w:space="0" w:color="auto"/>
            </w:tcBorders>
            <w:shd w:val="clear" w:color="000000" w:fill="E1E0C1"/>
            <w:vAlign w:val="center"/>
            <w:hideMark/>
          </w:tcPr>
          <w:p w14:paraId="5EA48944"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4</w:t>
            </w:r>
          </w:p>
        </w:tc>
        <w:tc>
          <w:tcPr>
            <w:tcW w:w="992" w:type="dxa"/>
            <w:tcBorders>
              <w:top w:val="nil"/>
              <w:left w:val="nil"/>
              <w:bottom w:val="single" w:sz="4" w:space="0" w:color="auto"/>
              <w:right w:val="single" w:sz="12" w:space="0" w:color="auto"/>
            </w:tcBorders>
            <w:shd w:val="clear" w:color="000000" w:fill="E1E0C1"/>
            <w:vAlign w:val="center"/>
          </w:tcPr>
          <w:p w14:paraId="6932EC03"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18.2%</w:t>
            </w:r>
          </w:p>
        </w:tc>
        <w:tc>
          <w:tcPr>
            <w:tcW w:w="709" w:type="dxa"/>
            <w:tcBorders>
              <w:top w:val="nil"/>
              <w:left w:val="single" w:sz="12" w:space="0" w:color="auto"/>
              <w:bottom w:val="single" w:sz="4" w:space="0" w:color="auto"/>
              <w:right w:val="single" w:sz="4" w:space="0" w:color="auto"/>
            </w:tcBorders>
            <w:shd w:val="clear" w:color="000000" w:fill="E1E0C1"/>
            <w:vAlign w:val="center"/>
            <w:hideMark/>
          </w:tcPr>
          <w:p w14:paraId="61952806"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3</w:t>
            </w:r>
          </w:p>
        </w:tc>
        <w:tc>
          <w:tcPr>
            <w:tcW w:w="851" w:type="dxa"/>
            <w:tcBorders>
              <w:top w:val="nil"/>
              <w:left w:val="single" w:sz="4" w:space="0" w:color="auto"/>
              <w:bottom w:val="single" w:sz="4" w:space="0" w:color="auto"/>
              <w:right w:val="single" w:sz="12" w:space="0" w:color="auto"/>
            </w:tcBorders>
            <w:shd w:val="clear" w:color="000000" w:fill="E1E0C1"/>
            <w:vAlign w:val="center"/>
          </w:tcPr>
          <w:p w14:paraId="322D4E77"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13.6%</w:t>
            </w:r>
          </w:p>
        </w:tc>
      </w:tr>
      <w:tr w:rsidR="00836FEB" w:rsidRPr="006328A1" w14:paraId="73E41618" w14:textId="77777777" w:rsidTr="00F06556">
        <w:trPr>
          <w:trHeight w:val="315"/>
        </w:trPr>
        <w:tc>
          <w:tcPr>
            <w:tcW w:w="1061" w:type="dxa"/>
            <w:tcBorders>
              <w:top w:val="nil"/>
              <w:left w:val="single" w:sz="12" w:space="0" w:color="auto"/>
              <w:bottom w:val="single" w:sz="12" w:space="0" w:color="auto"/>
              <w:right w:val="single" w:sz="4" w:space="0" w:color="auto"/>
            </w:tcBorders>
            <w:shd w:val="clear" w:color="auto" w:fill="EEECE1" w:themeFill="background2"/>
            <w:vAlign w:val="center"/>
            <w:hideMark/>
          </w:tcPr>
          <w:p w14:paraId="09F05C66" w14:textId="77777777" w:rsidR="00D367B4" w:rsidRPr="006328A1" w:rsidRDefault="00D367B4" w:rsidP="00EC495D">
            <w:pPr>
              <w:jc w:val="center"/>
              <w:rPr>
                <w:rFonts w:ascii="Calibri" w:eastAsia="Times New Roman" w:hAnsi="Calibri" w:cs="Calibri"/>
                <w:b/>
                <w:bCs/>
                <w:color w:val="000000"/>
                <w:sz w:val="24"/>
                <w:szCs w:val="24"/>
                <w:lang w:eastAsia="en-AU"/>
              </w:rPr>
            </w:pPr>
            <w:r w:rsidRPr="006328A1">
              <w:rPr>
                <w:rFonts w:ascii="Calibri" w:eastAsia="Times New Roman" w:hAnsi="Calibri" w:cs="Calibri"/>
                <w:b/>
                <w:bCs/>
                <w:color w:val="000000"/>
                <w:sz w:val="24"/>
                <w:szCs w:val="24"/>
                <w:lang w:eastAsia="en-AU"/>
              </w:rPr>
              <w:t>H16.12</w:t>
            </w:r>
          </w:p>
        </w:tc>
        <w:tc>
          <w:tcPr>
            <w:tcW w:w="880" w:type="dxa"/>
            <w:tcBorders>
              <w:top w:val="nil"/>
              <w:left w:val="nil"/>
              <w:bottom w:val="single" w:sz="12" w:space="0" w:color="auto"/>
              <w:right w:val="single" w:sz="4" w:space="0" w:color="auto"/>
            </w:tcBorders>
            <w:shd w:val="clear" w:color="auto" w:fill="EEECE1" w:themeFill="background2"/>
            <w:vAlign w:val="center"/>
            <w:hideMark/>
          </w:tcPr>
          <w:p w14:paraId="65157D22"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2</w:t>
            </w:r>
          </w:p>
        </w:tc>
        <w:tc>
          <w:tcPr>
            <w:tcW w:w="1146" w:type="dxa"/>
            <w:tcBorders>
              <w:top w:val="nil"/>
              <w:left w:val="nil"/>
              <w:bottom w:val="single" w:sz="12" w:space="0" w:color="auto"/>
              <w:right w:val="single" w:sz="4" w:space="0" w:color="auto"/>
            </w:tcBorders>
            <w:shd w:val="clear" w:color="auto" w:fill="EEECE1" w:themeFill="background2"/>
            <w:vAlign w:val="center"/>
            <w:hideMark/>
          </w:tcPr>
          <w:p w14:paraId="046E7784"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lang w:eastAsia="en-AU"/>
              </w:rPr>
              <w:t>169</w:t>
            </w:r>
          </w:p>
        </w:tc>
        <w:tc>
          <w:tcPr>
            <w:tcW w:w="1576" w:type="dxa"/>
            <w:tcBorders>
              <w:top w:val="nil"/>
              <w:left w:val="nil"/>
              <w:bottom w:val="single" w:sz="12" w:space="0" w:color="auto"/>
              <w:right w:val="single" w:sz="12" w:space="0" w:color="auto"/>
            </w:tcBorders>
            <w:shd w:val="clear" w:color="auto" w:fill="EEECE1" w:themeFill="background2"/>
            <w:hideMark/>
          </w:tcPr>
          <w:p w14:paraId="1CEBC797" w14:textId="77777777" w:rsidR="00D367B4" w:rsidRPr="006328A1" w:rsidRDefault="00D367B4" w:rsidP="00EC495D">
            <w:pPr>
              <w:jc w:val="center"/>
              <w:rPr>
                <w:rFonts w:ascii="Calibri" w:eastAsia="Times New Roman" w:hAnsi="Calibri" w:cs="Calibri"/>
                <w:color w:val="000000"/>
                <w:lang w:eastAsia="en-AU"/>
              </w:rPr>
            </w:pPr>
            <w:r>
              <w:t>1.2%</w:t>
            </w:r>
          </w:p>
        </w:tc>
        <w:tc>
          <w:tcPr>
            <w:tcW w:w="709" w:type="dxa"/>
            <w:tcBorders>
              <w:top w:val="nil"/>
              <w:left w:val="single" w:sz="12" w:space="0" w:color="auto"/>
              <w:bottom w:val="single" w:sz="12" w:space="0" w:color="auto"/>
              <w:right w:val="single" w:sz="4" w:space="0" w:color="auto"/>
            </w:tcBorders>
            <w:shd w:val="clear" w:color="auto" w:fill="EEECE1" w:themeFill="background2"/>
            <w:vAlign w:val="center"/>
            <w:hideMark/>
          </w:tcPr>
          <w:p w14:paraId="1C54AE05"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0</w:t>
            </w:r>
          </w:p>
        </w:tc>
        <w:tc>
          <w:tcPr>
            <w:tcW w:w="850" w:type="dxa"/>
            <w:tcBorders>
              <w:top w:val="nil"/>
              <w:left w:val="nil"/>
              <w:bottom w:val="single" w:sz="12" w:space="0" w:color="auto"/>
              <w:right w:val="single" w:sz="12" w:space="0" w:color="auto"/>
            </w:tcBorders>
            <w:shd w:val="clear" w:color="auto" w:fill="EEECE1" w:themeFill="background2"/>
            <w:vAlign w:val="center"/>
          </w:tcPr>
          <w:p w14:paraId="77A4B833"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0.0%</w:t>
            </w:r>
          </w:p>
        </w:tc>
        <w:tc>
          <w:tcPr>
            <w:tcW w:w="709" w:type="dxa"/>
            <w:tcBorders>
              <w:top w:val="nil"/>
              <w:left w:val="single" w:sz="12" w:space="0" w:color="auto"/>
              <w:bottom w:val="single" w:sz="12" w:space="0" w:color="auto"/>
              <w:right w:val="single" w:sz="4" w:space="0" w:color="auto"/>
            </w:tcBorders>
            <w:shd w:val="clear" w:color="auto" w:fill="EEECE1" w:themeFill="background2"/>
            <w:vAlign w:val="center"/>
            <w:hideMark/>
          </w:tcPr>
          <w:p w14:paraId="053B7A30"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2</w:t>
            </w:r>
          </w:p>
        </w:tc>
        <w:tc>
          <w:tcPr>
            <w:tcW w:w="992" w:type="dxa"/>
            <w:tcBorders>
              <w:top w:val="nil"/>
              <w:left w:val="nil"/>
              <w:bottom w:val="single" w:sz="12" w:space="0" w:color="auto"/>
              <w:right w:val="single" w:sz="12" w:space="0" w:color="auto"/>
            </w:tcBorders>
            <w:shd w:val="clear" w:color="auto" w:fill="EEECE1" w:themeFill="background2"/>
            <w:vAlign w:val="center"/>
          </w:tcPr>
          <w:p w14:paraId="55CB2814"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100.0%</w:t>
            </w:r>
          </w:p>
        </w:tc>
        <w:tc>
          <w:tcPr>
            <w:tcW w:w="709" w:type="dxa"/>
            <w:tcBorders>
              <w:top w:val="nil"/>
              <w:left w:val="single" w:sz="12" w:space="0" w:color="auto"/>
              <w:bottom w:val="single" w:sz="12" w:space="0" w:color="auto"/>
              <w:right w:val="single" w:sz="4" w:space="0" w:color="auto"/>
            </w:tcBorders>
            <w:shd w:val="clear" w:color="auto" w:fill="EEECE1" w:themeFill="background2"/>
            <w:vAlign w:val="center"/>
            <w:hideMark/>
          </w:tcPr>
          <w:p w14:paraId="6DCD5A49" w14:textId="77777777" w:rsidR="00D367B4" w:rsidRPr="006328A1" w:rsidRDefault="00D367B4" w:rsidP="00EC495D">
            <w:pPr>
              <w:jc w:val="center"/>
              <w:rPr>
                <w:rFonts w:ascii="Calibri" w:eastAsia="Times New Roman" w:hAnsi="Calibri" w:cs="Calibri"/>
                <w:color w:val="000000"/>
                <w:lang w:eastAsia="en-AU"/>
              </w:rPr>
            </w:pPr>
            <w:r w:rsidRPr="006328A1">
              <w:rPr>
                <w:rFonts w:ascii="Calibri" w:eastAsia="Times New Roman" w:hAnsi="Calibri" w:cs="Calibri"/>
                <w:color w:val="000000"/>
                <w:lang w:eastAsia="en-AU"/>
              </w:rPr>
              <w:t>0</w:t>
            </w:r>
          </w:p>
        </w:tc>
        <w:tc>
          <w:tcPr>
            <w:tcW w:w="851" w:type="dxa"/>
            <w:tcBorders>
              <w:top w:val="nil"/>
              <w:left w:val="single" w:sz="4" w:space="0" w:color="auto"/>
              <w:bottom w:val="single" w:sz="12" w:space="0" w:color="auto"/>
              <w:right w:val="single" w:sz="12" w:space="0" w:color="auto"/>
            </w:tcBorders>
            <w:shd w:val="clear" w:color="auto" w:fill="EEECE1" w:themeFill="background2"/>
            <w:vAlign w:val="center"/>
          </w:tcPr>
          <w:p w14:paraId="7A0D863F" w14:textId="77777777" w:rsidR="00D367B4" w:rsidRPr="006328A1" w:rsidRDefault="00D367B4" w:rsidP="00EC495D">
            <w:pPr>
              <w:jc w:val="center"/>
              <w:rPr>
                <w:rFonts w:ascii="Calibri" w:eastAsia="Times New Roman" w:hAnsi="Calibri" w:cs="Calibri"/>
                <w:color w:val="000000"/>
                <w:lang w:eastAsia="en-AU"/>
              </w:rPr>
            </w:pPr>
            <w:r>
              <w:rPr>
                <w:rFonts w:ascii="Calibri" w:hAnsi="Calibri" w:cs="Calibri"/>
                <w:color w:val="000000"/>
              </w:rPr>
              <w:t>0.0%</w:t>
            </w:r>
          </w:p>
        </w:tc>
      </w:tr>
      <w:tr w:rsidR="00836FEB" w:rsidRPr="006328A1" w14:paraId="7D9A3E7D" w14:textId="77777777" w:rsidTr="009A21F0">
        <w:trPr>
          <w:trHeight w:val="315"/>
        </w:trPr>
        <w:tc>
          <w:tcPr>
            <w:tcW w:w="1061" w:type="dxa"/>
            <w:tcBorders>
              <w:top w:val="single" w:sz="12" w:space="0" w:color="auto"/>
              <w:left w:val="single" w:sz="12" w:space="0" w:color="auto"/>
              <w:bottom w:val="single" w:sz="12" w:space="0" w:color="auto"/>
              <w:right w:val="single" w:sz="4" w:space="0" w:color="auto"/>
            </w:tcBorders>
            <w:shd w:val="clear" w:color="auto" w:fill="auto"/>
            <w:vAlign w:val="center"/>
          </w:tcPr>
          <w:p w14:paraId="103096A0" w14:textId="77777777" w:rsidR="00364A55" w:rsidRPr="006328A1" w:rsidRDefault="00364A55" w:rsidP="00EC495D">
            <w:pPr>
              <w:jc w:val="center"/>
              <w:rPr>
                <w:rFonts w:ascii="Calibri" w:eastAsia="Times New Roman" w:hAnsi="Calibri" w:cs="Calibri"/>
                <w:b/>
                <w:bCs/>
                <w:color w:val="000000"/>
                <w:sz w:val="24"/>
                <w:szCs w:val="24"/>
                <w:lang w:eastAsia="en-AU"/>
              </w:rPr>
            </w:pPr>
            <w:r>
              <w:rPr>
                <w:rFonts w:ascii="Calibri" w:eastAsia="Times New Roman" w:hAnsi="Calibri" w:cs="Calibri"/>
                <w:b/>
                <w:bCs/>
                <w:color w:val="000000"/>
                <w:sz w:val="24"/>
                <w:szCs w:val="24"/>
                <w:lang w:eastAsia="en-AU"/>
              </w:rPr>
              <w:t>Total</w:t>
            </w:r>
          </w:p>
        </w:tc>
        <w:tc>
          <w:tcPr>
            <w:tcW w:w="880" w:type="dxa"/>
            <w:tcBorders>
              <w:top w:val="single" w:sz="12" w:space="0" w:color="auto"/>
              <w:left w:val="nil"/>
              <w:bottom w:val="single" w:sz="12" w:space="0" w:color="auto"/>
              <w:right w:val="single" w:sz="4" w:space="0" w:color="auto"/>
            </w:tcBorders>
            <w:shd w:val="clear" w:color="auto" w:fill="auto"/>
          </w:tcPr>
          <w:p w14:paraId="330F2E00" w14:textId="77777777" w:rsidR="00364A55" w:rsidRPr="001A7A3A" w:rsidRDefault="00364A55" w:rsidP="00EC495D">
            <w:pPr>
              <w:jc w:val="center"/>
              <w:rPr>
                <w:rFonts w:ascii="Calibri" w:eastAsia="Times New Roman" w:hAnsi="Calibri" w:cs="Calibri"/>
                <w:sz w:val="28"/>
                <w:szCs w:val="28"/>
                <w:lang w:eastAsia="en-AU"/>
              </w:rPr>
            </w:pPr>
            <w:r w:rsidRPr="001A7A3A">
              <w:rPr>
                <w:b/>
                <w:bCs/>
                <w:sz w:val="28"/>
                <w:szCs w:val="28"/>
              </w:rPr>
              <w:t>454</w:t>
            </w:r>
          </w:p>
        </w:tc>
        <w:tc>
          <w:tcPr>
            <w:tcW w:w="1146" w:type="dxa"/>
            <w:tcBorders>
              <w:top w:val="single" w:sz="12" w:space="0" w:color="auto"/>
              <w:left w:val="nil"/>
              <w:bottom w:val="single" w:sz="12" w:space="0" w:color="auto"/>
              <w:right w:val="single" w:sz="4" w:space="0" w:color="auto"/>
            </w:tcBorders>
            <w:shd w:val="clear" w:color="auto" w:fill="auto"/>
          </w:tcPr>
          <w:p w14:paraId="6864807A" w14:textId="77777777" w:rsidR="00364A55" w:rsidRPr="001A7A3A" w:rsidRDefault="00364A55" w:rsidP="00EC495D">
            <w:pPr>
              <w:jc w:val="center"/>
              <w:rPr>
                <w:rFonts w:ascii="Calibri" w:eastAsia="Times New Roman" w:hAnsi="Calibri" w:cs="Calibri"/>
                <w:sz w:val="28"/>
                <w:szCs w:val="28"/>
                <w:lang w:eastAsia="en-AU"/>
              </w:rPr>
            </w:pPr>
            <w:r w:rsidRPr="001A7A3A">
              <w:rPr>
                <w:b/>
                <w:bCs/>
                <w:sz w:val="28"/>
                <w:szCs w:val="28"/>
              </w:rPr>
              <w:t>2028</w:t>
            </w:r>
          </w:p>
        </w:tc>
        <w:tc>
          <w:tcPr>
            <w:tcW w:w="1576" w:type="dxa"/>
            <w:tcBorders>
              <w:top w:val="single" w:sz="12" w:space="0" w:color="auto"/>
              <w:left w:val="nil"/>
              <w:bottom w:val="single" w:sz="12" w:space="0" w:color="auto"/>
              <w:right w:val="single" w:sz="12" w:space="0" w:color="auto"/>
            </w:tcBorders>
            <w:shd w:val="clear" w:color="auto" w:fill="auto"/>
          </w:tcPr>
          <w:p w14:paraId="72A1B749" w14:textId="77777777" w:rsidR="00364A55" w:rsidRPr="001A7A3A" w:rsidRDefault="00364A55" w:rsidP="00EC495D">
            <w:pPr>
              <w:jc w:val="center"/>
              <w:rPr>
                <w:rFonts w:ascii="Calibri" w:eastAsia="Times New Roman" w:hAnsi="Calibri" w:cs="Calibri"/>
                <w:sz w:val="28"/>
                <w:szCs w:val="28"/>
                <w:lang w:eastAsia="en-AU"/>
              </w:rPr>
            </w:pPr>
            <w:r w:rsidRPr="001A7A3A">
              <w:rPr>
                <w:b/>
                <w:bCs/>
                <w:sz w:val="28"/>
                <w:szCs w:val="28"/>
              </w:rPr>
              <w:t>22.4%</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bottom"/>
          </w:tcPr>
          <w:p w14:paraId="41016C19" w14:textId="77777777" w:rsidR="00364A55" w:rsidRPr="001A7A3A" w:rsidRDefault="00364A55" w:rsidP="00EC495D">
            <w:pPr>
              <w:jc w:val="center"/>
              <w:rPr>
                <w:rFonts w:ascii="Calibri" w:eastAsia="Times New Roman" w:hAnsi="Calibri" w:cs="Calibri"/>
                <w:b/>
                <w:bCs/>
                <w:sz w:val="28"/>
                <w:szCs w:val="28"/>
                <w:lang w:eastAsia="en-AU"/>
              </w:rPr>
            </w:pPr>
            <w:r w:rsidRPr="001A7A3A">
              <w:rPr>
                <w:rFonts w:ascii="Calibri" w:eastAsia="Times New Roman" w:hAnsi="Calibri" w:cs="Calibri"/>
                <w:b/>
                <w:bCs/>
                <w:sz w:val="28"/>
                <w:szCs w:val="28"/>
                <w:lang w:eastAsia="en-AU"/>
              </w:rPr>
              <w:t>227</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bottom"/>
          </w:tcPr>
          <w:p w14:paraId="6E9CC93B" w14:textId="77777777" w:rsidR="00364A55" w:rsidRPr="001A7A3A" w:rsidRDefault="00364A55" w:rsidP="00EC495D">
            <w:pPr>
              <w:jc w:val="center"/>
              <w:rPr>
                <w:rFonts w:ascii="Calibri" w:eastAsia="Times New Roman" w:hAnsi="Calibri" w:cs="Calibri"/>
                <w:b/>
                <w:bCs/>
                <w:sz w:val="28"/>
                <w:szCs w:val="28"/>
                <w:lang w:eastAsia="en-AU"/>
              </w:rPr>
            </w:pPr>
            <w:r>
              <w:rPr>
                <w:rFonts w:ascii="Calibri" w:eastAsia="Times New Roman" w:hAnsi="Calibri" w:cs="Calibri"/>
                <w:b/>
                <w:bCs/>
                <w:sz w:val="28"/>
                <w:szCs w:val="28"/>
                <w:lang w:eastAsia="en-AU"/>
              </w:rPr>
              <w:t>50%</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bottom"/>
          </w:tcPr>
          <w:p w14:paraId="0FE0C796" w14:textId="77777777" w:rsidR="00364A55" w:rsidRPr="001A7A3A" w:rsidRDefault="00364A55" w:rsidP="00EC495D">
            <w:pPr>
              <w:jc w:val="center"/>
              <w:rPr>
                <w:rFonts w:ascii="Calibri" w:eastAsia="Times New Roman" w:hAnsi="Calibri" w:cs="Calibri"/>
                <w:b/>
                <w:bCs/>
                <w:sz w:val="28"/>
                <w:szCs w:val="28"/>
                <w:lang w:eastAsia="en-AU"/>
              </w:rPr>
            </w:pPr>
            <w:r w:rsidRPr="001A7A3A">
              <w:rPr>
                <w:rFonts w:ascii="Calibri" w:eastAsia="Times New Roman" w:hAnsi="Calibri" w:cs="Calibri"/>
                <w:b/>
                <w:bCs/>
                <w:sz w:val="28"/>
                <w:szCs w:val="28"/>
                <w:lang w:eastAsia="en-AU"/>
              </w:rPr>
              <w:t>143</w:t>
            </w:r>
          </w:p>
        </w:tc>
        <w:tc>
          <w:tcPr>
            <w:tcW w:w="992" w:type="dxa"/>
            <w:tcBorders>
              <w:top w:val="single" w:sz="12" w:space="0" w:color="auto"/>
              <w:left w:val="single" w:sz="12" w:space="0" w:color="auto"/>
              <w:bottom w:val="single" w:sz="12" w:space="0" w:color="auto"/>
              <w:right w:val="single" w:sz="12" w:space="0" w:color="auto"/>
            </w:tcBorders>
            <w:shd w:val="clear" w:color="auto" w:fill="auto"/>
            <w:vAlign w:val="bottom"/>
          </w:tcPr>
          <w:p w14:paraId="3D556F61" w14:textId="77777777" w:rsidR="00364A55" w:rsidRPr="001A7A3A" w:rsidRDefault="00364A55" w:rsidP="00EC495D">
            <w:pPr>
              <w:jc w:val="center"/>
              <w:rPr>
                <w:rFonts w:ascii="Calibri" w:eastAsia="Times New Roman" w:hAnsi="Calibri" w:cs="Calibri"/>
                <w:b/>
                <w:bCs/>
                <w:sz w:val="28"/>
                <w:szCs w:val="28"/>
                <w:lang w:eastAsia="en-AU"/>
              </w:rPr>
            </w:pPr>
            <w:r>
              <w:rPr>
                <w:rFonts w:ascii="Calibri" w:eastAsia="Times New Roman" w:hAnsi="Calibri" w:cs="Calibri"/>
                <w:b/>
                <w:bCs/>
                <w:sz w:val="28"/>
                <w:szCs w:val="28"/>
                <w:lang w:eastAsia="en-AU"/>
              </w:rPr>
              <w:t>31%</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bottom"/>
          </w:tcPr>
          <w:p w14:paraId="119EA453" w14:textId="77777777" w:rsidR="00364A55" w:rsidRPr="001A7A3A" w:rsidRDefault="00364A55" w:rsidP="00EC495D">
            <w:pPr>
              <w:jc w:val="center"/>
              <w:rPr>
                <w:rFonts w:ascii="Calibri" w:eastAsia="Times New Roman" w:hAnsi="Calibri" w:cs="Calibri"/>
                <w:b/>
                <w:bCs/>
                <w:sz w:val="28"/>
                <w:szCs w:val="28"/>
                <w:lang w:eastAsia="en-AU"/>
              </w:rPr>
            </w:pPr>
            <w:r w:rsidRPr="001A7A3A">
              <w:rPr>
                <w:rFonts w:ascii="Calibri" w:eastAsia="Times New Roman" w:hAnsi="Calibri" w:cs="Calibri"/>
                <w:b/>
                <w:bCs/>
                <w:sz w:val="28"/>
                <w:szCs w:val="28"/>
                <w:lang w:eastAsia="en-AU"/>
              </w:rPr>
              <w:t>84</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bottom"/>
          </w:tcPr>
          <w:p w14:paraId="0E12AD97" w14:textId="77777777" w:rsidR="00364A55" w:rsidRPr="001A7A3A" w:rsidRDefault="00364A55" w:rsidP="00EC495D">
            <w:pPr>
              <w:jc w:val="center"/>
              <w:rPr>
                <w:rFonts w:ascii="Calibri" w:eastAsia="Times New Roman" w:hAnsi="Calibri" w:cs="Calibri"/>
                <w:b/>
                <w:bCs/>
                <w:sz w:val="28"/>
                <w:szCs w:val="28"/>
                <w:lang w:eastAsia="en-AU"/>
              </w:rPr>
            </w:pPr>
            <w:r>
              <w:rPr>
                <w:rFonts w:ascii="Calibri" w:eastAsia="Times New Roman" w:hAnsi="Calibri" w:cs="Calibri"/>
                <w:b/>
                <w:bCs/>
                <w:sz w:val="28"/>
                <w:szCs w:val="28"/>
                <w:lang w:eastAsia="en-AU"/>
              </w:rPr>
              <w:t>19%</w:t>
            </w:r>
          </w:p>
        </w:tc>
      </w:tr>
    </w:tbl>
    <w:p w14:paraId="215C29F0" w14:textId="6973075D" w:rsidR="006328A1" w:rsidRPr="006C7AC4" w:rsidRDefault="00F43313" w:rsidP="006328A1">
      <w:pPr>
        <w:rPr>
          <w:sz w:val="8"/>
          <w:szCs w:val="8"/>
          <w:lang w:val="en-US"/>
        </w:rPr>
      </w:pPr>
      <w:r w:rsidRPr="00D30730">
        <w:rPr>
          <w:b/>
          <w:bCs/>
          <w:noProof/>
          <w:sz w:val="24"/>
          <w:szCs w:val="24"/>
          <w:lang w:eastAsia="en-AU"/>
        </w:rPr>
        <mc:AlternateContent>
          <mc:Choice Requires="wps">
            <w:drawing>
              <wp:anchor distT="0" distB="0" distL="114300" distR="114300" simplePos="0" relativeHeight="251650560" behindDoc="0" locked="0" layoutInCell="1" allowOverlap="1" wp14:anchorId="4F7F4B86" wp14:editId="6181395B">
                <wp:simplePos x="0" y="0"/>
                <wp:positionH relativeFrom="column">
                  <wp:posOffset>6109590</wp:posOffset>
                </wp:positionH>
                <wp:positionV relativeFrom="paragraph">
                  <wp:posOffset>771847</wp:posOffset>
                </wp:positionV>
                <wp:extent cx="3144116" cy="5619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144116" cy="561975"/>
                        </a:xfrm>
                        <a:prstGeom prst="rect">
                          <a:avLst/>
                        </a:prstGeom>
                        <a:noFill/>
                        <a:ln w="6350">
                          <a:noFill/>
                        </a:ln>
                      </wps:spPr>
                      <wps:txbx>
                        <w:txbxContent>
                          <w:p w14:paraId="6DDBD9DE" w14:textId="77777777" w:rsidR="00762C79" w:rsidRPr="00EC495D" w:rsidRDefault="00762C79">
                            <w:pPr>
                              <w:rPr>
                                <w:b/>
                                <w:bCs/>
                                <w:sz w:val="28"/>
                                <w:szCs w:val="28"/>
                              </w:rPr>
                            </w:pPr>
                            <w:r w:rsidRPr="00EC495D">
                              <w:rPr>
                                <w:b/>
                                <w:bCs/>
                                <w:sz w:val="28"/>
                                <w:szCs w:val="28"/>
                              </w:rPr>
                              <w:t>Mobile Plant CAR</w:t>
                            </w:r>
                            <w:r>
                              <w:rPr>
                                <w:b/>
                                <w:bCs/>
                                <w:sz w:val="28"/>
                                <w:szCs w:val="28"/>
                              </w:rPr>
                              <w:t>s – Major v Minor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F4B86" id="Text Box 11" o:spid="_x0000_s1032" type="#_x0000_t202" style="position:absolute;margin-left:481.05pt;margin-top:60.8pt;width:247.55pt;height:4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" filled="f" stroked="f" strokeweight=".5pt">
                <v:textbox>
                  <w:txbxContent>
                    <w:p w14:paraId="6DDBD9DE" w14:textId="77777777" w:rsidR="00762C79" w:rsidRPr="00EC495D" w:rsidRDefault="00762C79">
                      <w:pPr>
                        <w:rPr>
                          <w:b/>
                          <w:bCs/>
                          <w:sz w:val="28"/>
                          <w:szCs w:val="28"/>
                        </w:rPr>
                      </w:pPr>
                      <w:r w:rsidRPr="00EC495D">
                        <w:rPr>
                          <w:b/>
                          <w:bCs/>
                          <w:sz w:val="28"/>
                          <w:szCs w:val="28"/>
                        </w:rPr>
                        <w:t>Mobile Plant CAR</w:t>
                      </w:r>
                      <w:r>
                        <w:rPr>
                          <w:b/>
                          <w:bCs/>
                          <w:sz w:val="28"/>
                          <w:szCs w:val="28"/>
                        </w:rPr>
                        <w:t>s – Major v Minor</w:t>
                      </w:r>
                    </w:p>
                  </w:txbxContent>
                </v:textbox>
              </v:shape>
            </w:pict>
          </mc:Fallback>
        </mc:AlternateContent>
      </w:r>
      <w:r w:rsidRPr="00D30730">
        <w:rPr>
          <w:noProof/>
          <w:sz w:val="20"/>
          <w:szCs w:val="20"/>
          <w:lang w:eastAsia="en-AU"/>
        </w:rPr>
        <w:drawing>
          <wp:anchor distT="0" distB="0" distL="114300" distR="114300" simplePos="0" relativeHeight="251649536" behindDoc="1" locked="0" layoutInCell="1" allowOverlap="1" wp14:anchorId="3582448E" wp14:editId="618CD606">
            <wp:simplePos x="0" y="0"/>
            <wp:positionH relativeFrom="column">
              <wp:posOffset>5361305</wp:posOffset>
            </wp:positionH>
            <wp:positionV relativeFrom="paragraph">
              <wp:posOffset>843667</wp:posOffset>
            </wp:positionV>
            <wp:extent cx="4593895" cy="2755075"/>
            <wp:effectExtent l="0" t="0" r="0" b="7620"/>
            <wp:wrapNone/>
            <wp:docPr id="10" name="Chart 10">
              <a:extLst xmlns:a="http://schemas.openxmlformats.org/drawingml/2006/main">
                <a:ext uri="{FF2B5EF4-FFF2-40B4-BE49-F238E27FC236}">
                  <a16:creationId xmlns:a16="http://schemas.microsoft.com/office/drawing/2014/main" id="{20A96272-E3FA-4CED-90E7-2C4D01B7C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EC495D">
        <w:rPr>
          <w:lang w:val="en-US"/>
        </w:rPr>
        <w:br w:type="textWrapping" w:clear="all"/>
      </w:r>
    </w:p>
    <w:p w14:paraId="67C19EA6" w14:textId="0C29B935" w:rsidR="00EC495D" w:rsidRPr="009B12B2" w:rsidRDefault="00EC495D" w:rsidP="009A4815">
      <w:pPr>
        <w:pStyle w:val="Heading1"/>
        <w:spacing w:after="0"/>
      </w:pPr>
      <w:bookmarkStart w:id="21" w:name="_Toc81917106"/>
      <w:bookmarkStart w:id="22" w:name="_Toc81917924"/>
      <w:r w:rsidRPr="009B12B2">
        <w:t xml:space="preserve">Mobile Plant – Sub-criteria </w:t>
      </w:r>
      <w:r w:rsidR="00AF69D4">
        <w:t xml:space="preserve">CAR </w:t>
      </w:r>
      <w:r w:rsidRPr="009B12B2">
        <w:t>Issue Rates</w:t>
      </w:r>
      <w:bookmarkEnd w:id="21"/>
      <w:bookmarkEnd w:id="22"/>
    </w:p>
    <w:p w14:paraId="09F02491" w14:textId="7A6710DF" w:rsidR="00EC495D" w:rsidRPr="00D30730" w:rsidRDefault="00177586" w:rsidP="00EC495D">
      <w:pPr>
        <w:pStyle w:val="ListParagraph"/>
        <w:numPr>
          <w:ilvl w:val="0"/>
          <w:numId w:val="2"/>
        </w:numPr>
        <w:rPr>
          <w:color w:val="000000" w:themeColor="text1"/>
          <w:sz w:val="24"/>
          <w:szCs w:val="24"/>
          <w:lang w:val="en-US"/>
        </w:rPr>
      </w:pPr>
      <w:r>
        <w:rPr>
          <w:color w:val="000000" w:themeColor="text1"/>
          <w:sz w:val="24"/>
          <w:szCs w:val="24"/>
          <w:lang w:val="en-US"/>
        </w:rPr>
        <w:t xml:space="preserve">CARs were most commonly issued against </w:t>
      </w:r>
      <w:r w:rsidR="00EC495D" w:rsidRPr="00D30730">
        <w:rPr>
          <w:b/>
          <w:bCs/>
          <w:color w:val="000000" w:themeColor="text1"/>
          <w:sz w:val="24"/>
          <w:szCs w:val="24"/>
          <w:lang w:val="en-US"/>
        </w:rPr>
        <w:t>H16.3</w:t>
      </w:r>
      <w:r w:rsidR="00EC495D" w:rsidRPr="00D30730">
        <w:rPr>
          <w:color w:val="000000" w:themeColor="text1"/>
          <w:sz w:val="24"/>
          <w:szCs w:val="24"/>
          <w:lang w:val="en-US"/>
        </w:rPr>
        <w:t xml:space="preserve"> which </w:t>
      </w:r>
      <w:r w:rsidR="000605F1">
        <w:rPr>
          <w:color w:val="000000" w:themeColor="text1"/>
          <w:sz w:val="24"/>
          <w:szCs w:val="24"/>
          <w:lang w:val="en-US"/>
        </w:rPr>
        <w:t xml:space="preserve">requires companies to </w:t>
      </w:r>
      <w:r w:rsidR="00EC495D" w:rsidRPr="00D30730">
        <w:rPr>
          <w:color w:val="000000" w:themeColor="text1"/>
          <w:sz w:val="24"/>
          <w:szCs w:val="24"/>
          <w:lang w:val="en-US"/>
        </w:rPr>
        <w:t>ensure safe systems of work are established for the operation of mobile plant. CAR</w:t>
      </w:r>
      <w:r>
        <w:rPr>
          <w:color w:val="000000" w:themeColor="text1"/>
          <w:sz w:val="24"/>
          <w:szCs w:val="24"/>
          <w:lang w:val="en-US"/>
        </w:rPr>
        <w:t>s</w:t>
      </w:r>
      <w:r w:rsidR="00EC495D" w:rsidRPr="00D30730">
        <w:rPr>
          <w:color w:val="000000" w:themeColor="text1"/>
          <w:sz w:val="24"/>
          <w:szCs w:val="24"/>
          <w:lang w:val="en-US"/>
        </w:rPr>
        <w:t xml:space="preserve"> </w:t>
      </w:r>
      <w:r>
        <w:rPr>
          <w:color w:val="000000" w:themeColor="text1"/>
          <w:sz w:val="24"/>
          <w:szCs w:val="24"/>
          <w:lang w:val="en-US"/>
        </w:rPr>
        <w:t xml:space="preserve">were </w:t>
      </w:r>
      <w:r w:rsidR="00EC495D" w:rsidRPr="00D30730">
        <w:rPr>
          <w:color w:val="000000" w:themeColor="text1"/>
          <w:sz w:val="24"/>
          <w:szCs w:val="24"/>
          <w:lang w:val="en-US"/>
        </w:rPr>
        <w:t xml:space="preserve">issued </w:t>
      </w:r>
      <w:r w:rsidR="00EC495D" w:rsidRPr="00D30730">
        <w:rPr>
          <w:b/>
          <w:bCs/>
          <w:color w:val="000000" w:themeColor="text1"/>
          <w:sz w:val="24"/>
          <w:szCs w:val="24"/>
          <w:lang w:val="en-US"/>
        </w:rPr>
        <w:t>65</w:t>
      </w:r>
      <w:r w:rsidR="00EC495D" w:rsidRPr="00D30730">
        <w:rPr>
          <w:color w:val="000000" w:themeColor="text1"/>
          <w:sz w:val="24"/>
          <w:szCs w:val="24"/>
          <w:lang w:val="en-US"/>
        </w:rPr>
        <w:t xml:space="preserve"> times out of </w:t>
      </w:r>
      <w:r w:rsidR="00EC495D" w:rsidRPr="00D30730">
        <w:rPr>
          <w:b/>
          <w:bCs/>
          <w:color w:val="000000" w:themeColor="text1"/>
          <w:sz w:val="24"/>
          <w:szCs w:val="24"/>
          <w:lang w:val="en-US"/>
        </w:rPr>
        <w:t>169</w:t>
      </w:r>
      <w:r w:rsidR="00EC495D" w:rsidRPr="00D30730">
        <w:rPr>
          <w:color w:val="000000" w:themeColor="text1"/>
          <w:sz w:val="24"/>
          <w:szCs w:val="24"/>
          <w:lang w:val="en-US"/>
        </w:rPr>
        <w:t xml:space="preserve"> audits</w:t>
      </w:r>
      <w:r w:rsidR="0084747E">
        <w:rPr>
          <w:color w:val="000000" w:themeColor="text1"/>
          <w:sz w:val="24"/>
          <w:szCs w:val="24"/>
          <w:lang w:val="en-US"/>
        </w:rPr>
        <w:t xml:space="preserve"> where it was reviewed</w:t>
      </w:r>
      <w:r w:rsidR="00EC495D" w:rsidRPr="00D30730">
        <w:rPr>
          <w:color w:val="000000" w:themeColor="text1"/>
          <w:sz w:val="24"/>
          <w:szCs w:val="24"/>
          <w:lang w:val="en-US"/>
        </w:rPr>
        <w:t>.</w:t>
      </w:r>
    </w:p>
    <w:p w14:paraId="5CB7957B" w14:textId="77777777" w:rsidR="00EC495D" w:rsidRPr="00D30730" w:rsidRDefault="00EC495D" w:rsidP="00EC495D">
      <w:pPr>
        <w:pStyle w:val="ListParagraph"/>
        <w:numPr>
          <w:ilvl w:val="0"/>
          <w:numId w:val="2"/>
        </w:numPr>
        <w:rPr>
          <w:color w:val="000000" w:themeColor="text1"/>
          <w:sz w:val="24"/>
          <w:szCs w:val="24"/>
          <w:lang w:val="en-US"/>
        </w:rPr>
      </w:pPr>
      <w:r w:rsidRPr="00D30730">
        <w:rPr>
          <w:color w:val="000000" w:themeColor="text1"/>
          <w:sz w:val="24"/>
          <w:szCs w:val="24"/>
          <w:lang w:val="en-US"/>
        </w:rPr>
        <w:t xml:space="preserve">The other </w:t>
      </w:r>
      <w:r w:rsidR="00B36F88">
        <w:rPr>
          <w:color w:val="000000" w:themeColor="text1"/>
          <w:sz w:val="24"/>
          <w:szCs w:val="24"/>
          <w:lang w:val="en-US"/>
        </w:rPr>
        <w:t xml:space="preserve">sub-criteria in relation to which </w:t>
      </w:r>
      <w:r w:rsidRPr="00D30730">
        <w:rPr>
          <w:color w:val="000000" w:themeColor="text1"/>
          <w:sz w:val="24"/>
          <w:szCs w:val="24"/>
          <w:lang w:val="en-US"/>
        </w:rPr>
        <w:t xml:space="preserve">CARs </w:t>
      </w:r>
      <w:r w:rsidR="00B36F88">
        <w:rPr>
          <w:color w:val="000000" w:themeColor="text1"/>
          <w:sz w:val="24"/>
          <w:szCs w:val="24"/>
          <w:lang w:val="en-US"/>
        </w:rPr>
        <w:t xml:space="preserve">have been </w:t>
      </w:r>
      <w:r w:rsidRPr="00D30730">
        <w:rPr>
          <w:color w:val="000000" w:themeColor="text1"/>
          <w:sz w:val="24"/>
          <w:szCs w:val="24"/>
          <w:lang w:val="en-US"/>
        </w:rPr>
        <w:t xml:space="preserve">issued at a rate </w:t>
      </w:r>
      <w:r w:rsidR="000605F1">
        <w:rPr>
          <w:color w:val="000000" w:themeColor="text1"/>
          <w:sz w:val="24"/>
          <w:szCs w:val="24"/>
          <w:lang w:val="en-US"/>
        </w:rPr>
        <w:t>greater than</w:t>
      </w:r>
      <w:r w:rsidR="000605F1" w:rsidRPr="00D30730">
        <w:rPr>
          <w:color w:val="000000" w:themeColor="text1"/>
          <w:sz w:val="24"/>
          <w:szCs w:val="24"/>
          <w:lang w:val="en-US"/>
        </w:rPr>
        <w:t xml:space="preserve"> </w:t>
      </w:r>
      <w:r w:rsidRPr="00D30730">
        <w:rPr>
          <w:color w:val="000000" w:themeColor="text1"/>
          <w:sz w:val="24"/>
          <w:szCs w:val="24"/>
          <w:lang w:val="en-US"/>
        </w:rPr>
        <w:t xml:space="preserve">25 per cent are </w:t>
      </w:r>
      <w:r w:rsidRPr="00D30730">
        <w:rPr>
          <w:b/>
          <w:bCs/>
          <w:color w:val="000000" w:themeColor="text1"/>
          <w:sz w:val="24"/>
          <w:szCs w:val="24"/>
          <w:lang w:val="en-US"/>
        </w:rPr>
        <w:t>H16.5</w:t>
      </w:r>
      <w:r w:rsidRPr="00D30730">
        <w:rPr>
          <w:color w:val="000000" w:themeColor="text1"/>
          <w:sz w:val="24"/>
          <w:szCs w:val="24"/>
          <w:lang w:val="en-US"/>
        </w:rPr>
        <w:t xml:space="preserve">, </w:t>
      </w:r>
      <w:r w:rsidRPr="00D30730">
        <w:rPr>
          <w:b/>
          <w:bCs/>
          <w:color w:val="000000" w:themeColor="text1"/>
          <w:sz w:val="24"/>
          <w:szCs w:val="24"/>
          <w:lang w:val="en-US"/>
        </w:rPr>
        <w:t>H16.9</w:t>
      </w:r>
      <w:r w:rsidRPr="00D30730">
        <w:rPr>
          <w:color w:val="000000" w:themeColor="text1"/>
          <w:sz w:val="24"/>
          <w:szCs w:val="24"/>
          <w:lang w:val="en-US"/>
        </w:rPr>
        <w:t>,</w:t>
      </w:r>
      <w:r w:rsidRPr="00D30730">
        <w:rPr>
          <w:b/>
          <w:bCs/>
          <w:color w:val="000000" w:themeColor="text1"/>
          <w:sz w:val="24"/>
          <w:szCs w:val="24"/>
          <w:lang w:val="en-US"/>
        </w:rPr>
        <w:t xml:space="preserve"> H16.10 </w:t>
      </w:r>
      <w:r w:rsidRPr="00D30730">
        <w:rPr>
          <w:color w:val="000000" w:themeColor="text1"/>
          <w:sz w:val="24"/>
          <w:szCs w:val="24"/>
          <w:lang w:val="en-US"/>
        </w:rPr>
        <w:t>and</w:t>
      </w:r>
      <w:r w:rsidRPr="00D30730">
        <w:rPr>
          <w:b/>
          <w:bCs/>
          <w:color w:val="000000" w:themeColor="text1"/>
          <w:sz w:val="24"/>
          <w:szCs w:val="24"/>
          <w:lang w:val="en-US"/>
        </w:rPr>
        <w:t xml:space="preserve"> H16.6</w:t>
      </w:r>
      <w:r w:rsidRPr="00D30730">
        <w:rPr>
          <w:color w:val="000000" w:themeColor="text1"/>
          <w:sz w:val="24"/>
          <w:szCs w:val="24"/>
          <w:lang w:val="en-US"/>
        </w:rPr>
        <w:t>.</w:t>
      </w:r>
    </w:p>
    <w:p w14:paraId="09EE827A" w14:textId="77777777" w:rsidR="00EC495D" w:rsidRDefault="00EC495D" w:rsidP="00EC495D">
      <w:pPr>
        <w:pStyle w:val="ListParagraph"/>
        <w:numPr>
          <w:ilvl w:val="0"/>
          <w:numId w:val="2"/>
        </w:numPr>
        <w:rPr>
          <w:color w:val="000000" w:themeColor="text1"/>
          <w:sz w:val="24"/>
          <w:szCs w:val="24"/>
          <w:lang w:val="en-US"/>
        </w:rPr>
      </w:pPr>
      <w:r w:rsidRPr="00D30730">
        <w:rPr>
          <w:color w:val="000000" w:themeColor="text1"/>
          <w:sz w:val="24"/>
          <w:szCs w:val="24"/>
          <w:lang w:val="en-US"/>
        </w:rPr>
        <w:t>In March</w:t>
      </w:r>
      <w:r w:rsidR="000605F1">
        <w:rPr>
          <w:color w:val="000000" w:themeColor="text1"/>
          <w:sz w:val="24"/>
          <w:szCs w:val="24"/>
          <w:lang w:val="en-US"/>
        </w:rPr>
        <w:t xml:space="preserve"> 2021</w:t>
      </w:r>
      <w:r w:rsidRPr="00D30730">
        <w:rPr>
          <w:color w:val="000000" w:themeColor="text1"/>
          <w:sz w:val="24"/>
          <w:szCs w:val="24"/>
          <w:lang w:val="en-US"/>
        </w:rPr>
        <w:t xml:space="preserve">, </w:t>
      </w:r>
      <w:r w:rsidR="000605F1">
        <w:rPr>
          <w:color w:val="000000" w:themeColor="text1"/>
          <w:sz w:val="24"/>
          <w:szCs w:val="24"/>
          <w:lang w:val="en-US"/>
        </w:rPr>
        <w:t xml:space="preserve">the CAR issue rate for </w:t>
      </w:r>
      <w:r w:rsidRPr="00D30730">
        <w:rPr>
          <w:b/>
          <w:bCs/>
          <w:color w:val="000000" w:themeColor="text1"/>
          <w:sz w:val="24"/>
          <w:szCs w:val="24"/>
          <w:lang w:val="en-US"/>
        </w:rPr>
        <w:t>H16.5</w:t>
      </w:r>
      <w:r w:rsidRPr="00D30730">
        <w:rPr>
          <w:color w:val="000000" w:themeColor="text1"/>
          <w:sz w:val="24"/>
          <w:szCs w:val="24"/>
          <w:lang w:val="en-US"/>
        </w:rPr>
        <w:t xml:space="preserve"> was up to </w:t>
      </w:r>
      <w:r w:rsidRPr="00D30730">
        <w:rPr>
          <w:b/>
          <w:bCs/>
          <w:color w:val="000000" w:themeColor="text1"/>
          <w:sz w:val="24"/>
          <w:szCs w:val="24"/>
          <w:lang w:val="en-US"/>
        </w:rPr>
        <w:t>42 per cent</w:t>
      </w:r>
      <w:r w:rsidR="00BB03B5">
        <w:rPr>
          <w:color w:val="000000" w:themeColor="text1"/>
          <w:sz w:val="24"/>
          <w:szCs w:val="24"/>
          <w:lang w:val="en-US"/>
        </w:rPr>
        <w:t xml:space="preserve"> of all times reviewed.</w:t>
      </w:r>
      <w:r w:rsidRPr="00D30730">
        <w:rPr>
          <w:color w:val="000000" w:themeColor="text1"/>
          <w:sz w:val="24"/>
          <w:szCs w:val="24"/>
          <w:lang w:val="en-US"/>
        </w:rPr>
        <w:t xml:space="preserve"> </w:t>
      </w:r>
      <w:r w:rsidR="00BB03B5">
        <w:rPr>
          <w:color w:val="000000" w:themeColor="text1"/>
          <w:sz w:val="24"/>
          <w:szCs w:val="24"/>
          <w:lang w:val="en-US"/>
        </w:rPr>
        <w:t>I</w:t>
      </w:r>
      <w:r w:rsidR="000605F1">
        <w:rPr>
          <w:color w:val="000000" w:themeColor="text1"/>
          <w:sz w:val="24"/>
          <w:szCs w:val="24"/>
          <w:lang w:val="en-US"/>
        </w:rPr>
        <w:t xml:space="preserve">mprovements through to the end of May 2021 saw the issue rate at the end of that month reduce </w:t>
      </w:r>
      <w:r w:rsidRPr="00D30730">
        <w:rPr>
          <w:color w:val="000000" w:themeColor="text1"/>
          <w:sz w:val="24"/>
          <w:szCs w:val="24"/>
          <w:lang w:val="en-US"/>
        </w:rPr>
        <w:t xml:space="preserve">to </w:t>
      </w:r>
      <w:r w:rsidRPr="00D30730">
        <w:rPr>
          <w:b/>
          <w:bCs/>
          <w:color w:val="000000" w:themeColor="text1"/>
          <w:sz w:val="24"/>
          <w:szCs w:val="24"/>
          <w:lang w:val="en-US"/>
        </w:rPr>
        <w:t>34.9 per cent</w:t>
      </w:r>
      <w:r w:rsidRPr="00D30730">
        <w:rPr>
          <w:color w:val="000000" w:themeColor="text1"/>
          <w:sz w:val="24"/>
          <w:szCs w:val="24"/>
          <w:lang w:val="en-US"/>
        </w:rPr>
        <w:t xml:space="preserve">, which is </w:t>
      </w:r>
      <w:r w:rsidRPr="00D30730">
        <w:rPr>
          <w:b/>
          <w:bCs/>
          <w:color w:val="000000" w:themeColor="text1"/>
          <w:sz w:val="24"/>
          <w:szCs w:val="24"/>
          <w:lang w:val="en-US"/>
        </w:rPr>
        <w:t>0.7 per cent</w:t>
      </w:r>
      <w:r w:rsidRPr="00D30730">
        <w:rPr>
          <w:color w:val="000000" w:themeColor="text1"/>
          <w:sz w:val="24"/>
          <w:szCs w:val="24"/>
          <w:lang w:val="en-US"/>
        </w:rPr>
        <w:t xml:space="preserve"> higher than the previous three-year average.</w:t>
      </w:r>
    </w:p>
    <w:p w14:paraId="1E10404A" w14:textId="77777777" w:rsidR="00167554" w:rsidRPr="00D30730" w:rsidRDefault="008D7B8C" w:rsidP="00EC495D">
      <w:pPr>
        <w:pStyle w:val="ListParagraph"/>
        <w:numPr>
          <w:ilvl w:val="0"/>
          <w:numId w:val="2"/>
        </w:numPr>
        <w:rPr>
          <w:color w:val="000000" w:themeColor="text1"/>
          <w:sz w:val="24"/>
          <w:szCs w:val="24"/>
          <w:lang w:val="en-US"/>
        </w:rPr>
      </w:pPr>
      <w:r w:rsidRPr="00BB03B5">
        <w:rPr>
          <w:b/>
          <w:bCs/>
          <w:color w:val="000000" w:themeColor="text1"/>
          <w:sz w:val="24"/>
          <w:szCs w:val="24"/>
          <w:lang w:val="en-US"/>
        </w:rPr>
        <w:t>Sixty-five per cent</w:t>
      </w:r>
      <w:r w:rsidR="00167554">
        <w:rPr>
          <w:color w:val="000000" w:themeColor="text1"/>
          <w:sz w:val="24"/>
          <w:szCs w:val="24"/>
          <w:lang w:val="en-US"/>
        </w:rPr>
        <w:t xml:space="preserve"> of mobile plant CARs issued were classed as Minor non-conformances.</w:t>
      </w:r>
    </w:p>
    <w:p w14:paraId="707F12AC" w14:textId="77777777" w:rsidR="004A3FE0" w:rsidRPr="000B61C5" w:rsidRDefault="004A3FE0" w:rsidP="00D30730">
      <w:pPr>
        <w:pStyle w:val="Heading1"/>
        <w:spacing w:after="120"/>
        <w:rPr>
          <w:color w:val="000000" w:themeColor="text1"/>
        </w:rPr>
      </w:pPr>
      <w:bookmarkStart w:id="23" w:name="_Toc81917925"/>
      <w:bookmarkStart w:id="24" w:name="_Hlk76562885"/>
      <w:r w:rsidRPr="00383F67">
        <w:lastRenderedPageBreak/>
        <w:t>Mobile</w:t>
      </w:r>
      <w:r w:rsidRPr="009B7C34">
        <w:t xml:space="preserve"> Plant</w:t>
      </w:r>
      <w:r>
        <w:t xml:space="preserve"> – </w:t>
      </w:r>
      <w:r w:rsidR="00287BD7">
        <w:t>Sub-C</w:t>
      </w:r>
      <w:r w:rsidR="00967850">
        <w:t xml:space="preserve">riteria </w:t>
      </w:r>
      <w:r w:rsidR="00287BD7">
        <w:t>CAR A</w:t>
      </w:r>
      <w:r>
        <w:t>nalys</w:t>
      </w:r>
      <w:r w:rsidR="00287BD7">
        <w:t>is</w:t>
      </w:r>
      <w:r w:rsidR="000605F1">
        <w:t xml:space="preserve"> and</w:t>
      </w:r>
      <w:r w:rsidR="00287BD7">
        <w:t xml:space="preserve"> T</w:t>
      </w:r>
      <w:r>
        <w:t>rends</w:t>
      </w:r>
      <w:bookmarkEnd w:id="23"/>
    </w:p>
    <w:p w14:paraId="55FC4EBD" w14:textId="4BB6B626" w:rsidR="00550D82" w:rsidRPr="00D30730" w:rsidRDefault="003230B8" w:rsidP="00B95BB2">
      <w:pPr>
        <w:rPr>
          <w:sz w:val="24"/>
          <w:szCs w:val="24"/>
        </w:rPr>
      </w:pPr>
      <w:r w:rsidRPr="00D30730">
        <w:rPr>
          <w:color w:val="000000" w:themeColor="text1"/>
          <w:sz w:val="24"/>
          <w:szCs w:val="24"/>
          <w:lang w:val="en-US"/>
        </w:rPr>
        <w:t xml:space="preserve">An analysis of the five </w:t>
      </w:r>
      <w:r w:rsidR="00177586">
        <w:rPr>
          <w:color w:val="000000" w:themeColor="text1"/>
          <w:sz w:val="24"/>
          <w:szCs w:val="24"/>
          <w:lang w:val="en-US"/>
        </w:rPr>
        <w:t xml:space="preserve">most frequently failed </w:t>
      </w:r>
      <w:r w:rsidRPr="00D30730">
        <w:rPr>
          <w:color w:val="000000" w:themeColor="text1"/>
          <w:sz w:val="24"/>
          <w:szCs w:val="24"/>
          <w:lang w:val="en-US"/>
        </w:rPr>
        <w:t xml:space="preserve">mobile plant sub-criteria </w:t>
      </w:r>
      <w:r w:rsidR="006B3545">
        <w:rPr>
          <w:color w:val="000000" w:themeColor="text1"/>
          <w:sz w:val="24"/>
          <w:szCs w:val="24"/>
          <w:lang w:val="en-US"/>
        </w:rPr>
        <w:t>shows that the reason</w:t>
      </w:r>
      <w:r w:rsidR="004631B0">
        <w:rPr>
          <w:color w:val="000000" w:themeColor="text1"/>
          <w:sz w:val="24"/>
          <w:szCs w:val="24"/>
          <w:lang w:val="en-US"/>
        </w:rPr>
        <w:t>s</w:t>
      </w:r>
      <w:r w:rsidR="006B3545">
        <w:rPr>
          <w:color w:val="000000" w:themeColor="text1"/>
          <w:sz w:val="24"/>
          <w:szCs w:val="24"/>
          <w:lang w:val="en-US"/>
        </w:rPr>
        <w:t xml:space="preserve"> for CARs being issued are evenly split between deficient WHS system documentation and a failure to implement the compliant systems on-site</w:t>
      </w:r>
      <w:r w:rsidR="00AB1768" w:rsidRPr="00D30730">
        <w:rPr>
          <w:color w:val="000000" w:themeColor="text1"/>
          <w:sz w:val="24"/>
          <w:szCs w:val="24"/>
          <w:lang w:val="en-US"/>
        </w:rPr>
        <w:t>.</w:t>
      </w:r>
    </w:p>
    <w:p w14:paraId="4B65850C" w14:textId="77777777" w:rsidR="00AB1768" w:rsidRPr="00D30730" w:rsidRDefault="00A15448" w:rsidP="003230B8">
      <w:pPr>
        <w:pStyle w:val="ListParagraph"/>
        <w:numPr>
          <w:ilvl w:val="0"/>
          <w:numId w:val="9"/>
        </w:numPr>
        <w:rPr>
          <w:sz w:val="24"/>
          <w:szCs w:val="24"/>
        </w:rPr>
      </w:pPr>
      <w:r w:rsidRPr="003C2297">
        <w:rPr>
          <w:b/>
          <w:sz w:val="24"/>
          <w:szCs w:val="24"/>
        </w:rPr>
        <w:t>H16.3</w:t>
      </w:r>
      <w:r>
        <w:rPr>
          <w:sz w:val="24"/>
          <w:szCs w:val="24"/>
        </w:rPr>
        <w:t xml:space="preserve"> </w:t>
      </w:r>
      <w:r w:rsidR="009D206C">
        <w:rPr>
          <w:sz w:val="24"/>
          <w:szCs w:val="24"/>
        </w:rPr>
        <w:t xml:space="preserve">– CARs are most frequently issued for non-compliance with this </w:t>
      </w:r>
      <w:r w:rsidR="009A4829">
        <w:rPr>
          <w:sz w:val="24"/>
          <w:szCs w:val="24"/>
        </w:rPr>
        <w:t>sub-</w:t>
      </w:r>
      <w:r w:rsidR="009D206C">
        <w:rPr>
          <w:sz w:val="24"/>
          <w:szCs w:val="24"/>
        </w:rPr>
        <w:t xml:space="preserve">criterion </w:t>
      </w:r>
      <w:r w:rsidR="004631B0">
        <w:rPr>
          <w:sz w:val="24"/>
          <w:szCs w:val="24"/>
        </w:rPr>
        <w:t xml:space="preserve">due to a </w:t>
      </w:r>
      <w:r>
        <w:rPr>
          <w:sz w:val="24"/>
          <w:szCs w:val="24"/>
        </w:rPr>
        <w:t xml:space="preserve">failure to develop or implement </w:t>
      </w:r>
      <w:r w:rsidR="009D206C">
        <w:rPr>
          <w:sz w:val="24"/>
          <w:szCs w:val="24"/>
        </w:rPr>
        <w:t xml:space="preserve">safe </w:t>
      </w:r>
      <w:r>
        <w:rPr>
          <w:sz w:val="24"/>
          <w:szCs w:val="24"/>
        </w:rPr>
        <w:t xml:space="preserve">systems </w:t>
      </w:r>
      <w:r w:rsidR="009D206C">
        <w:rPr>
          <w:sz w:val="24"/>
          <w:szCs w:val="24"/>
        </w:rPr>
        <w:t xml:space="preserve">of work for mobile plant </w:t>
      </w:r>
      <w:r>
        <w:rPr>
          <w:sz w:val="24"/>
          <w:szCs w:val="24"/>
        </w:rPr>
        <w:t xml:space="preserve">which take account of site-specific risks. Companies are too often relying on generic systems which are </w:t>
      </w:r>
      <w:r w:rsidR="004631B0">
        <w:rPr>
          <w:sz w:val="24"/>
          <w:szCs w:val="24"/>
        </w:rPr>
        <w:t xml:space="preserve">applied </w:t>
      </w:r>
      <w:r>
        <w:rPr>
          <w:sz w:val="24"/>
          <w:szCs w:val="24"/>
        </w:rPr>
        <w:t xml:space="preserve">from site to site without regard to the </w:t>
      </w:r>
      <w:r w:rsidR="009D206C">
        <w:rPr>
          <w:sz w:val="24"/>
          <w:szCs w:val="24"/>
        </w:rPr>
        <w:t xml:space="preserve">actual </w:t>
      </w:r>
      <w:r>
        <w:rPr>
          <w:sz w:val="24"/>
          <w:szCs w:val="24"/>
        </w:rPr>
        <w:t xml:space="preserve">hazards </w:t>
      </w:r>
      <w:r w:rsidR="009D206C">
        <w:rPr>
          <w:sz w:val="24"/>
          <w:szCs w:val="24"/>
        </w:rPr>
        <w:t>present</w:t>
      </w:r>
      <w:r>
        <w:rPr>
          <w:sz w:val="24"/>
          <w:szCs w:val="24"/>
        </w:rPr>
        <w:t xml:space="preserve"> where the plant is being used.</w:t>
      </w:r>
    </w:p>
    <w:p w14:paraId="10ADF5C7" w14:textId="2AE64C40" w:rsidR="00593235" w:rsidRPr="00762C79" w:rsidRDefault="00593235" w:rsidP="00737D38">
      <w:pPr>
        <w:pStyle w:val="ListParagraph"/>
        <w:numPr>
          <w:ilvl w:val="0"/>
          <w:numId w:val="9"/>
        </w:numPr>
        <w:rPr>
          <w:b/>
          <w:bCs/>
          <w:sz w:val="24"/>
          <w:szCs w:val="24"/>
          <w:lang w:val="en-US"/>
        </w:rPr>
      </w:pPr>
      <w:r w:rsidRPr="00762C79">
        <w:rPr>
          <w:b/>
          <w:sz w:val="24"/>
          <w:szCs w:val="24"/>
        </w:rPr>
        <w:t>H16.5</w:t>
      </w:r>
      <w:r w:rsidR="0005587D" w:rsidRPr="00762C79">
        <w:rPr>
          <w:b/>
          <w:sz w:val="24"/>
          <w:szCs w:val="24"/>
        </w:rPr>
        <w:t xml:space="preserve"> – </w:t>
      </w:r>
      <w:r w:rsidR="0005587D" w:rsidRPr="00762C79">
        <w:rPr>
          <w:sz w:val="24"/>
          <w:szCs w:val="24"/>
        </w:rPr>
        <w:t xml:space="preserve">CARs are most frequently </w:t>
      </w:r>
      <w:r w:rsidR="00F13756" w:rsidRPr="00762C79">
        <w:rPr>
          <w:sz w:val="24"/>
          <w:szCs w:val="24"/>
        </w:rPr>
        <w:t>issued</w:t>
      </w:r>
      <w:r w:rsidR="0005587D" w:rsidRPr="00762C79">
        <w:rPr>
          <w:sz w:val="24"/>
          <w:szCs w:val="24"/>
        </w:rPr>
        <w:t xml:space="preserve"> for </w:t>
      </w:r>
      <w:r w:rsidRPr="00762C79">
        <w:rPr>
          <w:sz w:val="24"/>
          <w:szCs w:val="24"/>
        </w:rPr>
        <w:t xml:space="preserve">failing to develop </w:t>
      </w:r>
      <w:r w:rsidR="00762C79">
        <w:rPr>
          <w:sz w:val="24"/>
          <w:szCs w:val="24"/>
        </w:rPr>
        <w:t>safe systems of work that take into account the relevant legislation, codes and standards</w:t>
      </w:r>
      <w:r w:rsidRPr="00762C79">
        <w:rPr>
          <w:sz w:val="24"/>
          <w:szCs w:val="24"/>
        </w:rPr>
        <w:t>.</w:t>
      </w:r>
    </w:p>
    <w:p w14:paraId="7CBA93A7" w14:textId="77777777" w:rsidR="00F523C1" w:rsidRPr="00D30730" w:rsidRDefault="00593235" w:rsidP="00737D38">
      <w:pPr>
        <w:pStyle w:val="ListParagraph"/>
        <w:numPr>
          <w:ilvl w:val="0"/>
          <w:numId w:val="9"/>
        </w:numPr>
        <w:rPr>
          <w:b/>
          <w:bCs/>
          <w:sz w:val="24"/>
          <w:szCs w:val="24"/>
          <w:lang w:val="en-US"/>
        </w:rPr>
      </w:pPr>
      <w:r w:rsidRPr="00D30730">
        <w:rPr>
          <w:b/>
          <w:sz w:val="24"/>
          <w:szCs w:val="24"/>
        </w:rPr>
        <w:t>H16.</w:t>
      </w:r>
      <w:r w:rsidR="006F1B21" w:rsidRPr="00D30730">
        <w:rPr>
          <w:b/>
          <w:sz w:val="24"/>
          <w:szCs w:val="24"/>
        </w:rPr>
        <w:t>9</w:t>
      </w:r>
      <w:r w:rsidRPr="00D30730">
        <w:rPr>
          <w:sz w:val="24"/>
          <w:szCs w:val="24"/>
        </w:rPr>
        <w:t xml:space="preserve"> which addresses inspections for mobile plant, shows that companies are not including sufficient processes for regulatory inspections and registrations of </w:t>
      </w:r>
      <w:r w:rsidR="00216158">
        <w:rPr>
          <w:sz w:val="24"/>
          <w:szCs w:val="24"/>
        </w:rPr>
        <w:t>third-party</w:t>
      </w:r>
      <w:r w:rsidR="00CD44E8">
        <w:rPr>
          <w:sz w:val="24"/>
          <w:szCs w:val="24"/>
        </w:rPr>
        <w:t xml:space="preserve"> </w:t>
      </w:r>
      <w:r w:rsidRPr="00D30730">
        <w:rPr>
          <w:sz w:val="24"/>
          <w:szCs w:val="24"/>
        </w:rPr>
        <w:t>plant</w:t>
      </w:r>
      <w:r w:rsidR="002D3F23">
        <w:rPr>
          <w:sz w:val="24"/>
          <w:szCs w:val="24"/>
        </w:rPr>
        <w:t xml:space="preserve"> prior to it being </w:t>
      </w:r>
      <w:r w:rsidR="00CD44E8">
        <w:rPr>
          <w:sz w:val="24"/>
          <w:szCs w:val="24"/>
        </w:rPr>
        <w:t>used</w:t>
      </w:r>
      <w:r w:rsidR="002D3F23">
        <w:rPr>
          <w:sz w:val="24"/>
          <w:szCs w:val="24"/>
        </w:rPr>
        <w:t xml:space="preserve"> on site</w:t>
      </w:r>
      <w:r w:rsidRPr="00D30730">
        <w:rPr>
          <w:sz w:val="24"/>
          <w:szCs w:val="24"/>
        </w:rPr>
        <w:t xml:space="preserve">. </w:t>
      </w:r>
      <w:r w:rsidR="00F523C1" w:rsidRPr="00D30730">
        <w:rPr>
          <w:sz w:val="24"/>
          <w:szCs w:val="24"/>
        </w:rPr>
        <w:t>Further to this, when a process is developed, companies are not carrying out pre-start inspections correctly.</w:t>
      </w:r>
    </w:p>
    <w:p w14:paraId="1CBF6EFF" w14:textId="77777777" w:rsidR="00F523C1" w:rsidRPr="008609A7" w:rsidRDefault="009A4829" w:rsidP="00737D38">
      <w:pPr>
        <w:pStyle w:val="ListParagraph"/>
        <w:numPr>
          <w:ilvl w:val="0"/>
          <w:numId w:val="9"/>
        </w:numPr>
        <w:rPr>
          <w:b/>
          <w:bCs/>
          <w:sz w:val="24"/>
          <w:szCs w:val="24"/>
          <w:lang w:val="en-US"/>
        </w:rPr>
      </w:pPr>
      <w:r>
        <w:rPr>
          <w:sz w:val="24"/>
          <w:szCs w:val="24"/>
        </w:rPr>
        <w:t xml:space="preserve">CARs in relation to </w:t>
      </w:r>
      <w:r w:rsidR="00F523C1" w:rsidRPr="00D30730">
        <w:rPr>
          <w:b/>
          <w:sz w:val="24"/>
          <w:szCs w:val="24"/>
        </w:rPr>
        <w:t>H16.10</w:t>
      </w:r>
      <w:r w:rsidR="00F523C1" w:rsidRPr="00D30730">
        <w:rPr>
          <w:sz w:val="24"/>
          <w:szCs w:val="24"/>
        </w:rPr>
        <w:t xml:space="preserve"> </w:t>
      </w:r>
      <w:r>
        <w:rPr>
          <w:sz w:val="24"/>
          <w:szCs w:val="24"/>
        </w:rPr>
        <w:t>are</w:t>
      </w:r>
      <w:r w:rsidR="00F523C1" w:rsidRPr="00D30730">
        <w:rPr>
          <w:sz w:val="24"/>
          <w:szCs w:val="24"/>
        </w:rPr>
        <w:t xml:space="preserve"> being issued at a high rate due to companies consistently failing to develop sufficient processes to ensure the maintenance is occurring.</w:t>
      </w:r>
      <w:r w:rsidR="00CD44E8">
        <w:rPr>
          <w:sz w:val="24"/>
          <w:szCs w:val="24"/>
        </w:rPr>
        <w:t xml:space="preserve"> From an implementation perspective, CAR</w:t>
      </w:r>
      <w:r>
        <w:rPr>
          <w:sz w:val="24"/>
          <w:szCs w:val="24"/>
        </w:rPr>
        <w:t>s</w:t>
      </w:r>
      <w:r w:rsidR="00CD44E8">
        <w:rPr>
          <w:sz w:val="24"/>
          <w:szCs w:val="24"/>
        </w:rPr>
        <w:t xml:space="preserve"> </w:t>
      </w:r>
      <w:r>
        <w:rPr>
          <w:sz w:val="24"/>
          <w:szCs w:val="24"/>
        </w:rPr>
        <w:t xml:space="preserve">are most commonly </w:t>
      </w:r>
      <w:r w:rsidR="00CD44E8">
        <w:rPr>
          <w:sz w:val="24"/>
          <w:szCs w:val="24"/>
        </w:rPr>
        <w:t>issued due to a failure to record maintenance when it occurs.</w:t>
      </w:r>
    </w:p>
    <w:p w14:paraId="7711F3E4" w14:textId="4A7B23CD" w:rsidR="008609A7" w:rsidRPr="00D30730" w:rsidRDefault="008609A7" w:rsidP="00737D38">
      <w:pPr>
        <w:pStyle w:val="ListParagraph"/>
        <w:numPr>
          <w:ilvl w:val="0"/>
          <w:numId w:val="9"/>
        </w:numPr>
        <w:rPr>
          <w:b/>
          <w:bCs/>
          <w:sz w:val="24"/>
          <w:szCs w:val="24"/>
          <w:lang w:val="en-US"/>
        </w:rPr>
      </w:pPr>
      <w:r>
        <w:rPr>
          <w:b/>
          <w:bCs/>
          <w:sz w:val="24"/>
          <w:szCs w:val="24"/>
          <w:lang w:val="en-US"/>
        </w:rPr>
        <w:t>H16.6</w:t>
      </w:r>
      <w:r>
        <w:rPr>
          <w:sz w:val="24"/>
          <w:szCs w:val="24"/>
          <w:lang w:val="en-US"/>
        </w:rPr>
        <w:t xml:space="preserve"> requires the </w:t>
      </w:r>
      <w:r w:rsidR="00177586">
        <w:rPr>
          <w:sz w:val="24"/>
          <w:szCs w:val="24"/>
          <w:lang w:val="en-US"/>
        </w:rPr>
        <w:t xml:space="preserve">safety system </w:t>
      </w:r>
      <w:r>
        <w:rPr>
          <w:sz w:val="24"/>
          <w:szCs w:val="24"/>
          <w:lang w:val="en-US"/>
        </w:rPr>
        <w:t xml:space="preserve">to ensure an inspection and maintenance program exists for rigging and lifting equipment. The most common </w:t>
      </w:r>
      <w:r w:rsidR="00177586">
        <w:rPr>
          <w:sz w:val="24"/>
          <w:szCs w:val="24"/>
          <w:lang w:val="en-US"/>
        </w:rPr>
        <w:t xml:space="preserve">reasons for </w:t>
      </w:r>
      <w:r>
        <w:rPr>
          <w:sz w:val="24"/>
          <w:szCs w:val="24"/>
          <w:lang w:val="en-US"/>
        </w:rPr>
        <w:t xml:space="preserve">failure of this </w:t>
      </w:r>
      <w:r w:rsidR="009A4829">
        <w:rPr>
          <w:sz w:val="24"/>
          <w:szCs w:val="24"/>
          <w:lang w:val="en-US"/>
        </w:rPr>
        <w:t>sub-</w:t>
      </w:r>
      <w:r>
        <w:rPr>
          <w:sz w:val="24"/>
          <w:szCs w:val="24"/>
          <w:lang w:val="en-US"/>
        </w:rPr>
        <w:t>criteri</w:t>
      </w:r>
      <w:r w:rsidR="009A4829">
        <w:rPr>
          <w:sz w:val="24"/>
          <w:szCs w:val="24"/>
          <w:lang w:val="en-US"/>
        </w:rPr>
        <w:t>on</w:t>
      </w:r>
      <w:r>
        <w:rPr>
          <w:sz w:val="24"/>
          <w:szCs w:val="24"/>
          <w:lang w:val="en-US"/>
        </w:rPr>
        <w:t xml:space="preserve"> were the lack of process, issues with frequency of inspections, and issues with the definition of competency for person performing the inspection.</w:t>
      </w:r>
    </w:p>
    <w:bookmarkEnd w:id="24"/>
    <w:p w14:paraId="06C66812" w14:textId="71195D3D" w:rsidR="004A3FE0" w:rsidRPr="00F523C1" w:rsidRDefault="006C7AC4" w:rsidP="003A57E1">
      <w:pPr>
        <w:tabs>
          <w:tab w:val="left" w:pos="10290"/>
        </w:tabs>
        <w:rPr>
          <w:b/>
          <w:bCs/>
          <w:sz w:val="36"/>
          <w:szCs w:val="36"/>
          <w:lang w:val="en-US"/>
        </w:rPr>
      </w:pPr>
      <w:r>
        <w:rPr>
          <w:b/>
          <w:bCs/>
          <w:noProof/>
          <w:sz w:val="28"/>
          <w:szCs w:val="28"/>
          <w:lang w:eastAsia="en-AU"/>
        </w:rPr>
        <mc:AlternateContent>
          <mc:Choice Requires="wps">
            <w:drawing>
              <wp:anchor distT="0" distB="0" distL="114300" distR="114300" simplePos="0" relativeHeight="251667968" behindDoc="0" locked="0" layoutInCell="1" allowOverlap="1" wp14:anchorId="72FB873B" wp14:editId="4984176E">
                <wp:simplePos x="0" y="0"/>
                <wp:positionH relativeFrom="column">
                  <wp:posOffset>2172335</wp:posOffset>
                </wp:positionH>
                <wp:positionV relativeFrom="paragraph">
                  <wp:posOffset>-38100</wp:posOffset>
                </wp:positionV>
                <wp:extent cx="6048375" cy="4381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048375" cy="438150"/>
                        </a:xfrm>
                        <a:prstGeom prst="rect">
                          <a:avLst/>
                        </a:prstGeom>
                        <a:noFill/>
                        <a:ln w="6350">
                          <a:noFill/>
                        </a:ln>
                      </wps:spPr>
                      <wps:txbx>
                        <w:txbxContent>
                          <w:p w14:paraId="4EE6E8F6" w14:textId="77777777" w:rsidR="00762C79" w:rsidRPr="00EC495D" w:rsidRDefault="00762C79" w:rsidP="00E67524">
                            <w:pPr>
                              <w:rPr>
                                <w:b/>
                                <w:bCs/>
                                <w:sz w:val="28"/>
                                <w:szCs w:val="28"/>
                              </w:rPr>
                            </w:pPr>
                            <w:r>
                              <w:rPr>
                                <w:b/>
                                <w:bCs/>
                                <w:sz w:val="28"/>
                                <w:szCs w:val="28"/>
                              </w:rPr>
                              <w:t>Most frequently failed Mobile Plant sub-criteria – Major v Minor by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FB873B" id="Text Box 24" o:spid="_x0000_s1033" type="#_x0000_t202" style="position:absolute;margin-left:171.05pt;margin-top:-3pt;width:476.25pt;height:34.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" filled="f" stroked="f" strokeweight=".5pt">
                <v:textbox>
                  <w:txbxContent>
                    <w:p w14:paraId="4EE6E8F6" w14:textId="77777777" w:rsidR="00762C79" w:rsidRPr="00EC495D" w:rsidRDefault="00762C79" w:rsidP="00E67524">
                      <w:pPr>
                        <w:rPr>
                          <w:b/>
                          <w:bCs/>
                          <w:sz w:val="28"/>
                          <w:szCs w:val="28"/>
                        </w:rPr>
                      </w:pPr>
                      <w:r>
                        <w:rPr>
                          <w:b/>
                          <w:bCs/>
                          <w:sz w:val="28"/>
                          <w:szCs w:val="28"/>
                        </w:rPr>
                        <w:t>Most frequently failed Mobile Plant sub-criteria – Major v Minor by year</w:t>
                      </w:r>
                    </w:p>
                  </w:txbxContent>
                </v:textbox>
              </v:shape>
            </w:pict>
          </mc:Fallback>
        </mc:AlternateContent>
      </w:r>
      <w:r>
        <w:rPr>
          <w:noProof/>
          <w:lang w:eastAsia="en-AU"/>
        </w:rPr>
        <mc:AlternateContent>
          <mc:Choice Requires="wpg">
            <w:drawing>
              <wp:anchor distT="0" distB="0" distL="114300" distR="114300" simplePos="0" relativeHeight="251662848" behindDoc="0" locked="0" layoutInCell="1" allowOverlap="1" wp14:anchorId="63E4106D" wp14:editId="762F6C75">
                <wp:simplePos x="0" y="0"/>
                <wp:positionH relativeFrom="column">
                  <wp:posOffset>323850</wp:posOffset>
                </wp:positionH>
                <wp:positionV relativeFrom="paragraph">
                  <wp:posOffset>185420</wp:posOffset>
                </wp:positionV>
                <wp:extent cx="9084945" cy="2800350"/>
                <wp:effectExtent l="0" t="0" r="0" b="0"/>
                <wp:wrapNone/>
                <wp:docPr id="9" name="Group 9"/>
                <wp:cNvGraphicFramePr/>
                <a:graphic xmlns:a="http://schemas.openxmlformats.org/drawingml/2006/main">
                  <a:graphicData uri="http://schemas.microsoft.com/office/word/2010/wordprocessingGroup">
                    <wpg:wgp>
                      <wpg:cNvGrpSpPr/>
                      <wpg:grpSpPr>
                        <a:xfrm>
                          <a:off x="0" y="0"/>
                          <a:ext cx="9084945" cy="2800350"/>
                          <a:chOff x="-51760" y="0"/>
                          <a:chExt cx="9085702" cy="2826353"/>
                        </a:xfrm>
                      </wpg:grpSpPr>
                      <wpg:graphicFrame>
                        <wpg:cNvPr id="16" name="Chart 16"/>
                        <wpg:cNvFrPr/>
                        <wpg:xfrm>
                          <a:off x="3708806" y="0"/>
                          <a:ext cx="1793240" cy="2561590"/>
                        </wpg:xfrm>
                        <a:graphic>
                          <a:graphicData uri="http://schemas.openxmlformats.org/drawingml/2006/chart">
                            <c:chart xmlns:c="http://schemas.openxmlformats.org/drawingml/2006/chart" xmlns:r="http://schemas.openxmlformats.org/officeDocument/2006/relationships" r:id="rId29"/>
                          </a:graphicData>
                        </a:graphic>
                      </wpg:graphicFrame>
                      <wpg:graphicFrame>
                        <wpg:cNvPr id="17" name="Chart 17"/>
                        <wpg:cNvFrPr/>
                        <wpg:xfrm>
                          <a:off x="343814" y="0"/>
                          <a:ext cx="1693545" cy="2561590"/>
                        </wpg:xfrm>
                        <a:graphic>
                          <a:graphicData uri="http://schemas.openxmlformats.org/drawingml/2006/chart">
                            <c:chart xmlns:c="http://schemas.openxmlformats.org/drawingml/2006/chart" xmlns:r="http://schemas.openxmlformats.org/officeDocument/2006/relationships" r:id="rId30"/>
                          </a:graphicData>
                        </a:graphic>
                      </wpg:graphicFrame>
                      <wpg:graphicFrame>
                        <wpg:cNvPr id="20" name="Chart 20"/>
                        <wpg:cNvFrPr/>
                        <wpg:xfrm>
                          <a:off x="1960474" y="0"/>
                          <a:ext cx="1828165" cy="2561590"/>
                        </wpg:xfrm>
                        <a:graphic>
                          <a:graphicData uri="http://schemas.openxmlformats.org/drawingml/2006/chart">
                            <c:chart xmlns:c="http://schemas.openxmlformats.org/drawingml/2006/chart" xmlns:r="http://schemas.openxmlformats.org/officeDocument/2006/relationships" r:id="rId31"/>
                          </a:graphicData>
                        </a:graphic>
                      </wpg:graphicFrame>
                      <pic:pic xmlns:pic="http://schemas.openxmlformats.org/drawingml/2006/picture">
                        <pic:nvPicPr>
                          <pic:cNvPr id="21" name="Picture 2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1760" y="373075"/>
                            <a:ext cx="483560" cy="2019300"/>
                          </a:xfrm>
                          <a:prstGeom prst="rect">
                            <a:avLst/>
                          </a:prstGeom>
                        </pic:spPr>
                      </pic:pic>
                      <wpg:graphicFrame>
                        <wpg:cNvPr id="2" name="Chart 2">
                          <a:extLst>
                            <a:ext uri="{FF2B5EF4-FFF2-40B4-BE49-F238E27FC236}">
                              <a16:creationId xmlns:a16="http://schemas.microsoft.com/office/drawing/2014/main" id="{E028A657-0660-43D5-A449-CEF8FEE054F2}"/>
                            </a:ext>
                          </a:extLst>
                        </wpg:cNvPr>
                        <wpg:cNvFrPr/>
                        <wpg:xfrm>
                          <a:off x="5427878" y="0"/>
                          <a:ext cx="1892935" cy="2561590"/>
                        </wpg:xfrm>
                        <a:graphic>
                          <a:graphicData uri="http://schemas.openxmlformats.org/drawingml/2006/chart">
                            <c:chart xmlns:c="http://schemas.openxmlformats.org/drawingml/2006/chart" xmlns:r="http://schemas.openxmlformats.org/officeDocument/2006/relationships" r:id="rId33"/>
                          </a:graphicData>
                        </a:graphic>
                      </wpg:graphicFrame>
                      <wpg:graphicFrame>
                        <wpg:cNvPr id="8" name="Chart 8">
                          <a:extLst>
                            <a:ext uri="{FF2B5EF4-FFF2-40B4-BE49-F238E27FC236}">
                              <a16:creationId xmlns:a16="http://schemas.microsoft.com/office/drawing/2014/main" id="{062393D0-F2E2-4EB4-A8DB-88BBC19C87D4}"/>
                            </a:ext>
                          </a:extLst>
                        </wpg:cNvPr>
                        <wpg:cNvFrPr/>
                        <wpg:xfrm>
                          <a:off x="7198157" y="0"/>
                          <a:ext cx="1835785" cy="2561590"/>
                        </wpg:xfrm>
                        <a:graphic>
                          <a:graphicData uri="http://schemas.openxmlformats.org/drawingml/2006/chart">
                            <c:chart xmlns:c="http://schemas.openxmlformats.org/drawingml/2006/chart" xmlns:r="http://schemas.openxmlformats.org/officeDocument/2006/relationships" r:id="rId34"/>
                          </a:graphicData>
                        </a:graphic>
                      </wpg:graphicFrame>
                      <pic:pic xmlns:pic="http://schemas.openxmlformats.org/drawingml/2006/picture">
                        <pic:nvPicPr>
                          <pic:cNvPr id="23" name="Picture 2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907230" y="2531078"/>
                            <a:ext cx="1451610" cy="2952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83ECD5" id="Group 9" o:spid="_x0000_s1026" style="position:absolute;margin-left:25.5pt;margin-top:14.6pt;width:715.35pt;height:220.5pt;z-index:251662848;mso-width-relative:margin;mso-height-relative:margin" coordorigin="-517" coordsize="90857,28263" o:gfxdata="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&#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6" o:spid="_x0000_s1027" type="#_x0000_t75" style="position:absolute;left:37097;width:17924;height:25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">
                  <v:imagedata r:id="rId36" o:title=""/>
                  <o:lock v:ext="edit" aspectratio="f"/>
                </v:shape>
                <v:shape id="Chart 17" o:spid="_x0000_s1028" type="#_x0000_t75" style="position:absolute;left:3445;width:16948;height:25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">
                  <v:imagedata r:id="rId37" o:title=""/>
                  <o:lock v:ext="edit" aspectratio="f"/>
                </v:shape>
                <v:shape id="Chart 20" o:spid="_x0000_s1029" type="#_x0000_t75" style="position:absolute;left:19600;width:18290;height:25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">
                  <v:imagedata r:id="rId38" o:title=""/>
                  <o:lock v:ext="edit" aspectratio="f"/>
                </v:shape>
                <v:shape id="Picture 21" o:spid="_x0000_s1030" type="#_x0000_t75" style="position:absolute;left:-517;top:3730;width:4835;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">
                  <v:imagedata r:id="rId39" o:title=""/>
                </v:shape>
                <v:shape id="Chart 2" o:spid="_x0000_s1031" type="#_x0000_t75" style="position:absolute;left:55570;top:1476;width:16399;height:231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">
                  <v:imagedata r:id="rId40" o:title=""/>
                  <o:lock v:ext="edit" aspectratio="f"/>
                </v:shape>
                <v:shape id="Chart 8" o:spid="_x0000_s1032" type="#_x0000_t75" style="position:absolute;left:73250;top:1476;width:15851;height:231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">
                  <v:imagedata r:id="rId41" o:title=""/>
                  <o:lock v:ext="edit" aspectratio="f"/>
                </v:shape>
                <v:shape id="Picture 23" o:spid="_x0000_s1033" type="#_x0000_t75" style="position:absolute;left:39072;top:25310;width:14516;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">
                  <v:imagedata r:id="rId42" o:title=""/>
                </v:shape>
              </v:group>
            </w:pict>
          </mc:Fallback>
        </mc:AlternateContent>
      </w:r>
      <w:r w:rsidR="004A3FE0">
        <w:br w:type="page"/>
      </w:r>
    </w:p>
    <w:p w14:paraId="04931FEF" w14:textId="77777777" w:rsidR="00D510E3" w:rsidRDefault="00D510E3" w:rsidP="00D510E3">
      <w:pPr>
        <w:pStyle w:val="Heading1"/>
      </w:pPr>
      <w:bookmarkStart w:id="25" w:name="_Toc81917926"/>
      <w:r>
        <w:rPr>
          <w:noProof/>
          <w:lang w:val="en-AU" w:eastAsia="en-AU"/>
        </w:rPr>
        <w:lastRenderedPageBreak/>
        <w:drawing>
          <wp:anchor distT="0" distB="0" distL="114300" distR="114300" simplePos="0" relativeHeight="251760128" behindDoc="1" locked="0" layoutInCell="1" allowOverlap="1" wp14:anchorId="08081810" wp14:editId="398FC154">
            <wp:simplePos x="0" y="0"/>
            <wp:positionH relativeFrom="column">
              <wp:posOffset>5520594</wp:posOffset>
            </wp:positionH>
            <wp:positionV relativeFrom="paragraph">
              <wp:posOffset>-168</wp:posOffset>
            </wp:positionV>
            <wp:extent cx="4267200" cy="2247900"/>
            <wp:effectExtent l="0" t="0" r="0" b="0"/>
            <wp:wrapNone/>
            <wp:docPr id="133" name="Chart 53">
              <a:extLst xmlns:a="http://schemas.openxmlformats.org/drawingml/2006/main">
                <a:ext uri="{FF2B5EF4-FFF2-40B4-BE49-F238E27FC236}">
                  <a16:creationId xmlns:a16="http://schemas.microsoft.com/office/drawing/2014/main" id="{3FC8801D-E8A1-4337-BD56-CA8500B9038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3" name="Chart 53">
                      <a:extLst>
                        <a:ext uri="{FF2B5EF4-FFF2-40B4-BE49-F238E27FC236}">
                          <a16:creationId xmlns:a16="http://schemas.microsoft.com/office/drawing/2014/main" id="{3FC8801D-E8A1-4337-BD56-CA8500B9038C}"/>
                        </a:ext>
                      </a:extLst>
                    </pic:cNvPr>
                    <pic:cNvPicPr>
                      <a:picLocks noGrp="1" noRot="1" noChangeAspect="1" noMove="1" noResize="1" noEditPoints="1" noAdjustHandles="1" noChangeArrowheads="1" noChangeShapeType="1"/>
                    </pic:cNvPicPr>
                  </pic:nvPicPr>
                  <pic:blipFill>
                    <a:blip r:embed="rId43"/>
                    <a:stretch>
                      <a:fillRect/>
                    </a:stretch>
                  </pic:blipFill>
                  <pic:spPr>
                    <a:xfrm>
                      <a:off x="0" y="0"/>
                      <a:ext cx="4267200" cy="224790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759104" behindDoc="0" locked="0" layoutInCell="1" allowOverlap="1" wp14:anchorId="5AF8911A" wp14:editId="0CE36745">
                <wp:simplePos x="0" y="0"/>
                <wp:positionH relativeFrom="column">
                  <wp:posOffset>-284480</wp:posOffset>
                </wp:positionH>
                <wp:positionV relativeFrom="paragraph">
                  <wp:posOffset>361794</wp:posOffset>
                </wp:positionV>
                <wp:extent cx="5339751" cy="1259456"/>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5339751" cy="1259456"/>
                        </a:xfrm>
                        <a:prstGeom prst="rect">
                          <a:avLst/>
                        </a:prstGeom>
                        <a:noFill/>
                        <a:ln w="6350">
                          <a:noFill/>
                        </a:ln>
                      </wps:spPr>
                      <wps:txbx>
                        <w:txbxContent>
                          <w:p w14:paraId="638EB2A8" w14:textId="77777777" w:rsidR="00762C79" w:rsidRPr="00B209CB" w:rsidRDefault="00762C79" w:rsidP="00D510E3">
                            <w:pPr>
                              <w:pStyle w:val="ListParagraph"/>
                              <w:numPr>
                                <w:ilvl w:val="0"/>
                                <w:numId w:val="1"/>
                              </w:numPr>
                              <w:rPr>
                                <w:sz w:val="24"/>
                                <w:szCs w:val="24"/>
                                <w:lang w:val="en-US"/>
                              </w:rPr>
                            </w:pPr>
                            <w:r w:rsidRPr="00B209CB">
                              <w:rPr>
                                <w:bCs/>
                                <w:sz w:val="24"/>
                                <w:szCs w:val="24"/>
                                <w:lang w:val="en-US"/>
                              </w:rPr>
                              <w:t xml:space="preserve">Of the </w:t>
                            </w:r>
                            <w:r>
                              <w:rPr>
                                <w:b/>
                                <w:bCs/>
                                <w:sz w:val="24"/>
                                <w:szCs w:val="24"/>
                                <w:lang w:val="en-US"/>
                              </w:rPr>
                              <w:t>83</w:t>
                            </w:r>
                            <w:r w:rsidRPr="00B209CB">
                              <w:rPr>
                                <w:sz w:val="24"/>
                                <w:szCs w:val="24"/>
                                <w:lang w:val="en-US"/>
                              </w:rPr>
                              <w:t xml:space="preserve"> mobile plant incidents reported, </w:t>
                            </w:r>
                            <w:r>
                              <w:rPr>
                                <w:b/>
                                <w:sz w:val="24"/>
                                <w:szCs w:val="24"/>
                                <w:lang w:val="en-US"/>
                              </w:rPr>
                              <w:t>33 per cent</w:t>
                            </w:r>
                            <w:r w:rsidRPr="00C218D5">
                              <w:rPr>
                                <w:bCs/>
                                <w:sz w:val="24"/>
                                <w:szCs w:val="24"/>
                                <w:lang w:val="en-US"/>
                              </w:rPr>
                              <w:t xml:space="preserve"> were </w:t>
                            </w:r>
                            <w:r>
                              <w:rPr>
                                <w:bCs/>
                                <w:sz w:val="24"/>
                                <w:szCs w:val="24"/>
                                <w:lang w:val="en-US"/>
                              </w:rPr>
                              <w:t xml:space="preserve">classed as </w:t>
                            </w:r>
                            <w:r w:rsidRPr="00C218D5">
                              <w:rPr>
                                <w:bCs/>
                                <w:i/>
                                <w:iCs/>
                                <w:sz w:val="24"/>
                                <w:szCs w:val="24"/>
                                <w:lang w:val="en-US"/>
                              </w:rPr>
                              <w:t>Severe</w:t>
                            </w:r>
                            <w:r>
                              <w:rPr>
                                <w:bCs/>
                                <w:sz w:val="24"/>
                                <w:szCs w:val="24"/>
                                <w:lang w:val="en-US"/>
                              </w:rPr>
                              <w:t xml:space="preserve"> or </w:t>
                            </w:r>
                            <w:r w:rsidRPr="00C218D5">
                              <w:rPr>
                                <w:bCs/>
                                <w:i/>
                                <w:iCs/>
                                <w:sz w:val="24"/>
                                <w:szCs w:val="24"/>
                                <w:lang w:val="en-US"/>
                              </w:rPr>
                              <w:t>Life at Risk</w:t>
                            </w:r>
                            <w:r w:rsidRPr="00B209CB">
                              <w:rPr>
                                <w:sz w:val="24"/>
                                <w:szCs w:val="24"/>
                                <w:lang w:val="en-US"/>
                              </w:rPr>
                              <w:t>.</w:t>
                            </w:r>
                          </w:p>
                          <w:p w14:paraId="7468B031" w14:textId="77777777" w:rsidR="00762C79" w:rsidRPr="00B209CB" w:rsidRDefault="00762C79" w:rsidP="00D510E3">
                            <w:pPr>
                              <w:pStyle w:val="ListParagraph"/>
                              <w:numPr>
                                <w:ilvl w:val="0"/>
                                <w:numId w:val="1"/>
                              </w:numPr>
                              <w:rPr>
                                <w:sz w:val="24"/>
                                <w:szCs w:val="24"/>
                                <w:lang w:val="en-US"/>
                              </w:rPr>
                            </w:pPr>
                            <w:r w:rsidRPr="00B209CB">
                              <w:rPr>
                                <w:bCs/>
                                <w:sz w:val="24"/>
                                <w:szCs w:val="24"/>
                                <w:lang w:val="en-US"/>
                              </w:rPr>
                              <w:t xml:space="preserve">Severe incidents were composed of </w:t>
                            </w:r>
                            <w:r w:rsidRPr="004E1D3C">
                              <w:rPr>
                                <w:b/>
                                <w:sz w:val="24"/>
                                <w:szCs w:val="24"/>
                                <w:lang w:val="en-US"/>
                              </w:rPr>
                              <w:t>13</w:t>
                            </w:r>
                            <w:r w:rsidRPr="00B209CB">
                              <w:rPr>
                                <w:bCs/>
                                <w:sz w:val="24"/>
                                <w:szCs w:val="24"/>
                                <w:lang w:val="en-US"/>
                              </w:rPr>
                              <w:t xml:space="preserve"> LTIs and</w:t>
                            </w:r>
                            <w:r>
                              <w:rPr>
                                <w:bCs/>
                                <w:sz w:val="24"/>
                                <w:szCs w:val="24"/>
                                <w:lang w:val="en-US"/>
                              </w:rPr>
                              <w:t xml:space="preserve"> </w:t>
                            </w:r>
                            <w:r w:rsidRPr="004E1D3C">
                              <w:rPr>
                                <w:b/>
                                <w:sz w:val="24"/>
                                <w:szCs w:val="24"/>
                                <w:lang w:val="en-US"/>
                              </w:rPr>
                              <w:t>12</w:t>
                            </w:r>
                            <w:r w:rsidRPr="00B209CB">
                              <w:rPr>
                                <w:bCs/>
                                <w:sz w:val="24"/>
                                <w:szCs w:val="24"/>
                                <w:lang w:val="en-US"/>
                              </w:rPr>
                              <w:t xml:space="preserve"> Dangerous Occurrences</w:t>
                            </w:r>
                            <w:r>
                              <w:rPr>
                                <w:bCs/>
                                <w:sz w:val="24"/>
                                <w:szCs w:val="24"/>
                                <w:lang w:val="en-US"/>
                              </w:rPr>
                              <w:t>.</w:t>
                            </w:r>
                          </w:p>
                          <w:p w14:paraId="6F3C4DD8" w14:textId="77777777" w:rsidR="00762C79" w:rsidRPr="00B209CB" w:rsidRDefault="00762C79" w:rsidP="00D510E3">
                            <w:pPr>
                              <w:pStyle w:val="ListParagraph"/>
                              <w:numPr>
                                <w:ilvl w:val="0"/>
                                <w:numId w:val="1"/>
                              </w:numPr>
                              <w:rPr>
                                <w:sz w:val="24"/>
                                <w:szCs w:val="24"/>
                                <w:lang w:val="en-US"/>
                              </w:rPr>
                            </w:pPr>
                            <w:r w:rsidRPr="00B209CB">
                              <w:rPr>
                                <w:b/>
                                <w:bCs/>
                                <w:sz w:val="24"/>
                                <w:szCs w:val="24"/>
                                <w:lang w:val="en-US"/>
                              </w:rPr>
                              <w:t>Two</w:t>
                            </w:r>
                            <w:r w:rsidRPr="00B209CB">
                              <w:rPr>
                                <w:bCs/>
                                <w:sz w:val="24"/>
                                <w:szCs w:val="24"/>
                                <w:lang w:val="en-US"/>
                              </w:rPr>
                              <w:t xml:space="preserve"> mobile plant incidents reports were classified as placing the worker’s life at risk.</w:t>
                            </w:r>
                          </w:p>
                          <w:p w14:paraId="77835605" w14:textId="77777777" w:rsidR="00762C79" w:rsidRDefault="00762C79" w:rsidP="00D510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8911A" id="Text Box 131" o:spid="_x0000_s1034" type="#_x0000_t202" style="position:absolute;margin-left:-22.4pt;margin-top:28.5pt;width:420.45pt;height:99.1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" filled="f" stroked="f" strokeweight=".5pt">
                <v:textbox>
                  <w:txbxContent>
                    <w:p w14:paraId="638EB2A8" w14:textId="77777777" w:rsidR="00762C79" w:rsidRPr="00B209CB" w:rsidRDefault="00762C79" w:rsidP="00D510E3">
                      <w:pPr>
                        <w:pStyle w:val="ListParagraph"/>
                        <w:numPr>
                          <w:ilvl w:val="0"/>
                          <w:numId w:val="1"/>
                        </w:numPr>
                        <w:rPr>
                          <w:sz w:val="24"/>
                          <w:szCs w:val="24"/>
                          <w:lang w:val="en-US"/>
                        </w:rPr>
                      </w:pPr>
                      <w:r w:rsidRPr="00B209CB">
                        <w:rPr>
                          <w:bCs/>
                          <w:sz w:val="24"/>
                          <w:szCs w:val="24"/>
                          <w:lang w:val="en-US"/>
                        </w:rPr>
                        <w:t xml:space="preserve">Of the </w:t>
                      </w:r>
                      <w:r>
                        <w:rPr>
                          <w:b/>
                          <w:bCs/>
                          <w:sz w:val="24"/>
                          <w:szCs w:val="24"/>
                          <w:lang w:val="en-US"/>
                        </w:rPr>
                        <w:t>83</w:t>
                      </w:r>
                      <w:r w:rsidRPr="00B209CB">
                        <w:rPr>
                          <w:sz w:val="24"/>
                          <w:szCs w:val="24"/>
                          <w:lang w:val="en-US"/>
                        </w:rPr>
                        <w:t xml:space="preserve"> mobile plant incidents reported, </w:t>
                      </w:r>
                      <w:r>
                        <w:rPr>
                          <w:b/>
                          <w:sz w:val="24"/>
                          <w:szCs w:val="24"/>
                          <w:lang w:val="en-US"/>
                        </w:rPr>
                        <w:t>33 per cent</w:t>
                      </w:r>
                      <w:r w:rsidRPr="00C218D5">
                        <w:rPr>
                          <w:bCs/>
                          <w:sz w:val="24"/>
                          <w:szCs w:val="24"/>
                          <w:lang w:val="en-US"/>
                        </w:rPr>
                        <w:t xml:space="preserve"> were </w:t>
                      </w:r>
                      <w:r>
                        <w:rPr>
                          <w:bCs/>
                          <w:sz w:val="24"/>
                          <w:szCs w:val="24"/>
                          <w:lang w:val="en-US"/>
                        </w:rPr>
                        <w:t xml:space="preserve">classed as </w:t>
                      </w:r>
                      <w:r w:rsidRPr="00C218D5">
                        <w:rPr>
                          <w:bCs/>
                          <w:i/>
                          <w:iCs/>
                          <w:sz w:val="24"/>
                          <w:szCs w:val="24"/>
                          <w:lang w:val="en-US"/>
                        </w:rPr>
                        <w:t>Severe</w:t>
                      </w:r>
                      <w:r>
                        <w:rPr>
                          <w:bCs/>
                          <w:sz w:val="24"/>
                          <w:szCs w:val="24"/>
                          <w:lang w:val="en-US"/>
                        </w:rPr>
                        <w:t xml:space="preserve"> or </w:t>
                      </w:r>
                      <w:r w:rsidRPr="00C218D5">
                        <w:rPr>
                          <w:bCs/>
                          <w:i/>
                          <w:iCs/>
                          <w:sz w:val="24"/>
                          <w:szCs w:val="24"/>
                          <w:lang w:val="en-US"/>
                        </w:rPr>
                        <w:t>Life at Risk</w:t>
                      </w:r>
                      <w:r w:rsidRPr="00B209CB">
                        <w:rPr>
                          <w:sz w:val="24"/>
                          <w:szCs w:val="24"/>
                          <w:lang w:val="en-US"/>
                        </w:rPr>
                        <w:t>.</w:t>
                      </w:r>
                    </w:p>
                    <w:p w14:paraId="7468B031" w14:textId="77777777" w:rsidR="00762C79" w:rsidRPr="00B209CB" w:rsidRDefault="00762C79" w:rsidP="00D510E3">
                      <w:pPr>
                        <w:pStyle w:val="ListParagraph"/>
                        <w:numPr>
                          <w:ilvl w:val="0"/>
                          <w:numId w:val="1"/>
                        </w:numPr>
                        <w:rPr>
                          <w:sz w:val="24"/>
                          <w:szCs w:val="24"/>
                          <w:lang w:val="en-US"/>
                        </w:rPr>
                      </w:pPr>
                      <w:r w:rsidRPr="00B209CB">
                        <w:rPr>
                          <w:bCs/>
                          <w:sz w:val="24"/>
                          <w:szCs w:val="24"/>
                          <w:lang w:val="en-US"/>
                        </w:rPr>
                        <w:t xml:space="preserve">Severe incidents were composed of </w:t>
                      </w:r>
                      <w:r w:rsidRPr="004E1D3C">
                        <w:rPr>
                          <w:b/>
                          <w:sz w:val="24"/>
                          <w:szCs w:val="24"/>
                          <w:lang w:val="en-US"/>
                        </w:rPr>
                        <w:t>13</w:t>
                      </w:r>
                      <w:r w:rsidRPr="00B209CB">
                        <w:rPr>
                          <w:bCs/>
                          <w:sz w:val="24"/>
                          <w:szCs w:val="24"/>
                          <w:lang w:val="en-US"/>
                        </w:rPr>
                        <w:t xml:space="preserve"> LTIs and</w:t>
                      </w:r>
                      <w:r>
                        <w:rPr>
                          <w:bCs/>
                          <w:sz w:val="24"/>
                          <w:szCs w:val="24"/>
                          <w:lang w:val="en-US"/>
                        </w:rPr>
                        <w:t xml:space="preserve"> </w:t>
                      </w:r>
                      <w:r w:rsidRPr="004E1D3C">
                        <w:rPr>
                          <w:b/>
                          <w:sz w:val="24"/>
                          <w:szCs w:val="24"/>
                          <w:lang w:val="en-US"/>
                        </w:rPr>
                        <w:t>12</w:t>
                      </w:r>
                      <w:r w:rsidRPr="00B209CB">
                        <w:rPr>
                          <w:bCs/>
                          <w:sz w:val="24"/>
                          <w:szCs w:val="24"/>
                          <w:lang w:val="en-US"/>
                        </w:rPr>
                        <w:t xml:space="preserve"> Dangerous Occurrences</w:t>
                      </w:r>
                      <w:r>
                        <w:rPr>
                          <w:bCs/>
                          <w:sz w:val="24"/>
                          <w:szCs w:val="24"/>
                          <w:lang w:val="en-US"/>
                        </w:rPr>
                        <w:t>.</w:t>
                      </w:r>
                    </w:p>
                    <w:p w14:paraId="6F3C4DD8" w14:textId="77777777" w:rsidR="00762C79" w:rsidRPr="00B209CB" w:rsidRDefault="00762C79" w:rsidP="00D510E3">
                      <w:pPr>
                        <w:pStyle w:val="ListParagraph"/>
                        <w:numPr>
                          <w:ilvl w:val="0"/>
                          <w:numId w:val="1"/>
                        </w:numPr>
                        <w:rPr>
                          <w:sz w:val="24"/>
                          <w:szCs w:val="24"/>
                          <w:lang w:val="en-US"/>
                        </w:rPr>
                      </w:pPr>
                      <w:r w:rsidRPr="00B209CB">
                        <w:rPr>
                          <w:b/>
                          <w:bCs/>
                          <w:sz w:val="24"/>
                          <w:szCs w:val="24"/>
                          <w:lang w:val="en-US"/>
                        </w:rPr>
                        <w:t>Two</w:t>
                      </w:r>
                      <w:r w:rsidRPr="00B209CB">
                        <w:rPr>
                          <w:bCs/>
                          <w:sz w:val="24"/>
                          <w:szCs w:val="24"/>
                          <w:lang w:val="en-US"/>
                        </w:rPr>
                        <w:t xml:space="preserve"> mobile plant incidents reports were classified as placing the worker’s life at risk.</w:t>
                      </w:r>
                    </w:p>
                    <w:p w14:paraId="77835605" w14:textId="77777777" w:rsidR="00762C79" w:rsidRDefault="00762C79" w:rsidP="00D510E3"/>
                  </w:txbxContent>
                </v:textbox>
              </v:shape>
            </w:pict>
          </mc:Fallback>
        </mc:AlternateContent>
      </w:r>
      <w:r>
        <w:t>Mobile Plant – Incident Reports</w:t>
      </w:r>
      <w:bookmarkEnd w:id="25"/>
    </w:p>
    <w:p w14:paraId="1B3CB971" w14:textId="77777777" w:rsidR="00D510E3" w:rsidRDefault="00D510E3" w:rsidP="00D510E3">
      <w:pPr>
        <w:rPr>
          <w:lang w:val="en-US"/>
        </w:rPr>
      </w:pPr>
    </w:p>
    <w:p w14:paraId="03A2DE93" w14:textId="77777777" w:rsidR="00D510E3" w:rsidRPr="00B5352A" w:rsidRDefault="00D510E3" w:rsidP="00D510E3">
      <w:pPr>
        <w:tabs>
          <w:tab w:val="left" w:pos="10590"/>
        </w:tabs>
        <w:rPr>
          <w:lang w:val="en-US"/>
        </w:rPr>
      </w:pPr>
      <w:r>
        <w:rPr>
          <w:lang w:val="en-US"/>
        </w:rPr>
        <w:tab/>
      </w:r>
    </w:p>
    <w:p w14:paraId="1A415B90" w14:textId="12E453CF" w:rsidR="00D510E3" w:rsidRPr="00664E1D" w:rsidRDefault="00C02F30" w:rsidP="00D510E3">
      <w:r>
        <w:rPr>
          <w:noProof/>
          <w:lang w:eastAsia="en-AU"/>
        </w:rPr>
        <w:drawing>
          <wp:anchor distT="0" distB="0" distL="114300" distR="114300" simplePos="0" relativeHeight="251758080" behindDoc="1" locked="0" layoutInCell="1" allowOverlap="1" wp14:anchorId="7F474DDA" wp14:editId="7E0831A4">
            <wp:simplePos x="0" y="0"/>
            <wp:positionH relativeFrom="column">
              <wp:posOffset>133350</wp:posOffset>
            </wp:positionH>
            <wp:positionV relativeFrom="paragraph">
              <wp:posOffset>636270</wp:posOffset>
            </wp:positionV>
            <wp:extent cx="4925060" cy="4876800"/>
            <wp:effectExtent l="0" t="0" r="0" b="0"/>
            <wp:wrapNone/>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Pr="0083500F">
        <w:rPr>
          <w:b/>
          <w:bCs/>
          <w:noProof/>
          <w:sz w:val="24"/>
          <w:szCs w:val="24"/>
          <w:lang w:eastAsia="en-AU"/>
        </w:rPr>
        <mc:AlternateContent>
          <mc:Choice Requires="wps">
            <w:drawing>
              <wp:anchor distT="0" distB="0" distL="114300" distR="114300" simplePos="0" relativeHeight="251762176" behindDoc="0" locked="0" layoutInCell="1" allowOverlap="1" wp14:anchorId="12696372" wp14:editId="27AFE311">
                <wp:simplePos x="0" y="0"/>
                <wp:positionH relativeFrom="margin">
                  <wp:posOffset>5285105</wp:posOffset>
                </wp:positionH>
                <wp:positionV relativeFrom="paragraph">
                  <wp:posOffset>1626870</wp:posOffset>
                </wp:positionV>
                <wp:extent cx="4492831" cy="65532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4492831" cy="655320"/>
                        </a:xfrm>
                        <a:prstGeom prst="rect">
                          <a:avLst/>
                        </a:prstGeom>
                        <a:noFill/>
                        <a:ln w="6350">
                          <a:noFill/>
                        </a:ln>
                      </wps:spPr>
                      <wps:txbx>
                        <w:txbxContent>
                          <w:p w14:paraId="6EF82545" w14:textId="77777777" w:rsidR="00762C79" w:rsidRPr="00F42F23" w:rsidRDefault="00762C79" w:rsidP="00D510E3">
                            <w:pPr>
                              <w:rPr>
                                <w:b/>
                                <w:bCs/>
                                <w:sz w:val="28"/>
                                <w:szCs w:val="28"/>
                                <w:lang w:val="en-US"/>
                              </w:rPr>
                            </w:pPr>
                            <w:r>
                              <w:rPr>
                                <w:b/>
                                <w:bCs/>
                                <w:sz w:val="28"/>
                                <w:szCs w:val="28"/>
                                <w:lang w:val="en-US"/>
                              </w:rPr>
                              <w:t>Number of Incidents Reported in Each State or Territory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96372" id="Text Box 132" o:spid="_x0000_s1035" type="#_x0000_t202" style="position:absolute;margin-left:416.15pt;margin-top:128.1pt;width:353.75pt;height:51.6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" filled="f" stroked="f" strokeweight=".5pt">
                <v:textbox>
                  <w:txbxContent>
                    <w:p w14:paraId="6EF82545" w14:textId="77777777" w:rsidR="00762C79" w:rsidRPr="00F42F23" w:rsidRDefault="00762C79" w:rsidP="00D510E3">
                      <w:pPr>
                        <w:rPr>
                          <w:b/>
                          <w:bCs/>
                          <w:sz w:val="28"/>
                          <w:szCs w:val="28"/>
                          <w:lang w:val="en-US"/>
                        </w:rPr>
                      </w:pPr>
                      <w:r>
                        <w:rPr>
                          <w:b/>
                          <w:bCs/>
                          <w:sz w:val="28"/>
                          <w:szCs w:val="28"/>
                          <w:lang w:val="en-US"/>
                        </w:rPr>
                        <w:t>Number of Incidents Reported in Each State or Territory</w:t>
                      </w:r>
                    </w:p>
                  </w:txbxContent>
                </v:textbox>
                <w10:wrap anchorx="margin"/>
              </v:shape>
            </w:pict>
          </mc:Fallback>
        </mc:AlternateContent>
      </w:r>
      <w:r w:rsidR="00D510E3">
        <w:rPr>
          <w:noProof/>
          <w:lang w:eastAsia="en-AU"/>
        </w:rPr>
        <w:drawing>
          <wp:anchor distT="0" distB="0" distL="114300" distR="114300" simplePos="0" relativeHeight="251761152" behindDoc="1" locked="0" layoutInCell="1" allowOverlap="1" wp14:anchorId="0AFD66DC" wp14:editId="615CF79E">
            <wp:simplePos x="0" y="0"/>
            <wp:positionH relativeFrom="column">
              <wp:posOffset>5705475</wp:posOffset>
            </wp:positionH>
            <wp:positionV relativeFrom="paragraph">
              <wp:posOffset>1962150</wp:posOffset>
            </wp:positionV>
            <wp:extent cx="3865361" cy="3611470"/>
            <wp:effectExtent l="0" t="0" r="1905" b="825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65361" cy="361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0E3">
        <w:br w:type="page"/>
      </w:r>
    </w:p>
    <w:p w14:paraId="58625297" w14:textId="77777777" w:rsidR="00D510E3" w:rsidRDefault="00D510E3" w:rsidP="00D510E3">
      <w:pPr>
        <w:pStyle w:val="Heading1"/>
      </w:pPr>
      <w:bookmarkStart w:id="26" w:name="_Toc81917927"/>
      <w:r>
        <w:lastRenderedPageBreak/>
        <w:t>Mobile Plant – Incident Report</w:t>
      </w:r>
      <w:r w:rsidR="006A0639">
        <w:t>s</w:t>
      </w:r>
      <w:r>
        <w:t xml:space="preserve"> Analysis of Trends</w:t>
      </w:r>
      <w:bookmarkEnd w:id="26"/>
    </w:p>
    <w:p w14:paraId="4F075C4C" w14:textId="77777777" w:rsidR="00D510E3" w:rsidRPr="009D224D" w:rsidRDefault="00D510E3" w:rsidP="00D510E3">
      <w:pPr>
        <w:pStyle w:val="ListParagraph"/>
        <w:numPr>
          <w:ilvl w:val="0"/>
          <w:numId w:val="10"/>
        </w:numPr>
        <w:rPr>
          <w:sz w:val="24"/>
          <w:szCs w:val="24"/>
        </w:rPr>
      </w:pPr>
      <w:r w:rsidRPr="009D224D">
        <w:rPr>
          <w:sz w:val="24"/>
          <w:szCs w:val="24"/>
        </w:rPr>
        <w:t xml:space="preserve">The most frequent mobile plant related injury </w:t>
      </w:r>
      <w:r>
        <w:rPr>
          <w:sz w:val="24"/>
          <w:szCs w:val="24"/>
        </w:rPr>
        <w:t xml:space="preserve">involved workers being jammed/crushed between mobile plant, and workers being struck by mobile plant or </w:t>
      </w:r>
      <w:r w:rsidR="007E1DE3">
        <w:rPr>
          <w:sz w:val="24"/>
          <w:szCs w:val="24"/>
        </w:rPr>
        <w:t xml:space="preserve">by an </w:t>
      </w:r>
      <w:r>
        <w:rPr>
          <w:sz w:val="24"/>
          <w:szCs w:val="24"/>
        </w:rPr>
        <w:t>object involving plant</w:t>
      </w:r>
      <w:r w:rsidRPr="009D224D">
        <w:rPr>
          <w:sz w:val="24"/>
          <w:szCs w:val="24"/>
        </w:rPr>
        <w:t>.</w:t>
      </w:r>
    </w:p>
    <w:p w14:paraId="686CA999" w14:textId="77777777" w:rsidR="00D510E3" w:rsidRPr="009D224D" w:rsidRDefault="00D510E3" w:rsidP="00D510E3">
      <w:pPr>
        <w:pStyle w:val="ListParagraph"/>
        <w:numPr>
          <w:ilvl w:val="0"/>
          <w:numId w:val="10"/>
        </w:numPr>
        <w:rPr>
          <w:sz w:val="24"/>
          <w:szCs w:val="24"/>
        </w:rPr>
      </w:pPr>
      <w:r>
        <w:rPr>
          <w:sz w:val="24"/>
          <w:szCs w:val="24"/>
        </w:rPr>
        <w:t>The next</w:t>
      </w:r>
      <w:r w:rsidRPr="009D224D">
        <w:rPr>
          <w:sz w:val="24"/>
          <w:szCs w:val="24"/>
        </w:rPr>
        <w:t xml:space="preserve"> most frequent </w:t>
      </w:r>
      <w:r>
        <w:rPr>
          <w:sz w:val="24"/>
          <w:szCs w:val="24"/>
        </w:rPr>
        <w:t>is trips, stumbles and slips</w:t>
      </w:r>
      <w:r w:rsidRPr="009D224D">
        <w:rPr>
          <w:sz w:val="24"/>
          <w:szCs w:val="24"/>
        </w:rPr>
        <w:t>.</w:t>
      </w:r>
    </w:p>
    <w:p w14:paraId="2BB33231" w14:textId="77777777" w:rsidR="00D510E3" w:rsidRPr="00D1394B" w:rsidRDefault="00D510E3" w:rsidP="00D510E3">
      <w:pPr>
        <w:rPr>
          <w:sz w:val="24"/>
          <w:szCs w:val="24"/>
        </w:rPr>
      </w:pPr>
      <w:r>
        <w:rPr>
          <w:noProof/>
          <w:lang w:eastAsia="en-AU"/>
        </w:rPr>
        <w:drawing>
          <wp:anchor distT="0" distB="0" distL="114300" distR="114300" simplePos="0" relativeHeight="251764224" behindDoc="1" locked="0" layoutInCell="1" allowOverlap="1" wp14:anchorId="476B347E" wp14:editId="76C99BB7">
            <wp:simplePos x="0" y="0"/>
            <wp:positionH relativeFrom="column">
              <wp:posOffset>0</wp:posOffset>
            </wp:positionH>
            <wp:positionV relativeFrom="paragraph">
              <wp:posOffset>123825</wp:posOffset>
            </wp:positionV>
            <wp:extent cx="9763125" cy="4991100"/>
            <wp:effectExtent l="0" t="0" r="0" b="0"/>
            <wp:wrapNone/>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149952F3" w14:textId="77777777" w:rsidR="00D510E3" w:rsidRDefault="00D510E3" w:rsidP="00D510E3">
      <w:pPr>
        <w:tabs>
          <w:tab w:val="left" w:pos="11370"/>
          <w:tab w:val="left" w:pos="13710"/>
        </w:tabs>
        <w:rPr>
          <w:b/>
          <w:bCs/>
          <w:sz w:val="36"/>
          <w:szCs w:val="36"/>
          <w:lang w:val="en-US"/>
        </w:rPr>
      </w:pPr>
      <w:r>
        <w:tab/>
      </w:r>
      <w:r>
        <w:tab/>
      </w:r>
    </w:p>
    <w:p w14:paraId="59100340" w14:textId="77777777" w:rsidR="00D510E3" w:rsidRDefault="00D510E3" w:rsidP="00D510E3">
      <w:pPr>
        <w:tabs>
          <w:tab w:val="right" w:pos="15398"/>
        </w:tabs>
        <w:rPr>
          <w:b/>
          <w:bCs/>
          <w:sz w:val="36"/>
          <w:szCs w:val="36"/>
          <w:lang w:val="en-US"/>
        </w:rPr>
      </w:pPr>
      <w:r>
        <w:br w:type="page"/>
      </w:r>
    </w:p>
    <w:p w14:paraId="56599952" w14:textId="77777777" w:rsidR="00D510E3" w:rsidRDefault="00D510E3">
      <w:pPr>
        <w:rPr>
          <w:b/>
          <w:bCs/>
          <w:sz w:val="36"/>
          <w:szCs w:val="36"/>
          <w:lang w:val="en-US"/>
        </w:rPr>
      </w:pPr>
      <w:r>
        <w:rPr>
          <w:noProof/>
          <w:lang w:eastAsia="en-AU"/>
        </w:rPr>
        <w:lastRenderedPageBreak/>
        <mc:AlternateContent>
          <mc:Choice Requires="wps">
            <w:drawing>
              <wp:anchor distT="45720" distB="45720" distL="114300" distR="114300" simplePos="0" relativeHeight="251770368" behindDoc="0" locked="0" layoutInCell="1" allowOverlap="1" wp14:anchorId="2F67A26F" wp14:editId="35CF45FB">
                <wp:simplePos x="0" y="0"/>
                <wp:positionH relativeFrom="margin">
                  <wp:align>right</wp:align>
                </wp:positionH>
                <wp:positionV relativeFrom="paragraph">
                  <wp:posOffset>3194240</wp:posOffset>
                </wp:positionV>
                <wp:extent cx="8718550" cy="982345"/>
                <wp:effectExtent l="0" t="0" r="0" b="0"/>
                <wp:wrapSquare wrapText="bothSides"/>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0" cy="982345"/>
                        </a:xfrm>
                        <a:prstGeom prst="rect">
                          <a:avLst/>
                        </a:prstGeom>
                        <a:noFill/>
                        <a:ln w="9525">
                          <a:noFill/>
                          <a:miter lim="800000"/>
                          <a:headEnd/>
                          <a:tailEnd/>
                        </a:ln>
                      </wps:spPr>
                      <wps:txbx>
                        <w:txbxContent>
                          <w:p w14:paraId="56154E18" w14:textId="77777777" w:rsidR="00762C79" w:rsidRPr="008122C1" w:rsidRDefault="00762C79" w:rsidP="008122C1">
                            <w:pPr>
                              <w:pStyle w:val="Heading1"/>
                              <w:jc w:val="right"/>
                              <w:rPr>
                                <w:color w:val="FFFFFF" w:themeColor="background1"/>
                                <w:sz w:val="72"/>
                                <w:szCs w:val="72"/>
                              </w:rPr>
                            </w:pPr>
                            <w:bookmarkStart w:id="27" w:name="_Toc81917928"/>
                            <w:r w:rsidRPr="008122C1">
                              <w:rPr>
                                <w:color w:val="FFFFFF" w:themeColor="background1"/>
                                <w:sz w:val="72"/>
                                <w:szCs w:val="72"/>
                              </w:rPr>
                              <w:t>Scaffolding Update</w:t>
                            </w:r>
                            <w:bookmarkEnd w:id="27"/>
                            <w:r w:rsidRPr="008122C1">
                              <w:rPr>
                                <w:color w:val="FFFFFF" w:themeColor="background1"/>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7A26F" id="_x0000_s1036" type="#_x0000_t202" style="position:absolute;margin-left:635.3pt;margin-top:251.5pt;width:686.5pt;height:77.35pt;z-index:251770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" filled="f" stroked="f">
                <v:textbox>
                  <w:txbxContent>
                    <w:p w14:paraId="56154E18" w14:textId="77777777" w:rsidR="00762C79" w:rsidRPr="008122C1" w:rsidRDefault="00762C79" w:rsidP="008122C1">
                      <w:pPr>
                        <w:pStyle w:val="Heading1"/>
                        <w:jc w:val="right"/>
                        <w:rPr>
                          <w:color w:val="FFFFFF" w:themeColor="background1"/>
                          <w:sz w:val="72"/>
                          <w:szCs w:val="72"/>
                        </w:rPr>
                      </w:pPr>
                      <w:bookmarkStart w:id="28" w:name="_Toc81917928"/>
                      <w:r w:rsidRPr="008122C1">
                        <w:rPr>
                          <w:color w:val="FFFFFF" w:themeColor="background1"/>
                          <w:sz w:val="72"/>
                          <w:szCs w:val="72"/>
                        </w:rPr>
                        <w:t>Scaffolding Update</w:t>
                      </w:r>
                      <w:bookmarkEnd w:id="28"/>
                      <w:r w:rsidRPr="008122C1">
                        <w:rPr>
                          <w:color w:val="FFFFFF" w:themeColor="background1"/>
                          <w:sz w:val="72"/>
                          <w:szCs w:val="72"/>
                        </w:rPr>
                        <w:t xml:space="preserve"> </w:t>
                      </w:r>
                    </w:p>
                  </w:txbxContent>
                </v:textbox>
                <w10:wrap type="square" anchorx="margin"/>
              </v:shape>
            </w:pict>
          </mc:Fallback>
        </mc:AlternateContent>
      </w:r>
      <w:r>
        <w:rPr>
          <w:noProof/>
          <w:lang w:eastAsia="en-AU"/>
        </w:rPr>
        <w:drawing>
          <wp:anchor distT="0" distB="0" distL="114300" distR="114300" simplePos="0" relativeHeight="251768320" behindDoc="1" locked="0" layoutInCell="1" allowOverlap="1" wp14:anchorId="6BBC76DD" wp14:editId="3828DD78">
            <wp:simplePos x="0" y="0"/>
            <wp:positionH relativeFrom="margin">
              <wp:align>right</wp:align>
            </wp:positionH>
            <wp:positionV relativeFrom="paragraph">
              <wp:posOffset>-5937</wp:posOffset>
            </wp:positionV>
            <wp:extent cx="1615440" cy="1615440"/>
            <wp:effectExtent l="0" t="0" r="3810" b="3810"/>
            <wp:wrapNone/>
            <wp:docPr id="138" name="Picture 138" descr="OFSC Symbol Red &amp; White opaque surround"/>
            <wp:cNvGraphicFramePr/>
            <a:graphic xmlns:a="http://schemas.openxmlformats.org/drawingml/2006/main">
              <a:graphicData uri="http://schemas.openxmlformats.org/drawingml/2006/picture">
                <pic:pic xmlns:pic="http://schemas.openxmlformats.org/drawingml/2006/picture">
                  <pic:nvPicPr>
                    <pic:cNvPr id="7" name="Picture 7" descr="OFSC Symbol Red &amp; White opaque surround"/>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pic:spPr>
                </pic:pic>
              </a:graphicData>
            </a:graphic>
            <wp14:sizeRelH relativeFrom="page">
              <wp14:pctWidth>0</wp14:pctWidth>
            </wp14:sizeRelH>
            <wp14:sizeRelV relativeFrom="page">
              <wp14:pctHeight>0</wp14:pctHeight>
            </wp14:sizeRelV>
          </wp:anchor>
        </w:drawing>
      </w:r>
      <w:r w:rsidRPr="004C1825">
        <w:rPr>
          <w:noProof/>
          <w:sz w:val="56"/>
          <w:szCs w:val="56"/>
          <w:lang w:eastAsia="en-AU"/>
        </w:rPr>
        <w:drawing>
          <wp:anchor distT="0" distB="0" distL="114300" distR="114300" simplePos="0" relativeHeight="251766272" behindDoc="1" locked="0" layoutInCell="1" allowOverlap="1" wp14:anchorId="12C50EB3" wp14:editId="2CD1B528">
            <wp:simplePos x="0" y="0"/>
            <wp:positionH relativeFrom="page">
              <wp:align>right</wp:align>
            </wp:positionH>
            <wp:positionV relativeFrom="paragraph">
              <wp:posOffset>-1387920</wp:posOffset>
            </wp:positionV>
            <wp:extent cx="11296650" cy="8474710"/>
            <wp:effectExtent l="0" t="0" r="0" b="2540"/>
            <wp:wrapNone/>
            <wp:docPr id="137" name="Picture 137" descr="Decorative"/>
            <wp:cNvGraphicFramePr/>
            <a:graphic xmlns:a="http://schemas.openxmlformats.org/drawingml/2006/main">
              <a:graphicData uri="http://schemas.openxmlformats.org/drawingml/2006/picture">
                <pic:pic xmlns:pic="http://schemas.openxmlformats.org/drawingml/2006/picture">
                  <pic:nvPicPr>
                    <pic:cNvPr id="3" name="Picture 3" descr="Decorative"/>
                    <pic:cNvPicPr/>
                  </pic:nvPicPr>
                  <pic:blipFill>
                    <a:blip r:embed="rId10">
                      <a:extLst>
                        <a:ext uri="{28A0092B-C50C-407E-A947-70E740481C1C}">
                          <a14:useLocalDpi xmlns:a14="http://schemas.microsoft.com/office/drawing/2010/main" val="0"/>
                        </a:ext>
                      </a:extLst>
                    </a:blip>
                    <a:stretch>
                      <a:fillRect/>
                    </a:stretch>
                  </pic:blipFill>
                  <pic:spPr bwMode="auto">
                    <a:xfrm>
                      <a:off x="0" y="0"/>
                      <a:ext cx="11296650" cy="847471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65BCE48" w14:textId="2787E448" w:rsidR="00E9251F" w:rsidRPr="009B7C34" w:rsidRDefault="00D54AB3" w:rsidP="009078DC">
      <w:pPr>
        <w:pStyle w:val="Heading1"/>
      </w:pPr>
      <w:bookmarkStart w:id="29" w:name="_Toc81917929"/>
      <w:r>
        <w:rPr>
          <w:noProof/>
          <w:lang w:val="en-AU" w:eastAsia="en-AU"/>
        </w:rPr>
        <w:lastRenderedPageBreak/>
        <w:drawing>
          <wp:anchor distT="0" distB="0" distL="114300" distR="114300" simplePos="0" relativeHeight="251705856" behindDoc="1" locked="0" layoutInCell="1" allowOverlap="1" wp14:anchorId="3FF024D5" wp14:editId="3C7E34EF">
            <wp:simplePos x="0" y="0"/>
            <wp:positionH relativeFrom="column">
              <wp:posOffset>5238749</wp:posOffset>
            </wp:positionH>
            <wp:positionV relativeFrom="paragraph">
              <wp:posOffset>1398905</wp:posOffset>
            </wp:positionV>
            <wp:extent cx="4632325" cy="5062855"/>
            <wp:effectExtent l="0" t="0" r="0" b="4445"/>
            <wp:wrapNone/>
            <wp:docPr id="25" name="Chart 25">
              <a:extLst xmlns:a="http://schemas.openxmlformats.org/drawingml/2006/main">
                <a:ext uri="{FF2B5EF4-FFF2-40B4-BE49-F238E27FC236}">
                  <a16:creationId xmlns:a16="http://schemas.microsoft.com/office/drawing/2014/main" id="{4ED2C077-6FF1-4545-8DBA-86FD51B049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DF7CA9">
        <w:rPr>
          <w:noProof/>
          <w:lang w:val="en-AU" w:eastAsia="en-AU"/>
        </w:rPr>
        <mc:AlternateContent>
          <mc:Choice Requires="wps">
            <w:drawing>
              <wp:anchor distT="0" distB="0" distL="114300" distR="114300" simplePos="0" relativeHeight="251707904" behindDoc="0" locked="0" layoutInCell="1" allowOverlap="1" wp14:anchorId="041F87FE" wp14:editId="18D69B5C">
                <wp:simplePos x="0" y="0"/>
                <wp:positionH relativeFrom="column">
                  <wp:posOffset>5132070</wp:posOffset>
                </wp:positionH>
                <wp:positionV relativeFrom="paragraph">
                  <wp:posOffset>430854</wp:posOffset>
                </wp:positionV>
                <wp:extent cx="4563074" cy="112966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563074" cy="1129665"/>
                        </a:xfrm>
                        <a:prstGeom prst="rect">
                          <a:avLst/>
                        </a:prstGeom>
                        <a:noFill/>
                        <a:ln w="6350">
                          <a:noFill/>
                        </a:ln>
                      </wps:spPr>
                      <wps:txbx>
                        <w:txbxContent>
                          <w:p w14:paraId="667CEEEB" w14:textId="77777777" w:rsidR="00762C79" w:rsidRPr="002111CC" w:rsidRDefault="00762C79" w:rsidP="00D71C4E">
                            <w:pPr>
                              <w:pStyle w:val="ListParagraph"/>
                              <w:numPr>
                                <w:ilvl w:val="0"/>
                                <w:numId w:val="2"/>
                              </w:numPr>
                              <w:ind w:left="426" w:hanging="284"/>
                              <w:rPr>
                                <w:sz w:val="24"/>
                                <w:szCs w:val="24"/>
                                <w:lang w:val="en-US"/>
                              </w:rPr>
                            </w:pPr>
                            <w:r w:rsidRPr="002111CC">
                              <w:rPr>
                                <w:sz w:val="24"/>
                                <w:szCs w:val="24"/>
                                <w:lang w:val="en-US"/>
                              </w:rPr>
                              <w:t xml:space="preserve">The OFSC have reviewed </w:t>
                            </w:r>
                            <w:r w:rsidRPr="002111CC">
                              <w:rPr>
                                <w:b/>
                                <w:bCs/>
                                <w:sz w:val="24"/>
                                <w:szCs w:val="24"/>
                                <w:lang w:val="en-US"/>
                              </w:rPr>
                              <w:t>531</w:t>
                            </w:r>
                            <w:r w:rsidRPr="002111CC">
                              <w:rPr>
                                <w:sz w:val="24"/>
                                <w:szCs w:val="24"/>
                                <w:lang w:val="en-US"/>
                              </w:rPr>
                              <w:t xml:space="preserve"> scaffolding sub-criteria, issuing </w:t>
                            </w:r>
                            <w:r w:rsidRPr="002111CC">
                              <w:rPr>
                                <w:b/>
                                <w:bCs/>
                                <w:sz w:val="24"/>
                                <w:szCs w:val="24"/>
                                <w:lang w:val="en-US"/>
                              </w:rPr>
                              <w:t>156</w:t>
                            </w:r>
                            <w:r w:rsidRPr="002111CC">
                              <w:rPr>
                                <w:sz w:val="24"/>
                                <w:szCs w:val="24"/>
                                <w:lang w:val="en-US"/>
                              </w:rPr>
                              <w:t xml:space="preserve"> CARs</w:t>
                            </w:r>
                            <w:r>
                              <w:rPr>
                                <w:sz w:val="24"/>
                                <w:szCs w:val="24"/>
                                <w:lang w:val="en-US"/>
                              </w:rPr>
                              <w:t xml:space="preserve"> during Hazard 2020</w:t>
                            </w:r>
                            <w:r w:rsidRPr="002111CC">
                              <w:rPr>
                                <w:sz w:val="24"/>
                                <w:szCs w:val="24"/>
                                <w:lang w:val="en-US"/>
                              </w:rPr>
                              <w:t>.</w:t>
                            </w:r>
                          </w:p>
                          <w:p w14:paraId="61E69944" w14:textId="70C266DB" w:rsidR="00762C79" w:rsidRPr="009373FD" w:rsidRDefault="00762C79" w:rsidP="00D71C4E">
                            <w:pPr>
                              <w:pStyle w:val="ListParagraph"/>
                              <w:numPr>
                                <w:ilvl w:val="0"/>
                                <w:numId w:val="2"/>
                              </w:numPr>
                              <w:ind w:left="426" w:hanging="284"/>
                              <w:rPr>
                                <w:b/>
                                <w:bCs/>
                                <w:sz w:val="24"/>
                                <w:szCs w:val="24"/>
                                <w:lang w:val="en-US"/>
                              </w:rPr>
                            </w:pPr>
                            <w:r>
                              <w:rPr>
                                <w:sz w:val="24"/>
                                <w:szCs w:val="24"/>
                                <w:lang w:val="en-US"/>
                              </w:rPr>
                              <w:t xml:space="preserve">Non-compliance with </w:t>
                            </w:r>
                            <w:r w:rsidRPr="00C37A38">
                              <w:rPr>
                                <w:sz w:val="24"/>
                                <w:szCs w:val="24"/>
                                <w:lang w:val="en-US"/>
                              </w:rPr>
                              <w:t xml:space="preserve">scaffolding </w:t>
                            </w:r>
                            <w:r>
                              <w:rPr>
                                <w:sz w:val="24"/>
                                <w:szCs w:val="24"/>
                                <w:lang w:val="en-US"/>
                              </w:rPr>
                              <w:t xml:space="preserve">sub-criteria </w:t>
                            </w:r>
                            <w:r w:rsidRPr="00C37A38">
                              <w:rPr>
                                <w:sz w:val="24"/>
                                <w:szCs w:val="24"/>
                                <w:lang w:val="en-US"/>
                              </w:rPr>
                              <w:t>during</w:t>
                            </w:r>
                            <w:r w:rsidRPr="002111CC">
                              <w:rPr>
                                <w:sz w:val="24"/>
                                <w:szCs w:val="24"/>
                                <w:lang w:val="en-US"/>
                              </w:rPr>
                              <w:t xml:space="preserve"> </w:t>
                            </w:r>
                            <w:r>
                              <w:rPr>
                                <w:sz w:val="24"/>
                                <w:szCs w:val="24"/>
                                <w:lang w:val="en-US"/>
                              </w:rPr>
                              <w:t>this period</w:t>
                            </w:r>
                            <w:r w:rsidRPr="002111CC">
                              <w:rPr>
                                <w:sz w:val="24"/>
                                <w:szCs w:val="24"/>
                                <w:lang w:val="en-US"/>
                              </w:rPr>
                              <w:t xml:space="preserve"> is </w:t>
                            </w:r>
                            <w:r w:rsidRPr="002111CC">
                              <w:rPr>
                                <w:b/>
                                <w:bCs/>
                                <w:sz w:val="24"/>
                                <w:szCs w:val="24"/>
                                <w:lang w:val="en-US"/>
                              </w:rPr>
                              <w:t>29.</w:t>
                            </w:r>
                            <w:r>
                              <w:rPr>
                                <w:b/>
                                <w:bCs/>
                                <w:sz w:val="24"/>
                                <w:szCs w:val="24"/>
                                <w:lang w:val="en-US"/>
                              </w:rPr>
                              <w:t>5 per cent</w:t>
                            </w:r>
                            <w:r w:rsidRPr="002111CC">
                              <w:rPr>
                                <w:sz w:val="24"/>
                                <w:szCs w:val="24"/>
                                <w:lang w:val="en-US"/>
                              </w:rPr>
                              <w:t xml:space="preserve">, which is </w:t>
                            </w:r>
                            <w:r w:rsidRPr="002111CC">
                              <w:rPr>
                                <w:b/>
                                <w:bCs/>
                                <w:sz w:val="24"/>
                                <w:szCs w:val="24"/>
                                <w:lang w:val="en-US"/>
                              </w:rPr>
                              <w:t>0.</w:t>
                            </w:r>
                            <w:r>
                              <w:rPr>
                                <w:b/>
                                <w:bCs/>
                                <w:sz w:val="24"/>
                                <w:szCs w:val="24"/>
                                <w:lang w:val="en-US"/>
                              </w:rPr>
                              <w:t>6</w:t>
                            </w:r>
                            <w:r w:rsidRPr="002111CC">
                              <w:rPr>
                                <w:sz w:val="24"/>
                                <w:szCs w:val="24"/>
                                <w:lang w:val="en-US"/>
                              </w:rPr>
                              <w:t xml:space="preserve"> per cent points lower than the previous three-year average from</w:t>
                            </w:r>
                            <w:r>
                              <w:rPr>
                                <w:sz w:val="24"/>
                                <w:szCs w:val="24"/>
                                <w:lang w:val="en-US"/>
                              </w:rPr>
                              <w:t xml:space="preserve"> </w:t>
                            </w:r>
                            <w:r w:rsidRPr="009373FD">
                              <w:rPr>
                                <w:sz w:val="24"/>
                                <w:szCs w:val="24"/>
                                <w:lang w:val="en-US"/>
                              </w:rPr>
                              <w:t>2017-2019.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F87FE" id="Text Box 35" o:spid="_x0000_s1037" type="#_x0000_t202" style="position:absolute;margin-left:404.1pt;margin-top:33.95pt;width:359.3pt;height:88.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" filled="f" stroked="f" strokeweight=".5pt">
                <v:textbox>
                  <w:txbxContent>
                    <w:p w14:paraId="667CEEEB" w14:textId="77777777" w:rsidR="00762C79" w:rsidRPr="002111CC" w:rsidRDefault="00762C79" w:rsidP="00D71C4E">
                      <w:pPr>
                        <w:pStyle w:val="ListParagraph"/>
                        <w:numPr>
                          <w:ilvl w:val="0"/>
                          <w:numId w:val="2"/>
                        </w:numPr>
                        <w:ind w:left="426" w:hanging="284"/>
                        <w:rPr>
                          <w:sz w:val="24"/>
                          <w:szCs w:val="24"/>
                          <w:lang w:val="en-US"/>
                        </w:rPr>
                      </w:pPr>
                      <w:r w:rsidRPr="002111CC">
                        <w:rPr>
                          <w:sz w:val="24"/>
                          <w:szCs w:val="24"/>
                          <w:lang w:val="en-US"/>
                        </w:rPr>
                        <w:t xml:space="preserve">The OFSC have reviewed </w:t>
                      </w:r>
                      <w:r w:rsidRPr="002111CC">
                        <w:rPr>
                          <w:b/>
                          <w:bCs/>
                          <w:sz w:val="24"/>
                          <w:szCs w:val="24"/>
                          <w:lang w:val="en-US"/>
                        </w:rPr>
                        <w:t>531</w:t>
                      </w:r>
                      <w:r w:rsidRPr="002111CC">
                        <w:rPr>
                          <w:sz w:val="24"/>
                          <w:szCs w:val="24"/>
                          <w:lang w:val="en-US"/>
                        </w:rPr>
                        <w:t xml:space="preserve"> scaffolding sub-criteria, issuing </w:t>
                      </w:r>
                      <w:r w:rsidRPr="002111CC">
                        <w:rPr>
                          <w:b/>
                          <w:bCs/>
                          <w:sz w:val="24"/>
                          <w:szCs w:val="24"/>
                          <w:lang w:val="en-US"/>
                        </w:rPr>
                        <w:t>156</w:t>
                      </w:r>
                      <w:r w:rsidRPr="002111CC">
                        <w:rPr>
                          <w:sz w:val="24"/>
                          <w:szCs w:val="24"/>
                          <w:lang w:val="en-US"/>
                        </w:rPr>
                        <w:t xml:space="preserve"> CARs</w:t>
                      </w:r>
                      <w:r>
                        <w:rPr>
                          <w:sz w:val="24"/>
                          <w:szCs w:val="24"/>
                          <w:lang w:val="en-US"/>
                        </w:rPr>
                        <w:t xml:space="preserve"> during Hazard 2020</w:t>
                      </w:r>
                      <w:r w:rsidRPr="002111CC">
                        <w:rPr>
                          <w:sz w:val="24"/>
                          <w:szCs w:val="24"/>
                          <w:lang w:val="en-US"/>
                        </w:rPr>
                        <w:t>.</w:t>
                      </w:r>
                    </w:p>
                    <w:p w14:paraId="61E69944" w14:textId="70C266DB" w:rsidR="00762C79" w:rsidRPr="009373FD" w:rsidRDefault="00762C79" w:rsidP="00D71C4E">
                      <w:pPr>
                        <w:pStyle w:val="ListParagraph"/>
                        <w:numPr>
                          <w:ilvl w:val="0"/>
                          <w:numId w:val="2"/>
                        </w:numPr>
                        <w:ind w:left="426" w:hanging="284"/>
                        <w:rPr>
                          <w:b/>
                          <w:bCs/>
                          <w:sz w:val="24"/>
                          <w:szCs w:val="24"/>
                          <w:lang w:val="en-US"/>
                        </w:rPr>
                      </w:pPr>
                      <w:r>
                        <w:rPr>
                          <w:sz w:val="24"/>
                          <w:szCs w:val="24"/>
                          <w:lang w:val="en-US"/>
                        </w:rPr>
                        <w:t xml:space="preserve">Non-compliance with </w:t>
                      </w:r>
                      <w:r w:rsidRPr="00C37A38">
                        <w:rPr>
                          <w:sz w:val="24"/>
                          <w:szCs w:val="24"/>
                          <w:lang w:val="en-US"/>
                        </w:rPr>
                        <w:t xml:space="preserve">scaffolding </w:t>
                      </w:r>
                      <w:r>
                        <w:rPr>
                          <w:sz w:val="24"/>
                          <w:szCs w:val="24"/>
                          <w:lang w:val="en-US"/>
                        </w:rPr>
                        <w:t xml:space="preserve">sub-criteria </w:t>
                      </w:r>
                      <w:r w:rsidRPr="00C37A38">
                        <w:rPr>
                          <w:sz w:val="24"/>
                          <w:szCs w:val="24"/>
                          <w:lang w:val="en-US"/>
                        </w:rPr>
                        <w:t>during</w:t>
                      </w:r>
                      <w:r w:rsidRPr="002111CC">
                        <w:rPr>
                          <w:sz w:val="24"/>
                          <w:szCs w:val="24"/>
                          <w:lang w:val="en-US"/>
                        </w:rPr>
                        <w:t xml:space="preserve"> </w:t>
                      </w:r>
                      <w:r>
                        <w:rPr>
                          <w:sz w:val="24"/>
                          <w:szCs w:val="24"/>
                          <w:lang w:val="en-US"/>
                        </w:rPr>
                        <w:t>this period</w:t>
                      </w:r>
                      <w:r w:rsidRPr="002111CC">
                        <w:rPr>
                          <w:sz w:val="24"/>
                          <w:szCs w:val="24"/>
                          <w:lang w:val="en-US"/>
                        </w:rPr>
                        <w:t xml:space="preserve"> is </w:t>
                      </w:r>
                      <w:r w:rsidRPr="002111CC">
                        <w:rPr>
                          <w:b/>
                          <w:bCs/>
                          <w:sz w:val="24"/>
                          <w:szCs w:val="24"/>
                          <w:lang w:val="en-US"/>
                        </w:rPr>
                        <w:t>29.</w:t>
                      </w:r>
                      <w:r>
                        <w:rPr>
                          <w:b/>
                          <w:bCs/>
                          <w:sz w:val="24"/>
                          <w:szCs w:val="24"/>
                          <w:lang w:val="en-US"/>
                        </w:rPr>
                        <w:t>5 per cent</w:t>
                      </w:r>
                      <w:r w:rsidRPr="002111CC">
                        <w:rPr>
                          <w:sz w:val="24"/>
                          <w:szCs w:val="24"/>
                          <w:lang w:val="en-US"/>
                        </w:rPr>
                        <w:t xml:space="preserve">, which is </w:t>
                      </w:r>
                      <w:r w:rsidRPr="002111CC">
                        <w:rPr>
                          <w:b/>
                          <w:bCs/>
                          <w:sz w:val="24"/>
                          <w:szCs w:val="24"/>
                          <w:lang w:val="en-US"/>
                        </w:rPr>
                        <w:t>0.</w:t>
                      </w:r>
                      <w:r>
                        <w:rPr>
                          <w:b/>
                          <w:bCs/>
                          <w:sz w:val="24"/>
                          <w:szCs w:val="24"/>
                          <w:lang w:val="en-US"/>
                        </w:rPr>
                        <w:t>6</w:t>
                      </w:r>
                      <w:r w:rsidRPr="002111CC">
                        <w:rPr>
                          <w:sz w:val="24"/>
                          <w:szCs w:val="24"/>
                          <w:lang w:val="en-US"/>
                        </w:rPr>
                        <w:t xml:space="preserve"> per cent points lower than the previous three-year average from</w:t>
                      </w:r>
                      <w:r>
                        <w:rPr>
                          <w:sz w:val="24"/>
                          <w:szCs w:val="24"/>
                          <w:lang w:val="en-US"/>
                        </w:rPr>
                        <w:t xml:space="preserve"> </w:t>
                      </w:r>
                      <w:r w:rsidRPr="009373FD">
                        <w:rPr>
                          <w:sz w:val="24"/>
                          <w:szCs w:val="24"/>
                          <w:lang w:val="en-US"/>
                        </w:rPr>
                        <w:t>2017-2019.</w:t>
                      </w:r>
                    </w:p>
                  </w:txbxContent>
                </v:textbox>
              </v:shape>
            </w:pict>
          </mc:Fallback>
        </mc:AlternateContent>
      </w:r>
      <w:r w:rsidR="00E9251F">
        <w:t>Scaffolding – Corrective Action Reports Issued</w:t>
      </w:r>
      <w:bookmarkEnd w:id="29"/>
    </w:p>
    <w:tbl>
      <w:tblPr>
        <w:tblpPr w:leftFromText="180" w:rightFromText="180" w:vertAnchor="text" w:tblpY="1"/>
        <w:tblOverlap w:val="never"/>
        <w:tblW w:w="7933" w:type="dxa"/>
        <w:tblLook w:val="04A0" w:firstRow="1" w:lastRow="0" w:firstColumn="1" w:lastColumn="0" w:noHBand="0" w:noVBand="1"/>
      </w:tblPr>
      <w:tblGrid>
        <w:gridCol w:w="992"/>
        <w:gridCol w:w="6941"/>
      </w:tblGrid>
      <w:tr w:rsidR="00FA1AC8" w:rsidRPr="007F78C4" w14:paraId="2DC3EAB0" w14:textId="77777777" w:rsidTr="00D54AB3">
        <w:trPr>
          <w:trHeight w:val="414"/>
        </w:trPr>
        <w:tc>
          <w:tcPr>
            <w:tcW w:w="7933" w:type="dxa"/>
            <w:gridSpan w:val="2"/>
            <w:tcBorders>
              <w:top w:val="single" w:sz="4" w:space="0" w:color="auto"/>
              <w:left w:val="single" w:sz="4" w:space="0" w:color="auto"/>
              <w:bottom w:val="single" w:sz="4" w:space="0" w:color="auto"/>
              <w:right w:val="single" w:sz="4" w:space="0" w:color="auto"/>
            </w:tcBorders>
            <w:shd w:val="clear" w:color="auto" w:fill="C00000"/>
            <w:noWrap/>
            <w:vAlign w:val="center"/>
          </w:tcPr>
          <w:p w14:paraId="4B0584C9" w14:textId="77777777" w:rsidR="00FA1AC8" w:rsidRPr="007F78C4" w:rsidRDefault="00FA1AC8">
            <w:pPr>
              <w:jc w:val="center"/>
              <w:rPr>
                <w:rFonts w:ascii="Calibri" w:eastAsia="Times New Roman" w:hAnsi="Calibri" w:cs="Calibri"/>
                <w:color w:val="000000"/>
                <w:sz w:val="28"/>
                <w:szCs w:val="28"/>
                <w:lang w:eastAsia="en-AU"/>
              </w:rPr>
            </w:pPr>
            <w:r w:rsidRPr="007F78C4">
              <w:rPr>
                <w:b/>
                <w:bCs/>
                <w:sz w:val="28"/>
                <w:szCs w:val="28"/>
                <w:lang w:val="en-US"/>
              </w:rPr>
              <w:t>Scaffolding Sub-criteria Definitions</w:t>
            </w:r>
          </w:p>
        </w:tc>
      </w:tr>
      <w:tr w:rsidR="00FA1AC8" w:rsidRPr="007F78C4" w14:paraId="75BBA604" w14:textId="77777777" w:rsidTr="00D54AB3">
        <w:trPr>
          <w:trHeight w:val="624"/>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F2958" w14:textId="77777777" w:rsidR="00FA1AC8" w:rsidRPr="007F78C4" w:rsidRDefault="00FA1AC8">
            <w:pPr>
              <w:jc w:val="center"/>
              <w:rPr>
                <w:rFonts w:ascii="Calibri" w:eastAsia="Times New Roman" w:hAnsi="Calibri" w:cs="Calibri"/>
                <w:b/>
                <w:bCs/>
                <w:color w:val="000000"/>
                <w:lang w:eastAsia="en-AU"/>
              </w:rPr>
            </w:pPr>
            <w:r w:rsidRPr="007F78C4">
              <w:rPr>
                <w:rFonts w:ascii="Calibri" w:eastAsia="Times New Roman" w:hAnsi="Calibri" w:cs="Calibri"/>
                <w:b/>
                <w:bCs/>
                <w:color w:val="000000"/>
                <w:lang w:eastAsia="en-AU"/>
              </w:rPr>
              <w:t>H1.1</w:t>
            </w:r>
          </w:p>
        </w:tc>
        <w:tc>
          <w:tcPr>
            <w:tcW w:w="6941" w:type="dxa"/>
            <w:tcBorders>
              <w:top w:val="single" w:sz="4" w:space="0" w:color="auto"/>
              <w:left w:val="nil"/>
              <w:bottom w:val="single" w:sz="4" w:space="0" w:color="auto"/>
              <w:right w:val="single" w:sz="4" w:space="0" w:color="auto"/>
            </w:tcBorders>
            <w:shd w:val="clear" w:color="auto" w:fill="auto"/>
            <w:noWrap/>
            <w:vAlign w:val="center"/>
          </w:tcPr>
          <w:p w14:paraId="70B1F2C7" w14:textId="77777777" w:rsidR="00FA1AC8" w:rsidRPr="007F78C4" w:rsidRDefault="00FA1AC8">
            <w:pPr>
              <w:rPr>
                <w:rFonts w:ascii="Calibri" w:eastAsia="Times New Roman" w:hAnsi="Calibri" w:cs="Calibri"/>
                <w:color w:val="000000"/>
                <w:sz w:val="20"/>
                <w:szCs w:val="20"/>
                <w:lang w:eastAsia="en-AU"/>
              </w:rPr>
            </w:pPr>
            <w:r w:rsidRPr="007F78C4">
              <w:rPr>
                <w:rFonts w:ascii="Calibri" w:eastAsia="Times New Roman" w:hAnsi="Calibri" w:cs="Calibri"/>
                <w:color w:val="000000"/>
                <w:sz w:val="20"/>
                <w:szCs w:val="20"/>
                <w:lang w:eastAsia="en-AU"/>
              </w:rPr>
              <w:t>The risks associated with the potential for a person falling are identified, assessed and controlled in accordance with the Falls from Height Hierarchy of Control.</w:t>
            </w:r>
          </w:p>
        </w:tc>
      </w:tr>
      <w:tr w:rsidR="00FA1AC8" w:rsidRPr="007F78C4" w14:paraId="2FA36F03" w14:textId="77777777" w:rsidTr="00D54AB3">
        <w:trPr>
          <w:trHeight w:val="624"/>
        </w:trPr>
        <w:tc>
          <w:tcPr>
            <w:tcW w:w="992" w:type="dxa"/>
            <w:tcBorders>
              <w:top w:val="nil"/>
              <w:left w:val="single" w:sz="4" w:space="0" w:color="auto"/>
              <w:bottom w:val="single" w:sz="4" w:space="0" w:color="auto"/>
              <w:right w:val="single" w:sz="4" w:space="0" w:color="auto"/>
            </w:tcBorders>
            <w:shd w:val="clear" w:color="auto" w:fill="EEECE1" w:themeFill="background2"/>
            <w:noWrap/>
            <w:vAlign w:val="center"/>
          </w:tcPr>
          <w:p w14:paraId="3ADCCCAF" w14:textId="77777777" w:rsidR="00FA1AC8" w:rsidRPr="007F78C4" w:rsidRDefault="00FA1AC8">
            <w:pPr>
              <w:jc w:val="center"/>
              <w:rPr>
                <w:rFonts w:ascii="Calibri" w:eastAsia="Times New Roman" w:hAnsi="Calibri" w:cs="Calibri"/>
                <w:b/>
                <w:bCs/>
                <w:color w:val="000000"/>
                <w:lang w:eastAsia="en-AU"/>
              </w:rPr>
            </w:pPr>
            <w:r w:rsidRPr="007F78C4">
              <w:rPr>
                <w:rFonts w:ascii="Calibri" w:eastAsia="Times New Roman" w:hAnsi="Calibri" w:cs="Calibri"/>
                <w:b/>
                <w:bCs/>
                <w:color w:val="000000"/>
                <w:lang w:eastAsia="en-AU"/>
              </w:rPr>
              <w:t>H1.4</w:t>
            </w:r>
          </w:p>
        </w:tc>
        <w:tc>
          <w:tcPr>
            <w:tcW w:w="6941" w:type="dxa"/>
            <w:tcBorders>
              <w:top w:val="nil"/>
              <w:left w:val="nil"/>
              <w:bottom w:val="single" w:sz="4" w:space="0" w:color="auto"/>
              <w:right w:val="single" w:sz="4" w:space="0" w:color="auto"/>
            </w:tcBorders>
            <w:shd w:val="clear" w:color="auto" w:fill="EEECE1" w:themeFill="background2"/>
            <w:noWrap/>
            <w:vAlign w:val="center"/>
          </w:tcPr>
          <w:p w14:paraId="43A51856" w14:textId="77777777" w:rsidR="00FA1AC8" w:rsidRPr="007F78C4" w:rsidRDefault="00FA1AC8">
            <w:pPr>
              <w:rPr>
                <w:rFonts w:ascii="Calibri" w:eastAsia="Times New Roman" w:hAnsi="Calibri" w:cs="Calibri"/>
                <w:color w:val="000000"/>
                <w:sz w:val="20"/>
                <w:szCs w:val="20"/>
                <w:lang w:eastAsia="en-AU"/>
              </w:rPr>
            </w:pPr>
            <w:r w:rsidRPr="007F78C4">
              <w:rPr>
                <w:rFonts w:ascii="Calibri" w:eastAsia="Times New Roman" w:hAnsi="Calibri" w:cs="Calibri"/>
                <w:color w:val="000000"/>
                <w:sz w:val="20"/>
                <w:szCs w:val="20"/>
                <w:lang w:eastAsia="en-AU"/>
              </w:rPr>
              <w:t>Safe systems of work have been developed to ensure that where fall restraint/fall arrest equipment is being used on site: workers have been formally trained in the use of such equipment; there is a maintenance and inspection schedule for the equipment; attachment points are designed and certified by a qualified person; and attachment points are installed by a trained person and regularly inspected by a competent person.</w:t>
            </w:r>
          </w:p>
        </w:tc>
      </w:tr>
      <w:tr w:rsidR="00FA1AC8" w:rsidRPr="007F78C4" w14:paraId="69008C96" w14:textId="77777777" w:rsidTr="00D54AB3">
        <w:trPr>
          <w:trHeight w:val="624"/>
        </w:trPr>
        <w:tc>
          <w:tcPr>
            <w:tcW w:w="992" w:type="dxa"/>
            <w:tcBorders>
              <w:top w:val="nil"/>
              <w:left w:val="single" w:sz="4" w:space="0" w:color="auto"/>
              <w:bottom w:val="single" w:sz="4" w:space="0" w:color="auto"/>
              <w:right w:val="single" w:sz="4" w:space="0" w:color="auto"/>
            </w:tcBorders>
            <w:shd w:val="clear" w:color="auto" w:fill="auto"/>
            <w:noWrap/>
            <w:vAlign w:val="center"/>
          </w:tcPr>
          <w:p w14:paraId="2BE6A2C7" w14:textId="77777777" w:rsidR="00FA1AC8" w:rsidRPr="007F78C4" w:rsidRDefault="00FA1AC8">
            <w:pPr>
              <w:jc w:val="center"/>
              <w:rPr>
                <w:rFonts w:ascii="Calibri" w:eastAsia="Times New Roman" w:hAnsi="Calibri" w:cs="Calibri"/>
                <w:b/>
                <w:bCs/>
                <w:color w:val="000000"/>
                <w:lang w:eastAsia="en-AU"/>
              </w:rPr>
            </w:pPr>
            <w:r w:rsidRPr="007F78C4">
              <w:rPr>
                <w:rFonts w:ascii="Calibri" w:eastAsia="Times New Roman" w:hAnsi="Calibri" w:cs="Calibri"/>
                <w:b/>
                <w:bCs/>
                <w:color w:val="000000"/>
                <w:lang w:eastAsia="en-AU"/>
              </w:rPr>
              <w:t>H1.6</w:t>
            </w:r>
          </w:p>
        </w:tc>
        <w:tc>
          <w:tcPr>
            <w:tcW w:w="6941" w:type="dxa"/>
            <w:tcBorders>
              <w:top w:val="nil"/>
              <w:left w:val="nil"/>
              <w:bottom w:val="single" w:sz="4" w:space="0" w:color="auto"/>
              <w:right w:val="single" w:sz="4" w:space="0" w:color="auto"/>
            </w:tcBorders>
            <w:shd w:val="clear" w:color="auto" w:fill="auto"/>
            <w:noWrap/>
            <w:vAlign w:val="center"/>
          </w:tcPr>
          <w:p w14:paraId="49FF7A38" w14:textId="77777777" w:rsidR="00FA1AC8" w:rsidRPr="007F78C4" w:rsidRDefault="00FA1AC8">
            <w:pPr>
              <w:rPr>
                <w:rFonts w:ascii="Calibri" w:eastAsia="Times New Roman" w:hAnsi="Calibri" w:cs="Calibri"/>
                <w:color w:val="000000"/>
                <w:sz w:val="20"/>
                <w:szCs w:val="20"/>
                <w:lang w:eastAsia="en-AU"/>
              </w:rPr>
            </w:pPr>
            <w:r w:rsidRPr="007F78C4">
              <w:rPr>
                <w:rFonts w:ascii="Calibri" w:eastAsia="Times New Roman" w:hAnsi="Calibri" w:cs="Calibri"/>
                <w:color w:val="000000"/>
                <w:sz w:val="20"/>
                <w:szCs w:val="20"/>
                <w:lang w:eastAsia="en-AU"/>
              </w:rPr>
              <w:t>The system ensures that there is safe access and egress for all areas where work at heights is being undertaken.</w:t>
            </w:r>
          </w:p>
        </w:tc>
      </w:tr>
      <w:tr w:rsidR="00FA1AC8" w:rsidRPr="007F78C4" w14:paraId="4042BAC9" w14:textId="77777777" w:rsidTr="00D54AB3">
        <w:trPr>
          <w:trHeight w:val="624"/>
        </w:trPr>
        <w:tc>
          <w:tcPr>
            <w:tcW w:w="992" w:type="dxa"/>
            <w:tcBorders>
              <w:top w:val="nil"/>
              <w:left w:val="single" w:sz="4" w:space="0" w:color="auto"/>
              <w:bottom w:val="single" w:sz="4" w:space="0" w:color="auto"/>
              <w:right w:val="single" w:sz="4" w:space="0" w:color="auto"/>
            </w:tcBorders>
            <w:shd w:val="clear" w:color="auto" w:fill="EEECE1" w:themeFill="background2"/>
            <w:noWrap/>
            <w:vAlign w:val="center"/>
          </w:tcPr>
          <w:p w14:paraId="551E32F4" w14:textId="77777777" w:rsidR="00FA1AC8" w:rsidRPr="007F78C4" w:rsidRDefault="00FA1AC8">
            <w:pPr>
              <w:jc w:val="center"/>
              <w:rPr>
                <w:rFonts w:ascii="Calibri" w:eastAsia="Times New Roman" w:hAnsi="Calibri" w:cs="Calibri"/>
                <w:b/>
                <w:bCs/>
                <w:color w:val="000000"/>
                <w:lang w:eastAsia="en-AU"/>
              </w:rPr>
            </w:pPr>
            <w:r w:rsidRPr="007F78C4">
              <w:rPr>
                <w:rFonts w:ascii="Calibri" w:eastAsia="Times New Roman" w:hAnsi="Calibri" w:cs="Calibri"/>
                <w:b/>
                <w:bCs/>
                <w:color w:val="000000"/>
                <w:lang w:eastAsia="en-AU"/>
              </w:rPr>
              <w:t>H5.1</w:t>
            </w:r>
          </w:p>
        </w:tc>
        <w:tc>
          <w:tcPr>
            <w:tcW w:w="6941" w:type="dxa"/>
            <w:tcBorders>
              <w:top w:val="nil"/>
              <w:left w:val="nil"/>
              <w:bottom w:val="single" w:sz="4" w:space="0" w:color="auto"/>
              <w:right w:val="single" w:sz="4" w:space="0" w:color="auto"/>
            </w:tcBorders>
            <w:shd w:val="clear" w:color="auto" w:fill="EEECE1" w:themeFill="background2"/>
            <w:noWrap/>
            <w:vAlign w:val="center"/>
          </w:tcPr>
          <w:p w14:paraId="02959A07" w14:textId="77777777" w:rsidR="00FA1AC8" w:rsidRPr="007F78C4" w:rsidRDefault="00FA1AC8">
            <w:pPr>
              <w:rPr>
                <w:rFonts w:ascii="Calibri" w:eastAsia="Times New Roman" w:hAnsi="Calibri" w:cs="Calibri"/>
                <w:color w:val="000000"/>
                <w:sz w:val="20"/>
                <w:szCs w:val="20"/>
                <w:lang w:eastAsia="en-AU"/>
              </w:rPr>
            </w:pPr>
            <w:r w:rsidRPr="007F78C4">
              <w:rPr>
                <w:rFonts w:ascii="Calibri" w:eastAsia="Times New Roman" w:hAnsi="Calibri" w:cs="Calibri"/>
                <w:color w:val="000000"/>
                <w:sz w:val="20"/>
                <w:szCs w:val="20"/>
                <w:lang w:eastAsia="en-AU"/>
              </w:rPr>
              <w:t xml:space="preserve">The risks associated with structural alterations, structural support systems and temporary structures are identified, </w:t>
            </w:r>
            <w:r w:rsidR="00A86C89" w:rsidRPr="007F78C4">
              <w:rPr>
                <w:rFonts w:ascii="Calibri" w:eastAsia="Times New Roman" w:hAnsi="Calibri" w:cs="Calibri"/>
                <w:color w:val="000000"/>
                <w:sz w:val="20"/>
                <w:szCs w:val="20"/>
                <w:lang w:eastAsia="en-AU"/>
              </w:rPr>
              <w:t>assessed,</w:t>
            </w:r>
            <w:r w:rsidRPr="007F78C4">
              <w:rPr>
                <w:rFonts w:ascii="Calibri" w:eastAsia="Times New Roman" w:hAnsi="Calibri" w:cs="Calibri"/>
                <w:color w:val="000000"/>
                <w:sz w:val="20"/>
                <w:szCs w:val="20"/>
                <w:lang w:eastAsia="en-AU"/>
              </w:rPr>
              <w:t xml:space="preserve"> and controlled in accordance with the Hierarchy of Control.</w:t>
            </w:r>
          </w:p>
        </w:tc>
      </w:tr>
      <w:tr w:rsidR="00FA1AC8" w:rsidRPr="007F78C4" w14:paraId="2E00BDB8" w14:textId="77777777" w:rsidTr="00D54AB3">
        <w:trPr>
          <w:trHeight w:val="624"/>
        </w:trPr>
        <w:tc>
          <w:tcPr>
            <w:tcW w:w="992" w:type="dxa"/>
            <w:tcBorders>
              <w:top w:val="nil"/>
              <w:left w:val="single" w:sz="4" w:space="0" w:color="auto"/>
              <w:bottom w:val="single" w:sz="4" w:space="0" w:color="auto"/>
              <w:right w:val="single" w:sz="4" w:space="0" w:color="auto"/>
            </w:tcBorders>
            <w:shd w:val="clear" w:color="auto" w:fill="auto"/>
            <w:noWrap/>
            <w:vAlign w:val="center"/>
          </w:tcPr>
          <w:p w14:paraId="5B048C5C" w14:textId="77777777" w:rsidR="00FA1AC8" w:rsidRPr="007F78C4" w:rsidRDefault="00FA1AC8">
            <w:pPr>
              <w:jc w:val="center"/>
              <w:rPr>
                <w:rFonts w:ascii="Calibri" w:eastAsia="Times New Roman" w:hAnsi="Calibri" w:cs="Calibri"/>
                <w:b/>
                <w:bCs/>
                <w:color w:val="000000"/>
                <w:lang w:eastAsia="en-AU"/>
              </w:rPr>
            </w:pPr>
            <w:r w:rsidRPr="007F78C4">
              <w:rPr>
                <w:rFonts w:ascii="Calibri" w:eastAsia="Times New Roman" w:hAnsi="Calibri" w:cs="Calibri"/>
                <w:b/>
                <w:bCs/>
                <w:color w:val="000000"/>
                <w:lang w:eastAsia="en-AU"/>
              </w:rPr>
              <w:t>H5.2</w:t>
            </w:r>
          </w:p>
        </w:tc>
        <w:tc>
          <w:tcPr>
            <w:tcW w:w="6941" w:type="dxa"/>
            <w:tcBorders>
              <w:top w:val="nil"/>
              <w:left w:val="nil"/>
              <w:bottom w:val="single" w:sz="4" w:space="0" w:color="auto"/>
              <w:right w:val="single" w:sz="4" w:space="0" w:color="auto"/>
            </w:tcBorders>
            <w:shd w:val="clear" w:color="auto" w:fill="auto"/>
            <w:noWrap/>
            <w:vAlign w:val="center"/>
          </w:tcPr>
          <w:p w14:paraId="58898002" w14:textId="77777777" w:rsidR="00FA1AC8" w:rsidRPr="007F78C4" w:rsidRDefault="00FA1AC8">
            <w:pPr>
              <w:rPr>
                <w:rFonts w:ascii="Calibri" w:eastAsia="Times New Roman" w:hAnsi="Calibri" w:cs="Calibri"/>
                <w:color w:val="000000"/>
                <w:sz w:val="20"/>
                <w:szCs w:val="20"/>
                <w:lang w:eastAsia="en-AU"/>
              </w:rPr>
            </w:pPr>
            <w:r w:rsidRPr="007F78C4">
              <w:rPr>
                <w:rFonts w:ascii="Calibri" w:eastAsia="Times New Roman" w:hAnsi="Calibri" w:cs="Calibri"/>
                <w:color w:val="000000"/>
                <w:sz w:val="20"/>
                <w:szCs w:val="20"/>
                <w:lang w:eastAsia="en-AU"/>
              </w:rPr>
              <w:t>Safe systems of work developed for the erection and dismantling of structural support systems and temporary structures; prevention of persons falling; management of potential falling objects; and management of penetrations.</w:t>
            </w:r>
          </w:p>
        </w:tc>
      </w:tr>
      <w:tr w:rsidR="00FA1AC8" w:rsidRPr="007F78C4" w14:paraId="4EF1933C" w14:textId="77777777" w:rsidTr="00D54AB3">
        <w:trPr>
          <w:trHeight w:val="624"/>
        </w:trPr>
        <w:tc>
          <w:tcPr>
            <w:tcW w:w="992" w:type="dxa"/>
            <w:tcBorders>
              <w:top w:val="nil"/>
              <w:left w:val="single" w:sz="4" w:space="0" w:color="auto"/>
              <w:bottom w:val="single" w:sz="4" w:space="0" w:color="auto"/>
              <w:right w:val="single" w:sz="4" w:space="0" w:color="auto"/>
            </w:tcBorders>
            <w:shd w:val="clear" w:color="auto" w:fill="EEECE1" w:themeFill="background2"/>
            <w:noWrap/>
            <w:vAlign w:val="center"/>
          </w:tcPr>
          <w:p w14:paraId="6D7B1262" w14:textId="77777777" w:rsidR="00FA1AC8" w:rsidRPr="007F78C4" w:rsidRDefault="00FA1AC8">
            <w:pPr>
              <w:jc w:val="center"/>
              <w:rPr>
                <w:rFonts w:ascii="Calibri" w:eastAsia="Times New Roman" w:hAnsi="Calibri" w:cs="Calibri"/>
                <w:b/>
                <w:bCs/>
                <w:color w:val="000000"/>
                <w:lang w:eastAsia="en-AU"/>
              </w:rPr>
            </w:pPr>
            <w:r w:rsidRPr="007F78C4">
              <w:rPr>
                <w:rFonts w:ascii="Calibri" w:eastAsia="Times New Roman" w:hAnsi="Calibri" w:cs="Calibri"/>
                <w:b/>
                <w:bCs/>
                <w:color w:val="000000"/>
                <w:lang w:eastAsia="en-AU"/>
              </w:rPr>
              <w:t>H5.4</w:t>
            </w:r>
          </w:p>
        </w:tc>
        <w:tc>
          <w:tcPr>
            <w:tcW w:w="6941" w:type="dxa"/>
            <w:tcBorders>
              <w:top w:val="nil"/>
              <w:left w:val="nil"/>
              <w:bottom w:val="single" w:sz="4" w:space="0" w:color="auto"/>
              <w:right w:val="single" w:sz="4" w:space="0" w:color="auto"/>
            </w:tcBorders>
            <w:shd w:val="clear" w:color="auto" w:fill="EEECE1" w:themeFill="background2"/>
            <w:noWrap/>
            <w:vAlign w:val="center"/>
          </w:tcPr>
          <w:p w14:paraId="257D31F0" w14:textId="77777777" w:rsidR="00FA1AC8" w:rsidRPr="007F78C4" w:rsidRDefault="00FA1AC8">
            <w:pPr>
              <w:rPr>
                <w:rFonts w:ascii="Calibri" w:eastAsia="Times New Roman" w:hAnsi="Calibri" w:cs="Calibri"/>
                <w:color w:val="000000"/>
                <w:sz w:val="20"/>
                <w:szCs w:val="20"/>
                <w:lang w:eastAsia="en-AU"/>
              </w:rPr>
            </w:pPr>
            <w:r w:rsidRPr="007F78C4">
              <w:rPr>
                <w:rFonts w:ascii="Calibri" w:eastAsia="Times New Roman" w:hAnsi="Calibri" w:cs="Calibri"/>
                <w:color w:val="000000"/>
                <w:sz w:val="20"/>
                <w:szCs w:val="20"/>
                <w:lang w:eastAsia="en-AU"/>
              </w:rPr>
              <w:t>The system ensures that; a scaffold plan has been developed by a qualified person; and changes to the installation design are authorised and signed off by a qualified person; or a risk assessment has been conducted to determine the need for a Scaffold Plan.</w:t>
            </w:r>
          </w:p>
        </w:tc>
      </w:tr>
      <w:tr w:rsidR="00FA1AC8" w:rsidRPr="007F78C4" w14:paraId="5D32AC89" w14:textId="77777777" w:rsidTr="00D54AB3">
        <w:trPr>
          <w:trHeight w:val="624"/>
        </w:trPr>
        <w:tc>
          <w:tcPr>
            <w:tcW w:w="992" w:type="dxa"/>
            <w:tcBorders>
              <w:top w:val="nil"/>
              <w:left w:val="single" w:sz="4" w:space="0" w:color="auto"/>
              <w:bottom w:val="single" w:sz="4" w:space="0" w:color="auto"/>
              <w:right w:val="single" w:sz="4" w:space="0" w:color="auto"/>
            </w:tcBorders>
            <w:shd w:val="clear" w:color="auto" w:fill="auto"/>
            <w:noWrap/>
            <w:vAlign w:val="center"/>
          </w:tcPr>
          <w:p w14:paraId="24AA56D7" w14:textId="77777777" w:rsidR="00FA1AC8" w:rsidRPr="007F78C4" w:rsidRDefault="00FA1AC8">
            <w:pPr>
              <w:jc w:val="center"/>
              <w:rPr>
                <w:rFonts w:ascii="Calibri" w:eastAsia="Times New Roman" w:hAnsi="Calibri" w:cs="Calibri"/>
                <w:b/>
                <w:bCs/>
                <w:color w:val="000000"/>
                <w:lang w:eastAsia="en-AU"/>
              </w:rPr>
            </w:pPr>
            <w:r w:rsidRPr="007F78C4">
              <w:rPr>
                <w:rFonts w:ascii="Calibri" w:eastAsia="Times New Roman" w:hAnsi="Calibri" w:cs="Calibri"/>
                <w:b/>
                <w:bCs/>
                <w:color w:val="000000"/>
                <w:lang w:eastAsia="en-AU"/>
              </w:rPr>
              <w:t>H5.5</w:t>
            </w:r>
          </w:p>
        </w:tc>
        <w:tc>
          <w:tcPr>
            <w:tcW w:w="6941" w:type="dxa"/>
            <w:tcBorders>
              <w:top w:val="nil"/>
              <w:left w:val="nil"/>
              <w:bottom w:val="single" w:sz="4" w:space="0" w:color="auto"/>
              <w:right w:val="single" w:sz="4" w:space="0" w:color="auto"/>
            </w:tcBorders>
            <w:shd w:val="clear" w:color="auto" w:fill="auto"/>
            <w:noWrap/>
            <w:vAlign w:val="center"/>
          </w:tcPr>
          <w:p w14:paraId="35D23B1E" w14:textId="77777777" w:rsidR="00FA1AC8" w:rsidRPr="007F78C4" w:rsidRDefault="00FA1AC8">
            <w:pPr>
              <w:rPr>
                <w:rFonts w:ascii="Calibri" w:eastAsia="Times New Roman" w:hAnsi="Calibri" w:cs="Calibri"/>
                <w:color w:val="000000"/>
                <w:sz w:val="20"/>
                <w:szCs w:val="20"/>
                <w:lang w:eastAsia="en-AU"/>
              </w:rPr>
            </w:pPr>
            <w:r w:rsidRPr="007F78C4">
              <w:rPr>
                <w:rFonts w:ascii="Calibri" w:eastAsia="Times New Roman" w:hAnsi="Calibri" w:cs="Calibri"/>
                <w:color w:val="000000"/>
                <w:sz w:val="20"/>
                <w:szCs w:val="20"/>
                <w:lang w:eastAsia="en-AU"/>
              </w:rPr>
              <w:t>The system ensures that the building structures/materials/foundations have been assessed and controls are in place prior to starting alterations to the structure or construction of temporary structures.</w:t>
            </w:r>
          </w:p>
        </w:tc>
      </w:tr>
      <w:tr w:rsidR="00FA1AC8" w:rsidRPr="007F78C4" w14:paraId="23C810D7" w14:textId="77777777" w:rsidTr="00D54AB3">
        <w:trPr>
          <w:trHeight w:val="624"/>
        </w:trPr>
        <w:tc>
          <w:tcPr>
            <w:tcW w:w="992" w:type="dxa"/>
            <w:tcBorders>
              <w:top w:val="nil"/>
              <w:left w:val="single" w:sz="4" w:space="0" w:color="auto"/>
              <w:bottom w:val="single" w:sz="4" w:space="0" w:color="auto"/>
              <w:right w:val="single" w:sz="4" w:space="0" w:color="auto"/>
            </w:tcBorders>
            <w:shd w:val="clear" w:color="auto" w:fill="EEECE1" w:themeFill="background2"/>
            <w:noWrap/>
            <w:vAlign w:val="center"/>
          </w:tcPr>
          <w:p w14:paraId="7C11FE46" w14:textId="77777777" w:rsidR="00FA1AC8" w:rsidRPr="007F78C4" w:rsidRDefault="00FA1AC8">
            <w:pPr>
              <w:jc w:val="center"/>
              <w:rPr>
                <w:rFonts w:ascii="Calibri" w:eastAsia="Times New Roman" w:hAnsi="Calibri" w:cs="Calibri"/>
                <w:b/>
                <w:bCs/>
                <w:color w:val="000000"/>
                <w:lang w:eastAsia="en-AU"/>
              </w:rPr>
            </w:pPr>
            <w:r w:rsidRPr="007F78C4">
              <w:rPr>
                <w:rFonts w:ascii="Calibri" w:eastAsia="Times New Roman" w:hAnsi="Calibri" w:cs="Calibri"/>
                <w:b/>
                <w:bCs/>
                <w:color w:val="000000"/>
                <w:lang w:eastAsia="en-AU"/>
              </w:rPr>
              <w:t>H5.6</w:t>
            </w:r>
          </w:p>
        </w:tc>
        <w:tc>
          <w:tcPr>
            <w:tcW w:w="6941" w:type="dxa"/>
            <w:tcBorders>
              <w:top w:val="nil"/>
              <w:left w:val="nil"/>
              <w:bottom w:val="single" w:sz="4" w:space="0" w:color="auto"/>
              <w:right w:val="single" w:sz="4" w:space="0" w:color="auto"/>
            </w:tcBorders>
            <w:shd w:val="clear" w:color="auto" w:fill="EEECE1" w:themeFill="background2"/>
            <w:noWrap/>
            <w:vAlign w:val="center"/>
          </w:tcPr>
          <w:p w14:paraId="5954C2F5" w14:textId="77777777" w:rsidR="00FA1AC8" w:rsidRPr="007F78C4" w:rsidRDefault="00FA1AC8">
            <w:pPr>
              <w:rPr>
                <w:rFonts w:ascii="Calibri" w:eastAsia="Times New Roman" w:hAnsi="Calibri" w:cs="Calibri"/>
                <w:color w:val="000000"/>
                <w:sz w:val="20"/>
                <w:szCs w:val="20"/>
                <w:lang w:eastAsia="en-AU"/>
              </w:rPr>
            </w:pPr>
            <w:r w:rsidRPr="007F78C4">
              <w:rPr>
                <w:rFonts w:ascii="Calibri" w:eastAsia="Times New Roman" w:hAnsi="Calibri" w:cs="Calibri"/>
                <w:color w:val="000000"/>
                <w:sz w:val="20"/>
                <w:szCs w:val="20"/>
                <w:lang w:eastAsia="en-AU"/>
              </w:rPr>
              <w:t>The system ensures that structural support systems and temporary structures are installed by a competent person and verified as correctly installed prior to use in accordance with relevant legislation, codes of practice and Australian standards; manufacturers’ requirements; or where applicable the drawing/plan.</w:t>
            </w:r>
          </w:p>
        </w:tc>
      </w:tr>
      <w:tr w:rsidR="00FA1AC8" w:rsidRPr="007F78C4" w14:paraId="696F420A" w14:textId="77777777" w:rsidTr="00D54AB3">
        <w:trPr>
          <w:trHeight w:val="624"/>
        </w:trPr>
        <w:tc>
          <w:tcPr>
            <w:tcW w:w="992" w:type="dxa"/>
            <w:tcBorders>
              <w:top w:val="nil"/>
              <w:left w:val="single" w:sz="4" w:space="0" w:color="auto"/>
              <w:bottom w:val="single" w:sz="4" w:space="0" w:color="auto"/>
              <w:right w:val="single" w:sz="4" w:space="0" w:color="auto"/>
            </w:tcBorders>
            <w:shd w:val="clear" w:color="auto" w:fill="auto"/>
            <w:noWrap/>
            <w:vAlign w:val="center"/>
          </w:tcPr>
          <w:p w14:paraId="4D3AC7CB" w14:textId="77777777" w:rsidR="00FA1AC8" w:rsidRPr="007F78C4" w:rsidRDefault="00FA1AC8">
            <w:pPr>
              <w:jc w:val="center"/>
              <w:rPr>
                <w:rFonts w:ascii="Calibri" w:eastAsia="Times New Roman" w:hAnsi="Calibri" w:cs="Calibri"/>
                <w:b/>
                <w:bCs/>
                <w:color w:val="000000"/>
                <w:lang w:eastAsia="en-AU"/>
              </w:rPr>
            </w:pPr>
            <w:r w:rsidRPr="007F78C4">
              <w:rPr>
                <w:rFonts w:ascii="Calibri" w:eastAsia="Times New Roman" w:hAnsi="Calibri" w:cs="Calibri"/>
                <w:b/>
                <w:bCs/>
                <w:color w:val="000000"/>
                <w:lang w:eastAsia="en-AU"/>
              </w:rPr>
              <w:t>H5.7</w:t>
            </w:r>
          </w:p>
        </w:tc>
        <w:tc>
          <w:tcPr>
            <w:tcW w:w="6941" w:type="dxa"/>
            <w:tcBorders>
              <w:top w:val="nil"/>
              <w:left w:val="nil"/>
              <w:bottom w:val="single" w:sz="4" w:space="0" w:color="auto"/>
              <w:right w:val="single" w:sz="4" w:space="0" w:color="auto"/>
            </w:tcBorders>
            <w:shd w:val="clear" w:color="auto" w:fill="auto"/>
            <w:noWrap/>
            <w:vAlign w:val="center"/>
          </w:tcPr>
          <w:p w14:paraId="630F9FB8" w14:textId="77777777" w:rsidR="00FA1AC8" w:rsidRPr="007F78C4" w:rsidRDefault="00FA1AC8">
            <w:pPr>
              <w:rPr>
                <w:rFonts w:ascii="Calibri" w:eastAsia="Times New Roman" w:hAnsi="Calibri" w:cs="Calibri"/>
                <w:color w:val="000000"/>
                <w:sz w:val="20"/>
                <w:szCs w:val="20"/>
                <w:lang w:eastAsia="en-AU"/>
              </w:rPr>
            </w:pPr>
            <w:r w:rsidRPr="007F78C4">
              <w:rPr>
                <w:rFonts w:ascii="Calibri" w:eastAsia="Times New Roman" w:hAnsi="Calibri" w:cs="Calibri"/>
                <w:color w:val="000000"/>
                <w:sz w:val="20"/>
                <w:szCs w:val="20"/>
                <w:lang w:eastAsia="en-AU"/>
              </w:rPr>
              <w:t>The system ensures that structural support systems and temporary structures are regularly inspected to monitor the effectiveness of the system/ structure in accordance with relevant legislation, codes of practice and Australian standards; manufacturer’s requirements; or where applicable the drawing/plan.</w:t>
            </w:r>
          </w:p>
        </w:tc>
      </w:tr>
      <w:tr w:rsidR="00FA1AC8" w:rsidRPr="007F78C4" w14:paraId="6BDFA3D8" w14:textId="77777777" w:rsidTr="00D54AB3">
        <w:trPr>
          <w:trHeight w:val="624"/>
        </w:trPr>
        <w:tc>
          <w:tcPr>
            <w:tcW w:w="992" w:type="dxa"/>
            <w:tcBorders>
              <w:top w:val="nil"/>
              <w:left w:val="single" w:sz="4" w:space="0" w:color="auto"/>
              <w:bottom w:val="single" w:sz="4" w:space="0" w:color="auto"/>
              <w:right w:val="single" w:sz="4" w:space="0" w:color="auto"/>
            </w:tcBorders>
            <w:shd w:val="clear" w:color="auto" w:fill="EEECE1" w:themeFill="background2"/>
            <w:noWrap/>
            <w:vAlign w:val="center"/>
          </w:tcPr>
          <w:p w14:paraId="6C455E8F" w14:textId="77777777" w:rsidR="00FA1AC8" w:rsidRPr="007F78C4" w:rsidRDefault="00FA1AC8">
            <w:pPr>
              <w:jc w:val="center"/>
              <w:rPr>
                <w:rFonts w:ascii="Calibri" w:eastAsia="Times New Roman" w:hAnsi="Calibri" w:cs="Calibri"/>
                <w:b/>
                <w:bCs/>
                <w:color w:val="000000"/>
                <w:lang w:eastAsia="en-AU"/>
              </w:rPr>
            </w:pPr>
            <w:r w:rsidRPr="007F78C4">
              <w:rPr>
                <w:rFonts w:ascii="Calibri" w:eastAsia="Times New Roman" w:hAnsi="Calibri" w:cs="Calibri"/>
                <w:b/>
                <w:bCs/>
                <w:color w:val="000000"/>
                <w:lang w:eastAsia="en-AU"/>
              </w:rPr>
              <w:t>H5.8</w:t>
            </w:r>
          </w:p>
        </w:tc>
        <w:tc>
          <w:tcPr>
            <w:tcW w:w="6941" w:type="dxa"/>
            <w:tcBorders>
              <w:top w:val="nil"/>
              <w:left w:val="nil"/>
              <w:bottom w:val="single" w:sz="4" w:space="0" w:color="auto"/>
              <w:right w:val="single" w:sz="4" w:space="0" w:color="auto"/>
            </w:tcBorders>
            <w:shd w:val="clear" w:color="auto" w:fill="EEECE1" w:themeFill="background2"/>
            <w:noWrap/>
            <w:vAlign w:val="center"/>
          </w:tcPr>
          <w:p w14:paraId="3C49877D" w14:textId="77777777" w:rsidR="00FA1AC8" w:rsidRPr="007F78C4" w:rsidRDefault="00FA1AC8">
            <w:pPr>
              <w:rPr>
                <w:rFonts w:ascii="Calibri" w:eastAsia="Times New Roman" w:hAnsi="Calibri" w:cs="Calibri"/>
                <w:color w:val="000000"/>
                <w:sz w:val="20"/>
                <w:szCs w:val="20"/>
                <w:lang w:eastAsia="en-AU"/>
              </w:rPr>
            </w:pPr>
            <w:r w:rsidRPr="007F78C4">
              <w:rPr>
                <w:rFonts w:ascii="Calibri" w:eastAsia="Times New Roman" w:hAnsi="Calibri" w:cs="Calibri"/>
                <w:color w:val="000000"/>
                <w:sz w:val="20"/>
                <w:szCs w:val="20"/>
                <w:lang w:eastAsia="en-AU"/>
              </w:rPr>
              <w:t>The system ensures that emergency procedures are established specific to the scope of works.</w:t>
            </w:r>
          </w:p>
        </w:tc>
      </w:tr>
    </w:tbl>
    <w:p w14:paraId="222C07E0" w14:textId="77777777" w:rsidR="00A1720F" w:rsidRDefault="00A1720F" w:rsidP="00D30730">
      <w:pPr>
        <w:pStyle w:val="Heading1"/>
        <w:spacing w:after="120"/>
        <w:rPr>
          <w:noProof/>
          <w:lang w:val="en-AU" w:eastAsia="en-AU"/>
        </w:rPr>
      </w:pPr>
      <w:bookmarkStart w:id="30" w:name="_Toc81917930"/>
    </w:p>
    <w:p w14:paraId="6A6E71BB" w14:textId="77777777" w:rsidR="00A1720F" w:rsidRDefault="00A1720F">
      <w:pPr>
        <w:rPr>
          <w:b/>
          <w:bCs/>
          <w:noProof/>
          <w:sz w:val="36"/>
          <w:szCs w:val="36"/>
          <w:lang w:eastAsia="en-AU"/>
        </w:rPr>
      </w:pPr>
      <w:r>
        <w:rPr>
          <w:noProof/>
          <w:lang w:eastAsia="en-AU"/>
        </w:rPr>
        <w:br w:type="page"/>
      </w:r>
    </w:p>
    <w:p w14:paraId="7D9D82B6" w14:textId="0E36E150" w:rsidR="00E9251F" w:rsidRPr="009B7C34" w:rsidRDefault="00E57CD3" w:rsidP="00D30730">
      <w:pPr>
        <w:pStyle w:val="Heading1"/>
        <w:spacing w:after="120"/>
      </w:pPr>
      <w:r>
        <w:rPr>
          <w:noProof/>
          <w:lang w:val="en-AU" w:eastAsia="en-AU"/>
        </w:rPr>
        <w:lastRenderedPageBreak/>
        <mc:AlternateContent>
          <mc:Choice Requires="wps">
            <w:drawing>
              <wp:anchor distT="0" distB="0" distL="114300" distR="114300" simplePos="0" relativeHeight="251718144" behindDoc="0" locked="0" layoutInCell="1" allowOverlap="1" wp14:anchorId="767290A5" wp14:editId="242413BD">
                <wp:simplePos x="0" y="0"/>
                <wp:positionH relativeFrom="column">
                  <wp:posOffset>6181725</wp:posOffset>
                </wp:positionH>
                <wp:positionV relativeFrom="paragraph">
                  <wp:posOffset>240665</wp:posOffset>
                </wp:positionV>
                <wp:extent cx="3495675" cy="16478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3495675" cy="1647825"/>
                        </a:xfrm>
                        <a:prstGeom prst="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14:paraId="253B43ED" w14:textId="77777777" w:rsidR="00762C79" w:rsidRPr="00E57CD3" w:rsidRDefault="00762C79" w:rsidP="00E57CD3">
                            <w:pPr>
                              <w:pStyle w:val="NoSpacing"/>
                              <w:spacing w:line="276" w:lineRule="auto"/>
                              <w:rPr>
                                <w:b/>
                                <w:bCs/>
                                <w:sz w:val="22"/>
                              </w:rPr>
                            </w:pPr>
                            <w:r w:rsidRPr="00E57CD3">
                              <w:rPr>
                                <w:b/>
                                <w:bCs/>
                                <w:sz w:val="22"/>
                              </w:rPr>
                              <w:t xml:space="preserve">There are two levels of CARs, Major and Minor. A Major is the absence of a documented process, and/or the absence of implementation of a process where the opportunity for implementation has occurred in relation to a specific criterion. A </w:t>
                            </w:r>
                            <w:r>
                              <w:rPr>
                                <w:b/>
                                <w:bCs/>
                                <w:sz w:val="22"/>
                              </w:rPr>
                              <w:t>M</w:t>
                            </w:r>
                            <w:r w:rsidRPr="00E57CD3">
                              <w:rPr>
                                <w:b/>
                                <w:bCs/>
                                <w:sz w:val="22"/>
                              </w:rPr>
                              <w:t xml:space="preserve">inor non-conformance is where there is a partially documented and implemented process where the opportunity for implementation has occurred in relation to a specific criterion. </w:t>
                            </w:r>
                          </w:p>
                          <w:p w14:paraId="6DA99085" w14:textId="77777777" w:rsidR="00762C79" w:rsidRPr="00E57CD3" w:rsidRDefault="00762C79" w:rsidP="00E57CD3">
                            <w:pP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290A5" id="Text Box 5" o:spid="_x0000_s1038" type="#_x0000_t202" style="position:absolute;margin-left:486.75pt;margin-top:18.95pt;width:275.25pt;height:129.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" fillcolor="white [3201]" strokecolor="#c00000" strokeweight="2pt">
                <v:textbox>
                  <w:txbxContent>
                    <w:p w14:paraId="253B43ED" w14:textId="77777777" w:rsidR="00762C79" w:rsidRPr="00E57CD3" w:rsidRDefault="00762C79" w:rsidP="00E57CD3">
                      <w:pPr>
                        <w:pStyle w:val="NoSpacing"/>
                        <w:spacing w:line="276" w:lineRule="auto"/>
                        <w:rPr>
                          <w:b/>
                          <w:bCs/>
                          <w:sz w:val="22"/>
                        </w:rPr>
                      </w:pPr>
                      <w:r w:rsidRPr="00E57CD3">
                        <w:rPr>
                          <w:b/>
                          <w:bCs/>
                          <w:sz w:val="22"/>
                        </w:rPr>
                        <w:t xml:space="preserve">There are two levels of CARs, Major and Minor. A Major is the absence of a documented process, and/or the absence of implementation of a process where the opportunity for implementation has occurred in relation to a specific criterion. A </w:t>
                      </w:r>
                      <w:r>
                        <w:rPr>
                          <w:b/>
                          <w:bCs/>
                          <w:sz w:val="22"/>
                        </w:rPr>
                        <w:t>M</w:t>
                      </w:r>
                      <w:r w:rsidRPr="00E57CD3">
                        <w:rPr>
                          <w:b/>
                          <w:bCs/>
                          <w:sz w:val="22"/>
                        </w:rPr>
                        <w:t xml:space="preserve">inor non-conformance is where there is a partially documented and implemented process where the opportunity for implementation has occurred in relation to a specific criterion. </w:t>
                      </w:r>
                    </w:p>
                    <w:p w14:paraId="6DA99085" w14:textId="77777777" w:rsidR="00762C79" w:rsidRPr="00E57CD3" w:rsidRDefault="00762C79" w:rsidP="00E57CD3">
                      <w:pPr>
                        <w:rPr>
                          <w:b/>
                          <w:bCs/>
                          <w:lang w:val="en-US"/>
                        </w:rPr>
                      </w:pPr>
                    </w:p>
                  </w:txbxContent>
                </v:textbox>
              </v:shape>
            </w:pict>
          </mc:Fallback>
        </mc:AlternateContent>
      </w:r>
      <w:r w:rsidR="00E9251F">
        <w:t xml:space="preserve">Scaffolding – CAR Issue Rates and </w:t>
      </w:r>
      <w:bookmarkEnd w:id="30"/>
      <w:r w:rsidR="00AA0578">
        <w:t>Type</w:t>
      </w:r>
    </w:p>
    <w:p w14:paraId="1EAC7A07" w14:textId="77777777" w:rsidR="000D629F" w:rsidRPr="0083500F" w:rsidRDefault="00D00335" w:rsidP="00967951">
      <w:pPr>
        <w:pStyle w:val="ListParagraph"/>
        <w:numPr>
          <w:ilvl w:val="0"/>
          <w:numId w:val="2"/>
        </w:numPr>
        <w:rPr>
          <w:sz w:val="24"/>
          <w:szCs w:val="24"/>
          <w:lang w:val="en-US"/>
        </w:rPr>
      </w:pPr>
      <w:r w:rsidRPr="0083500F">
        <w:rPr>
          <w:sz w:val="24"/>
          <w:szCs w:val="24"/>
          <w:lang w:val="en-US"/>
        </w:rPr>
        <w:t xml:space="preserve">Of the </w:t>
      </w:r>
      <w:r w:rsidRPr="0083500F">
        <w:rPr>
          <w:b/>
          <w:bCs/>
          <w:sz w:val="24"/>
          <w:szCs w:val="24"/>
          <w:lang w:val="en-US"/>
        </w:rPr>
        <w:t>156</w:t>
      </w:r>
      <w:r w:rsidRPr="0083500F">
        <w:rPr>
          <w:sz w:val="24"/>
          <w:szCs w:val="24"/>
          <w:lang w:val="en-US"/>
        </w:rPr>
        <w:t xml:space="preserve"> </w:t>
      </w:r>
      <w:r w:rsidR="006537C8">
        <w:rPr>
          <w:sz w:val="24"/>
          <w:szCs w:val="24"/>
          <w:lang w:val="en-US"/>
        </w:rPr>
        <w:t>scaffolding</w:t>
      </w:r>
      <w:r w:rsidRPr="0083500F">
        <w:rPr>
          <w:sz w:val="24"/>
          <w:szCs w:val="24"/>
          <w:lang w:val="en-US"/>
        </w:rPr>
        <w:t xml:space="preserve"> CARs issued</w:t>
      </w:r>
      <w:r w:rsidR="000D629F" w:rsidRPr="0083500F">
        <w:rPr>
          <w:sz w:val="24"/>
          <w:szCs w:val="24"/>
          <w:lang w:val="en-US"/>
        </w:rPr>
        <w:t>:</w:t>
      </w:r>
    </w:p>
    <w:p w14:paraId="59D22666" w14:textId="77777777" w:rsidR="000D629F" w:rsidRPr="0083500F" w:rsidRDefault="00D00335" w:rsidP="000D629F">
      <w:pPr>
        <w:pStyle w:val="ListParagraph"/>
        <w:numPr>
          <w:ilvl w:val="1"/>
          <w:numId w:val="2"/>
        </w:numPr>
        <w:rPr>
          <w:sz w:val="24"/>
          <w:szCs w:val="24"/>
          <w:lang w:val="en-US"/>
        </w:rPr>
      </w:pPr>
      <w:r w:rsidRPr="0083500F">
        <w:rPr>
          <w:b/>
          <w:bCs/>
          <w:sz w:val="24"/>
          <w:szCs w:val="24"/>
          <w:lang w:val="en-US"/>
        </w:rPr>
        <w:t>64</w:t>
      </w:r>
      <w:r w:rsidRPr="0083500F">
        <w:rPr>
          <w:sz w:val="24"/>
          <w:szCs w:val="24"/>
          <w:lang w:val="en-US"/>
        </w:rPr>
        <w:t xml:space="preserve"> were for lack of documentation</w:t>
      </w:r>
      <w:r w:rsidR="003E5D52">
        <w:rPr>
          <w:sz w:val="24"/>
          <w:szCs w:val="24"/>
          <w:lang w:val="en-US"/>
        </w:rPr>
        <w:t>;</w:t>
      </w:r>
    </w:p>
    <w:p w14:paraId="6E17F84F" w14:textId="77777777" w:rsidR="000D629F" w:rsidRPr="0083500F" w:rsidRDefault="00967951" w:rsidP="0083096E">
      <w:pPr>
        <w:pStyle w:val="ListParagraph"/>
        <w:numPr>
          <w:ilvl w:val="1"/>
          <w:numId w:val="2"/>
        </w:numPr>
        <w:rPr>
          <w:sz w:val="24"/>
          <w:szCs w:val="24"/>
          <w:lang w:val="en-US"/>
        </w:rPr>
      </w:pPr>
      <w:r w:rsidRPr="0083500F">
        <w:rPr>
          <w:b/>
          <w:bCs/>
          <w:sz w:val="24"/>
          <w:szCs w:val="24"/>
          <w:lang w:val="en-US"/>
        </w:rPr>
        <w:t>4</w:t>
      </w:r>
      <w:r w:rsidR="00D00335" w:rsidRPr="0083500F">
        <w:rPr>
          <w:b/>
          <w:bCs/>
          <w:sz w:val="24"/>
          <w:szCs w:val="24"/>
          <w:lang w:val="en-US"/>
        </w:rPr>
        <w:t>6</w:t>
      </w:r>
      <w:r w:rsidR="00D00335" w:rsidRPr="0083500F">
        <w:rPr>
          <w:sz w:val="24"/>
          <w:szCs w:val="24"/>
          <w:lang w:val="en-US"/>
        </w:rPr>
        <w:t xml:space="preserve"> were for</w:t>
      </w:r>
      <w:r w:rsidR="000D629F" w:rsidRPr="0083500F">
        <w:rPr>
          <w:sz w:val="24"/>
          <w:szCs w:val="24"/>
          <w:lang w:val="en-US"/>
        </w:rPr>
        <w:t xml:space="preserve"> </w:t>
      </w:r>
      <w:r w:rsidR="00D00335" w:rsidRPr="0083500F">
        <w:rPr>
          <w:sz w:val="24"/>
          <w:szCs w:val="24"/>
          <w:lang w:val="en-US"/>
        </w:rPr>
        <w:t>inadequate implementation</w:t>
      </w:r>
      <w:r w:rsidR="003E5D52">
        <w:rPr>
          <w:sz w:val="24"/>
          <w:szCs w:val="24"/>
          <w:lang w:val="en-US"/>
        </w:rPr>
        <w:t>;</w:t>
      </w:r>
      <w:r w:rsidR="00D00335" w:rsidRPr="0083500F">
        <w:rPr>
          <w:sz w:val="24"/>
          <w:szCs w:val="24"/>
          <w:lang w:val="en-US"/>
        </w:rPr>
        <w:t xml:space="preserve"> and</w:t>
      </w:r>
    </w:p>
    <w:p w14:paraId="289DE610" w14:textId="77777777" w:rsidR="00E9251F" w:rsidRPr="0083500F" w:rsidRDefault="00D00335" w:rsidP="0083096E">
      <w:pPr>
        <w:pStyle w:val="ListParagraph"/>
        <w:numPr>
          <w:ilvl w:val="1"/>
          <w:numId w:val="2"/>
        </w:numPr>
        <w:rPr>
          <w:sz w:val="24"/>
          <w:szCs w:val="24"/>
          <w:lang w:val="en-US"/>
        </w:rPr>
      </w:pPr>
      <w:r w:rsidRPr="0083500F">
        <w:rPr>
          <w:b/>
          <w:bCs/>
          <w:sz w:val="24"/>
          <w:szCs w:val="24"/>
          <w:lang w:val="en-US"/>
        </w:rPr>
        <w:t>46</w:t>
      </w:r>
      <w:r w:rsidRPr="0083500F">
        <w:rPr>
          <w:sz w:val="24"/>
          <w:szCs w:val="24"/>
          <w:lang w:val="en-US"/>
        </w:rPr>
        <w:t xml:space="preserve"> were for both documentation and implementation issues.</w:t>
      </w:r>
    </w:p>
    <w:p w14:paraId="4C8FB4ED" w14:textId="77777777" w:rsidR="00E9251F" w:rsidRPr="000D629F" w:rsidRDefault="00D00335" w:rsidP="009D224D">
      <w:pPr>
        <w:pStyle w:val="ListParagraph"/>
        <w:numPr>
          <w:ilvl w:val="0"/>
          <w:numId w:val="2"/>
        </w:numPr>
        <w:spacing w:after="240"/>
        <w:rPr>
          <w:sz w:val="28"/>
          <w:szCs w:val="28"/>
          <w:lang w:val="en-US"/>
        </w:rPr>
      </w:pPr>
      <w:r w:rsidRPr="0083500F">
        <w:rPr>
          <w:b/>
          <w:bCs/>
          <w:sz w:val="24"/>
          <w:szCs w:val="24"/>
          <w:lang w:val="en-US"/>
        </w:rPr>
        <w:t>H1.4</w:t>
      </w:r>
      <w:r w:rsidRPr="0083500F">
        <w:rPr>
          <w:sz w:val="24"/>
          <w:szCs w:val="24"/>
          <w:lang w:val="en-US"/>
        </w:rPr>
        <w:t xml:space="preserve">, </w:t>
      </w:r>
      <w:r w:rsidRPr="0083500F">
        <w:rPr>
          <w:b/>
          <w:bCs/>
          <w:sz w:val="24"/>
          <w:szCs w:val="24"/>
          <w:lang w:val="en-US"/>
        </w:rPr>
        <w:t>H5.4</w:t>
      </w:r>
      <w:r w:rsidRPr="0083500F">
        <w:rPr>
          <w:sz w:val="24"/>
          <w:szCs w:val="24"/>
          <w:lang w:val="en-US"/>
        </w:rPr>
        <w:t xml:space="preserve"> and </w:t>
      </w:r>
      <w:r w:rsidRPr="0083500F">
        <w:rPr>
          <w:b/>
          <w:bCs/>
          <w:sz w:val="24"/>
          <w:szCs w:val="24"/>
          <w:lang w:val="en-US"/>
        </w:rPr>
        <w:t>H5.6</w:t>
      </w:r>
      <w:r w:rsidRPr="0083500F">
        <w:rPr>
          <w:sz w:val="24"/>
          <w:szCs w:val="24"/>
          <w:lang w:val="en-US"/>
        </w:rPr>
        <w:t xml:space="preserve"> show the most concerning </w:t>
      </w:r>
      <w:r w:rsidR="00D051BF">
        <w:rPr>
          <w:sz w:val="24"/>
          <w:szCs w:val="24"/>
          <w:lang w:val="en-US"/>
        </w:rPr>
        <w:t xml:space="preserve">non-compliance </w:t>
      </w:r>
      <w:r w:rsidRPr="0083500F">
        <w:rPr>
          <w:sz w:val="24"/>
          <w:szCs w:val="24"/>
          <w:lang w:val="en-US"/>
        </w:rPr>
        <w:t>rates</w:t>
      </w:r>
      <w:r w:rsidR="000D629F" w:rsidRPr="0083500F">
        <w:rPr>
          <w:sz w:val="24"/>
          <w:szCs w:val="24"/>
          <w:lang w:val="en-US"/>
        </w:rPr>
        <w:t>.</w:t>
      </w:r>
    </w:p>
    <w:tbl>
      <w:tblPr>
        <w:tblpPr w:leftFromText="180" w:rightFromText="180" w:vertAnchor="text" w:tblpY="1"/>
        <w:tblOverlap w:val="never"/>
        <w:tblW w:w="9220" w:type="dxa"/>
        <w:tblLayout w:type="fixed"/>
        <w:tblLook w:val="04A0" w:firstRow="1" w:lastRow="0" w:firstColumn="1" w:lastColumn="0" w:noHBand="0" w:noVBand="1"/>
      </w:tblPr>
      <w:tblGrid>
        <w:gridCol w:w="978"/>
        <w:gridCol w:w="850"/>
        <w:gridCol w:w="992"/>
        <w:gridCol w:w="1616"/>
        <w:gridCol w:w="598"/>
        <w:gridCol w:w="1005"/>
        <w:gridCol w:w="615"/>
        <w:gridCol w:w="1018"/>
        <w:gridCol w:w="500"/>
        <w:gridCol w:w="1048"/>
      </w:tblGrid>
      <w:tr w:rsidR="001839C9" w:rsidRPr="006769A1" w14:paraId="3A4EC92B" w14:textId="77777777" w:rsidTr="00F5719E">
        <w:trPr>
          <w:trHeight w:val="300"/>
        </w:trPr>
        <w:tc>
          <w:tcPr>
            <w:tcW w:w="978" w:type="dxa"/>
            <w:vMerge w:val="restart"/>
            <w:tcBorders>
              <w:top w:val="single" w:sz="12" w:space="0" w:color="auto"/>
              <w:left w:val="single" w:sz="12" w:space="0" w:color="auto"/>
              <w:bottom w:val="single" w:sz="4" w:space="0" w:color="auto"/>
              <w:right w:val="single" w:sz="12" w:space="0" w:color="auto"/>
            </w:tcBorders>
            <w:shd w:val="clear" w:color="000000" w:fill="878541"/>
            <w:vAlign w:val="center"/>
            <w:hideMark/>
          </w:tcPr>
          <w:p w14:paraId="401CBC05" w14:textId="77777777" w:rsidR="001839C9" w:rsidRPr="006769A1" w:rsidRDefault="001839C9" w:rsidP="00F5719E">
            <w:pPr>
              <w:jc w:val="center"/>
              <w:rPr>
                <w:rFonts w:ascii="Calibri" w:eastAsia="Times New Roman" w:hAnsi="Calibri" w:cs="Calibri"/>
                <w:b/>
                <w:bCs/>
                <w:color w:val="FFFFFF"/>
                <w:lang w:eastAsia="en-AU"/>
              </w:rPr>
            </w:pPr>
            <w:r w:rsidRPr="006769A1">
              <w:rPr>
                <w:rFonts w:ascii="Calibri" w:eastAsia="Times New Roman" w:hAnsi="Calibri" w:cs="Calibri"/>
                <w:b/>
                <w:bCs/>
                <w:color w:val="FFFFFF"/>
                <w:lang w:eastAsia="en-AU"/>
              </w:rPr>
              <w:t>Sub-criteria</w:t>
            </w:r>
          </w:p>
        </w:tc>
        <w:tc>
          <w:tcPr>
            <w:tcW w:w="850" w:type="dxa"/>
            <w:tcBorders>
              <w:top w:val="single" w:sz="12" w:space="0" w:color="auto"/>
              <w:left w:val="single" w:sz="12" w:space="0" w:color="auto"/>
              <w:bottom w:val="nil"/>
              <w:right w:val="single" w:sz="4" w:space="0" w:color="auto"/>
            </w:tcBorders>
            <w:shd w:val="clear" w:color="000000" w:fill="878541"/>
            <w:vAlign w:val="center"/>
            <w:hideMark/>
          </w:tcPr>
          <w:p w14:paraId="2965D014" w14:textId="77777777" w:rsidR="001839C9" w:rsidRPr="006769A1" w:rsidRDefault="001839C9" w:rsidP="00F5719E">
            <w:pPr>
              <w:jc w:val="center"/>
              <w:rPr>
                <w:rFonts w:ascii="Calibri" w:eastAsia="Times New Roman" w:hAnsi="Calibri" w:cs="Calibri"/>
                <w:b/>
                <w:bCs/>
                <w:color w:val="FFFFFF"/>
                <w:lang w:eastAsia="en-AU"/>
              </w:rPr>
            </w:pPr>
            <w:r w:rsidRPr="006769A1">
              <w:rPr>
                <w:rFonts w:ascii="Calibri" w:eastAsia="Times New Roman" w:hAnsi="Calibri" w:cs="Calibri"/>
                <w:b/>
                <w:bCs/>
                <w:color w:val="FFFFFF"/>
                <w:lang w:eastAsia="en-AU"/>
              </w:rPr>
              <w:t>CARs</w:t>
            </w:r>
          </w:p>
        </w:tc>
        <w:tc>
          <w:tcPr>
            <w:tcW w:w="992" w:type="dxa"/>
            <w:tcBorders>
              <w:top w:val="single" w:sz="12" w:space="0" w:color="auto"/>
              <w:left w:val="nil"/>
              <w:bottom w:val="nil"/>
              <w:right w:val="single" w:sz="4" w:space="0" w:color="auto"/>
            </w:tcBorders>
            <w:shd w:val="clear" w:color="000000" w:fill="878541"/>
            <w:vAlign w:val="center"/>
            <w:hideMark/>
          </w:tcPr>
          <w:p w14:paraId="41EC54F3" w14:textId="77777777" w:rsidR="001839C9" w:rsidRPr="006769A1" w:rsidRDefault="001839C9" w:rsidP="00F5719E">
            <w:pPr>
              <w:jc w:val="center"/>
              <w:rPr>
                <w:rFonts w:ascii="Calibri" w:eastAsia="Times New Roman" w:hAnsi="Calibri" w:cs="Calibri"/>
                <w:b/>
                <w:bCs/>
                <w:color w:val="FFFFFF"/>
                <w:lang w:eastAsia="en-AU"/>
              </w:rPr>
            </w:pPr>
            <w:r w:rsidRPr="006769A1">
              <w:rPr>
                <w:rFonts w:ascii="Calibri" w:eastAsia="Times New Roman" w:hAnsi="Calibri" w:cs="Calibri"/>
                <w:b/>
                <w:bCs/>
                <w:color w:val="FFFFFF"/>
                <w:lang w:eastAsia="en-AU"/>
              </w:rPr>
              <w:t>Times</w:t>
            </w:r>
          </w:p>
        </w:tc>
        <w:tc>
          <w:tcPr>
            <w:tcW w:w="1616" w:type="dxa"/>
            <w:vMerge w:val="restart"/>
            <w:tcBorders>
              <w:top w:val="single" w:sz="12" w:space="0" w:color="auto"/>
              <w:left w:val="single" w:sz="4" w:space="0" w:color="auto"/>
              <w:bottom w:val="single" w:sz="4" w:space="0" w:color="auto"/>
              <w:right w:val="single" w:sz="4" w:space="0" w:color="auto"/>
            </w:tcBorders>
            <w:shd w:val="clear" w:color="000000" w:fill="878541"/>
            <w:vAlign w:val="center"/>
            <w:hideMark/>
          </w:tcPr>
          <w:p w14:paraId="2283C545" w14:textId="77777777" w:rsidR="001839C9" w:rsidRPr="00D62104" w:rsidRDefault="001839C9" w:rsidP="00F5719E">
            <w:pPr>
              <w:jc w:val="center"/>
              <w:rPr>
                <w:rFonts w:ascii="Calibri" w:eastAsia="Times New Roman" w:hAnsi="Calibri" w:cs="Calibri"/>
                <w:b/>
                <w:bCs/>
                <w:color w:val="FFFFFF"/>
                <w:sz w:val="32"/>
                <w:szCs w:val="32"/>
                <w:lang w:eastAsia="en-AU"/>
              </w:rPr>
            </w:pPr>
            <w:r>
              <w:rPr>
                <w:rFonts w:ascii="Calibri" w:eastAsia="Times New Roman" w:hAnsi="Calibri" w:cs="Calibri"/>
                <w:b/>
                <w:bCs/>
                <w:color w:val="FFFFFF"/>
                <w:lang w:eastAsia="en-AU"/>
              </w:rPr>
              <w:t xml:space="preserve">Non-compliance </w:t>
            </w:r>
            <w:r w:rsidRPr="006328A1">
              <w:rPr>
                <w:rFonts w:ascii="Calibri" w:eastAsia="Times New Roman" w:hAnsi="Calibri" w:cs="Calibri"/>
                <w:b/>
                <w:bCs/>
                <w:color w:val="FFFFFF"/>
                <w:lang w:eastAsia="en-AU"/>
              </w:rPr>
              <w:t>%</w:t>
            </w:r>
          </w:p>
        </w:tc>
        <w:tc>
          <w:tcPr>
            <w:tcW w:w="1603" w:type="dxa"/>
            <w:gridSpan w:val="2"/>
            <w:tcBorders>
              <w:top w:val="single" w:sz="12" w:space="0" w:color="auto"/>
              <w:left w:val="nil"/>
              <w:bottom w:val="single" w:sz="4" w:space="0" w:color="auto"/>
              <w:right w:val="single" w:sz="4" w:space="0" w:color="auto"/>
            </w:tcBorders>
            <w:shd w:val="clear" w:color="000000" w:fill="878541"/>
            <w:vAlign w:val="center"/>
            <w:hideMark/>
          </w:tcPr>
          <w:p w14:paraId="3433BD7C" w14:textId="77777777" w:rsidR="001839C9" w:rsidRPr="006769A1" w:rsidRDefault="001839C9" w:rsidP="00F5719E">
            <w:pPr>
              <w:jc w:val="center"/>
              <w:rPr>
                <w:rFonts w:ascii="Calibri" w:eastAsia="Times New Roman" w:hAnsi="Calibri" w:cs="Calibri"/>
                <w:b/>
                <w:bCs/>
                <w:color w:val="FFFFFF"/>
                <w:sz w:val="20"/>
                <w:szCs w:val="20"/>
                <w:lang w:eastAsia="en-AU"/>
              </w:rPr>
            </w:pPr>
            <w:r w:rsidRPr="006769A1">
              <w:rPr>
                <w:rFonts w:ascii="Calibri" w:eastAsia="Times New Roman" w:hAnsi="Calibri" w:cs="Calibri"/>
                <w:b/>
                <w:bCs/>
                <w:color w:val="FFFFFF"/>
                <w:sz w:val="20"/>
                <w:szCs w:val="20"/>
                <w:lang w:eastAsia="en-AU"/>
              </w:rPr>
              <w:t>Documentation</w:t>
            </w:r>
          </w:p>
        </w:tc>
        <w:tc>
          <w:tcPr>
            <w:tcW w:w="1633" w:type="dxa"/>
            <w:gridSpan w:val="2"/>
            <w:tcBorders>
              <w:top w:val="single" w:sz="12" w:space="0" w:color="auto"/>
              <w:left w:val="nil"/>
              <w:bottom w:val="single" w:sz="4" w:space="0" w:color="auto"/>
              <w:right w:val="single" w:sz="4" w:space="0" w:color="auto"/>
            </w:tcBorders>
            <w:shd w:val="clear" w:color="000000" w:fill="878541"/>
            <w:vAlign w:val="center"/>
            <w:hideMark/>
          </w:tcPr>
          <w:p w14:paraId="3FF91A95" w14:textId="77777777" w:rsidR="001839C9" w:rsidRPr="006769A1" w:rsidRDefault="001839C9" w:rsidP="00F5719E">
            <w:pPr>
              <w:jc w:val="center"/>
              <w:rPr>
                <w:rFonts w:ascii="Calibri" w:eastAsia="Times New Roman" w:hAnsi="Calibri" w:cs="Calibri"/>
                <w:b/>
                <w:bCs/>
                <w:color w:val="FFFFFF"/>
                <w:sz w:val="20"/>
                <w:szCs w:val="20"/>
                <w:lang w:eastAsia="en-AU"/>
              </w:rPr>
            </w:pPr>
            <w:r w:rsidRPr="006769A1">
              <w:rPr>
                <w:rFonts w:ascii="Calibri" w:eastAsia="Times New Roman" w:hAnsi="Calibri" w:cs="Calibri"/>
                <w:b/>
                <w:bCs/>
                <w:color w:val="FFFFFF"/>
                <w:sz w:val="20"/>
                <w:szCs w:val="20"/>
                <w:lang w:eastAsia="en-AU"/>
              </w:rPr>
              <w:t>Implementation</w:t>
            </w:r>
          </w:p>
        </w:tc>
        <w:tc>
          <w:tcPr>
            <w:tcW w:w="1548" w:type="dxa"/>
            <w:gridSpan w:val="2"/>
            <w:tcBorders>
              <w:top w:val="single" w:sz="12" w:space="0" w:color="auto"/>
              <w:left w:val="nil"/>
              <w:bottom w:val="single" w:sz="4" w:space="0" w:color="auto"/>
              <w:right w:val="single" w:sz="12" w:space="0" w:color="auto"/>
            </w:tcBorders>
            <w:shd w:val="clear" w:color="000000" w:fill="878541"/>
            <w:vAlign w:val="center"/>
            <w:hideMark/>
          </w:tcPr>
          <w:p w14:paraId="527DAC7B" w14:textId="77777777" w:rsidR="001839C9" w:rsidRPr="006769A1" w:rsidRDefault="001839C9" w:rsidP="00F5719E">
            <w:pPr>
              <w:jc w:val="center"/>
              <w:rPr>
                <w:rFonts w:ascii="Calibri" w:eastAsia="Times New Roman" w:hAnsi="Calibri" w:cs="Calibri"/>
                <w:b/>
                <w:bCs/>
                <w:color w:val="FFFFFF"/>
                <w:lang w:eastAsia="en-AU"/>
              </w:rPr>
            </w:pPr>
            <w:r w:rsidRPr="006769A1">
              <w:rPr>
                <w:rFonts w:ascii="Calibri" w:eastAsia="Times New Roman" w:hAnsi="Calibri" w:cs="Calibri"/>
                <w:b/>
                <w:bCs/>
                <w:color w:val="FFFFFF"/>
                <w:lang w:eastAsia="en-AU"/>
              </w:rPr>
              <w:t>Both</w:t>
            </w:r>
          </w:p>
        </w:tc>
      </w:tr>
      <w:tr w:rsidR="006769A1" w:rsidRPr="006769A1" w14:paraId="785CE42F" w14:textId="77777777" w:rsidTr="00F5719E">
        <w:trPr>
          <w:trHeight w:val="300"/>
        </w:trPr>
        <w:tc>
          <w:tcPr>
            <w:tcW w:w="978" w:type="dxa"/>
            <w:vMerge/>
            <w:tcBorders>
              <w:top w:val="single" w:sz="4" w:space="0" w:color="auto"/>
              <w:left w:val="single" w:sz="12" w:space="0" w:color="auto"/>
              <w:bottom w:val="single" w:sz="12" w:space="0" w:color="auto"/>
              <w:right w:val="single" w:sz="12" w:space="0" w:color="auto"/>
            </w:tcBorders>
            <w:vAlign w:val="center"/>
            <w:hideMark/>
          </w:tcPr>
          <w:p w14:paraId="7B885254" w14:textId="77777777" w:rsidR="006769A1" w:rsidRPr="006769A1" w:rsidRDefault="006769A1" w:rsidP="00F5719E">
            <w:pPr>
              <w:rPr>
                <w:rFonts w:ascii="Calibri" w:eastAsia="Times New Roman" w:hAnsi="Calibri" w:cs="Calibri"/>
                <w:b/>
                <w:bCs/>
                <w:color w:val="FFFFFF"/>
                <w:lang w:eastAsia="en-AU"/>
              </w:rPr>
            </w:pPr>
          </w:p>
        </w:tc>
        <w:tc>
          <w:tcPr>
            <w:tcW w:w="850" w:type="dxa"/>
            <w:tcBorders>
              <w:top w:val="nil"/>
              <w:left w:val="single" w:sz="12" w:space="0" w:color="auto"/>
              <w:bottom w:val="single" w:sz="12" w:space="0" w:color="auto"/>
              <w:right w:val="single" w:sz="4" w:space="0" w:color="auto"/>
            </w:tcBorders>
            <w:shd w:val="clear" w:color="000000" w:fill="878541"/>
            <w:vAlign w:val="center"/>
            <w:hideMark/>
          </w:tcPr>
          <w:p w14:paraId="37CB6D4F" w14:textId="77777777" w:rsidR="006769A1" w:rsidRPr="006769A1" w:rsidRDefault="006769A1" w:rsidP="00F5719E">
            <w:pPr>
              <w:jc w:val="center"/>
              <w:rPr>
                <w:rFonts w:ascii="Calibri" w:eastAsia="Times New Roman" w:hAnsi="Calibri" w:cs="Calibri"/>
                <w:b/>
                <w:bCs/>
                <w:color w:val="FFFFFF"/>
                <w:lang w:eastAsia="en-AU"/>
              </w:rPr>
            </w:pPr>
            <w:r w:rsidRPr="006769A1">
              <w:rPr>
                <w:rFonts w:ascii="Calibri" w:eastAsia="Times New Roman" w:hAnsi="Calibri" w:cs="Calibri"/>
                <w:b/>
                <w:bCs/>
                <w:color w:val="FFFFFF"/>
                <w:lang w:eastAsia="en-AU"/>
              </w:rPr>
              <w:t>Issued</w:t>
            </w:r>
          </w:p>
        </w:tc>
        <w:tc>
          <w:tcPr>
            <w:tcW w:w="992" w:type="dxa"/>
            <w:tcBorders>
              <w:top w:val="nil"/>
              <w:left w:val="nil"/>
              <w:bottom w:val="single" w:sz="12" w:space="0" w:color="auto"/>
              <w:right w:val="single" w:sz="4" w:space="0" w:color="auto"/>
            </w:tcBorders>
            <w:shd w:val="clear" w:color="000000" w:fill="878541"/>
            <w:vAlign w:val="center"/>
            <w:hideMark/>
          </w:tcPr>
          <w:p w14:paraId="122D2EDE" w14:textId="77777777" w:rsidR="006769A1" w:rsidRPr="006769A1" w:rsidRDefault="00B0659A" w:rsidP="00F5719E">
            <w:pPr>
              <w:rPr>
                <w:rFonts w:ascii="Calibri" w:eastAsia="Times New Roman" w:hAnsi="Calibri" w:cs="Calibri"/>
                <w:b/>
                <w:bCs/>
                <w:color w:val="FFFFFF"/>
                <w:lang w:eastAsia="en-AU"/>
              </w:rPr>
            </w:pPr>
            <w:r>
              <w:rPr>
                <w:rFonts w:ascii="Calibri" w:eastAsia="Times New Roman" w:hAnsi="Calibri" w:cs="Calibri"/>
                <w:b/>
                <w:bCs/>
                <w:color w:val="FFFFFF"/>
                <w:lang w:eastAsia="en-AU"/>
              </w:rPr>
              <w:t>Audited</w:t>
            </w:r>
          </w:p>
        </w:tc>
        <w:tc>
          <w:tcPr>
            <w:tcW w:w="1616" w:type="dxa"/>
            <w:vMerge/>
            <w:tcBorders>
              <w:top w:val="single" w:sz="4" w:space="0" w:color="auto"/>
              <w:left w:val="single" w:sz="4" w:space="0" w:color="auto"/>
              <w:bottom w:val="single" w:sz="12" w:space="0" w:color="auto"/>
              <w:right w:val="single" w:sz="4" w:space="0" w:color="auto"/>
            </w:tcBorders>
            <w:vAlign w:val="center"/>
            <w:hideMark/>
          </w:tcPr>
          <w:p w14:paraId="6A6BB2D8" w14:textId="77777777" w:rsidR="006769A1" w:rsidRPr="006769A1" w:rsidRDefault="006769A1" w:rsidP="00F5719E">
            <w:pPr>
              <w:rPr>
                <w:rFonts w:ascii="Calibri" w:eastAsia="Times New Roman" w:hAnsi="Calibri" w:cs="Calibri"/>
                <w:b/>
                <w:bCs/>
                <w:color w:val="FFFFFF"/>
                <w:lang w:eastAsia="en-AU"/>
              </w:rPr>
            </w:pPr>
          </w:p>
        </w:tc>
        <w:tc>
          <w:tcPr>
            <w:tcW w:w="598" w:type="dxa"/>
            <w:tcBorders>
              <w:top w:val="nil"/>
              <w:left w:val="nil"/>
              <w:bottom w:val="single" w:sz="12" w:space="0" w:color="auto"/>
              <w:right w:val="single" w:sz="4" w:space="0" w:color="auto"/>
            </w:tcBorders>
            <w:shd w:val="clear" w:color="000000" w:fill="878541"/>
            <w:vAlign w:val="center"/>
            <w:hideMark/>
          </w:tcPr>
          <w:p w14:paraId="40B8EB26" w14:textId="77777777" w:rsidR="006769A1" w:rsidRPr="006769A1" w:rsidRDefault="006769A1" w:rsidP="00F5719E">
            <w:pPr>
              <w:jc w:val="center"/>
              <w:rPr>
                <w:rFonts w:ascii="Calibri" w:eastAsia="Times New Roman" w:hAnsi="Calibri" w:cs="Calibri"/>
                <w:b/>
                <w:bCs/>
                <w:color w:val="FFFFFF"/>
                <w:sz w:val="20"/>
                <w:szCs w:val="20"/>
                <w:lang w:eastAsia="en-AU"/>
              </w:rPr>
            </w:pPr>
            <w:r w:rsidRPr="006769A1">
              <w:rPr>
                <w:rFonts w:ascii="Calibri" w:eastAsia="Times New Roman" w:hAnsi="Calibri" w:cs="Calibri"/>
                <w:b/>
                <w:bCs/>
                <w:color w:val="FFFFFF"/>
                <w:sz w:val="20"/>
                <w:szCs w:val="20"/>
                <w:lang w:eastAsia="en-AU"/>
              </w:rPr>
              <w:t>#</w:t>
            </w:r>
          </w:p>
        </w:tc>
        <w:tc>
          <w:tcPr>
            <w:tcW w:w="1005" w:type="dxa"/>
            <w:tcBorders>
              <w:top w:val="nil"/>
              <w:left w:val="nil"/>
              <w:bottom w:val="single" w:sz="12" w:space="0" w:color="auto"/>
              <w:right w:val="single" w:sz="4" w:space="0" w:color="auto"/>
            </w:tcBorders>
            <w:shd w:val="clear" w:color="000000" w:fill="878541"/>
            <w:vAlign w:val="center"/>
            <w:hideMark/>
          </w:tcPr>
          <w:p w14:paraId="1121F31D" w14:textId="77777777" w:rsidR="006769A1" w:rsidRPr="006769A1" w:rsidRDefault="006769A1" w:rsidP="00F5719E">
            <w:pPr>
              <w:jc w:val="center"/>
              <w:rPr>
                <w:rFonts w:ascii="Calibri" w:eastAsia="Times New Roman" w:hAnsi="Calibri" w:cs="Calibri"/>
                <w:b/>
                <w:bCs/>
                <w:color w:val="FFFFFF"/>
                <w:sz w:val="20"/>
                <w:szCs w:val="20"/>
                <w:lang w:eastAsia="en-AU"/>
              </w:rPr>
            </w:pPr>
            <w:r w:rsidRPr="006769A1">
              <w:rPr>
                <w:rFonts w:ascii="Calibri" w:eastAsia="Times New Roman" w:hAnsi="Calibri" w:cs="Calibri"/>
                <w:b/>
                <w:bCs/>
                <w:color w:val="FFFFFF"/>
                <w:sz w:val="20"/>
                <w:szCs w:val="20"/>
                <w:lang w:eastAsia="en-AU"/>
              </w:rPr>
              <w:t>%</w:t>
            </w:r>
          </w:p>
        </w:tc>
        <w:tc>
          <w:tcPr>
            <w:tcW w:w="615" w:type="dxa"/>
            <w:tcBorders>
              <w:top w:val="nil"/>
              <w:left w:val="nil"/>
              <w:bottom w:val="single" w:sz="12" w:space="0" w:color="auto"/>
              <w:right w:val="single" w:sz="4" w:space="0" w:color="auto"/>
            </w:tcBorders>
            <w:shd w:val="clear" w:color="000000" w:fill="878541"/>
            <w:vAlign w:val="center"/>
            <w:hideMark/>
          </w:tcPr>
          <w:p w14:paraId="5E785EFF" w14:textId="77777777" w:rsidR="006769A1" w:rsidRPr="006769A1" w:rsidRDefault="006769A1" w:rsidP="00F5719E">
            <w:pPr>
              <w:jc w:val="center"/>
              <w:rPr>
                <w:rFonts w:ascii="Calibri" w:eastAsia="Times New Roman" w:hAnsi="Calibri" w:cs="Calibri"/>
                <w:b/>
                <w:bCs/>
                <w:color w:val="FFFFFF"/>
                <w:sz w:val="20"/>
                <w:szCs w:val="20"/>
                <w:lang w:eastAsia="en-AU"/>
              </w:rPr>
            </w:pPr>
            <w:r w:rsidRPr="006769A1">
              <w:rPr>
                <w:rFonts w:ascii="Calibri" w:eastAsia="Times New Roman" w:hAnsi="Calibri" w:cs="Calibri"/>
                <w:b/>
                <w:bCs/>
                <w:color w:val="FFFFFF"/>
                <w:sz w:val="20"/>
                <w:szCs w:val="20"/>
                <w:lang w:eastAsia="en-AU"/>
              </w:rPr>
              <w:t>#</w:t>
            </w:r>
          </w:p>
        </w:tc>
        <w:tc>
          <w:tcPr>
            <w:tcW w:w="1018" w:type="dxa"/>
            <w:tcBorders>
              <w:top w:val="nil"/>
              <w:left w:val="nil"/>
              <w:bottom w:val="single" w:sz="12" w:space="0" w:color="auto"/>
              <w:right w:val="single" w:sz="4" w:space="0" w:color="auto"/>
            </w:tcBorders>
            <w:shd w:val="clear" w:color="000000" w:fill="878541"/>
            <w:vAlign w:val="center"/>
            <w:hideMark/>
          </w:tcPr>
          <w:p w14:paraId="4AE15712" w14:textId="77777777" w:rsidR="006769A1" w:rsidRPr="006769A1" w:rsidRDefault="006769A1" w:rsidP="00F5719E">
            <w:pPr>
              <w:jc w:val="center"/>
              <w:rPr>
                <w:rFonts w:ascii="Calibri" w:eastAsia="Times New Roman" w:hAnsi="Calibri" w:cs="Calibri"/>
                <w:b/>
                <w:bCs/>
                <w:color w:val="FFFFFF"/>
                <w:sz w:val="20"/>
                <w:szCs w:val="20"/>
                <w:lang w:eastAsia="en-AU"/>
              </w:rPr>
            </w:pPr>
            <w:r w:rsidRPr="006769A1">
              <w:rPr>
                <w:rFonts w:ascii="Calibri" w:eastAsia="Times New Roman" w:hAnsi="Calibri" w:cs="Calibri"/>
                <w:b/>
                <w:bCs/>
                <w:color w:val="FFFFFF"/>
                <w:sz w:val="20"/>
                <w:szCs w:val="20"/>
                <w:lang w:eastAsia="en-AU"/>
              </w:rPr>
              <w:t>%</w:t>
            </w:r>
          </w:p>
        </w:tc>
        <w:tc>
          <w:tcPr>
            <w:tcW w:w="500" w:type="dxa"/>
            <w:tcBorders>
              <w:top w:val="nil"/>
              <w:left w:val="nil"/>
              <w:bottom w:val="single" w:sz="12" w:space="0" w:color="auto"/>
              <w:right w:val="single" w:sz="4" w:space="0" w:color="auto"/>
            </w:tcBorders>
            <w:shd w:val="clear" w:color="000000" w:fill="878541"/>
            <w:vAlign w:val="center"/>
            <w:hideMark/>
          </w:tcPr>
          <w:p w14:paraId="41D61FBC" w14:textId="77777777" w:rsidR="006769A1" w:rsidRPr="006769A1" w:rsidRDefault="006769A1" w:rsidP="00F5719E">
            <w:pPr>
              <w:jc w:val="center"/>
              <w:rPr>
                <w:rFonts w:ascii="Calibri" w:eastAsia="Times New Roman" w:hAnsi="Calibri" w:cs="Calibri"/>
                <w:b/>
                <w:bCs/>
                <w:color w:val="FFFFFF"/>
                <w:sz w:val="20"/>
                <w:szCs w:val="20"/>
                <w:lang w:eastAsia="en-AU"/>
              </w:rPr>
            </w:pPr>
            <w:r w:rsidRPr="006769A1">
              <w:rPr>
                <w:rFonts w:ascii="Calibri" w:eastAsia="Times New Roman" w:hAnsi="Calibri" w:cs="Calibri"/>
                <w:b/>
                <w:bCs/>
                <w:color w:val="FFFFFF"/>
                <w:sz w:val="20"/>
                <w:szCs w:val="20"/>
                <w:lang w:eastAsia="en-AU"/>
              </w:rPr>
              <w:t>#</w:t>
            </w:r>
          </w:p>
        </w:tc>
        <w:tc>
          <w:tcPr>
            <w:tcW w:w="1048" w:type="dxa"/>
            <w:tcBorders>
              <w:top w:val="nil"/>
              <w:left w:val="nil"/>
              <w:bottom w:val="single" w:sz="12" w:space="0" w:color="auto"/>
              <w:right w:val="single" w:sz="12" w:space="0" w:color="auto"/>
            </w:tcBorders>
            <w:shd w:val="clear" w:color="000000" w:fill="878541"/>
            <w:vAlign w:val="center"/>
            <w:hideMark/>
          </w:tcPr>
          <w:p w14:paraId="4E8C531A" w14:textId="77777777" w:rsidR="006769A1" w:rsidRPr="006769A1" w:rsidRDefault="006769A1" w:rsidP="00F5719E">
            <w:pPr>
              <w:jc w:val="center"/>
              <w:rPr>
                <w:rFonts w:ascii="Calibri" w:eastAsia="Times New Roman" w:hAnsi="Calibri" w:cs="Calibri"/>
                <w:b/>
                <w:bCs/>
                <w:color w:val="FFFFFF"/>
                <w:sz w:val="20"/>
                <w:szCs w:val="20"/>
                <w:lang w:eastAsia="en-AU"/>
              </w:rPr>
            </w:pPr>
            <w:r w:rsidRPr="006769A1">
              <w:rPr>
                <w:rFonts w:ascii="Calibri" w:eastAsia="Times New Roman" w:hAnsi="Calibri" w:cs="Calibri"/>
                <w:b/>
                <w:bCs/>
                <w:color w:val="FFFFFF"/>
                <w:sz w:val="20"/>
                <w:szCs w:val="20"/>
                <w:lang w:eastAsia="en-AU"/>
              </w:rPr>
              <w:t>%</w:t>
            </w:r>
          </w:p>
        </w:tc>
      </w:tr>
      <w:tr w:rsidR="00E03EBD" w:rsidRPr="006769A1" w14:paraId="4FD8AAF8" w14:textId="77777777" w:rsidTr="00F5719E">
        <w:trPr>
          <w:trHeight w:val="300"/>
        </w:trPr>
        <w:tc>
          <w:tcPr>
            <w:tcW w:w="978" w:type="dxa"/>
            <w:tcBorders>
              <w:top w:val="single" w:sz="12" w:space="0" w:color="auto"/>
              <w:left w:val="single" w:sz="12" w:space="0" w:color="auto"/>
              <w:bottom w:val="single" w:sz="4" w:space="0" w:color="auto"/>
              <w:right w:val="single" w:sz="12" w:space="0" w:color="auto"/>
            </w:tcBorders>
            <w:shd w:val="clear" w:color="auto" w:fill="E1E0C1"/>
            <w:noWrap/>
            <w:vAlign w:val="bottom"/>
            <w:hideMark/>
          </w:tcPr>
          <w:p w14:paraId="1EAAD3D1" w14:textId="77777777" w:rsidR="00E03EBD" w:rsidRPr="006769A1" w:rsidRDefault="00E03EBD" w:rsidP="00F5719E">
            <w:pPr>
              <w:jc w:val="center"/>
              <w:rPr>
                <w:rFonts w:ascii="Calibri" w:eastAsia="Times New Roman" w:hAnsi="Calibri" w:cs="Calibri"/>
                <w:b/>
                <w:bCs/>
                <w:color w:val="000000"/>
                <w:sz w:val="24"/>
                <w:szCs w:val="24"/>
                <w:lang w:eastAsia="en-AU"/>
              </w:rPr>
            </w:pPr>
            <w:r w:rsidRPr="006769A1">
              <w:rPr>
                <w:rFonts w:ascii="Calibri" w:eastAsia="Times New Roman" w:hAnsi="Calibri" w:cs="Calibri"/>
                <w:b/>
                <w:bCs/>
                <w:color w:val="000000"/>
                <w:sz w:val="24"/>
                <w:szCs w:val="24"/>
                <w:lang w:eastAsia="en-AU"/>
              </w:rPr>
              <w:t>H1.1</w:t>
            </w:r>
          </w:p>
        </w:tc>
        <w:tc>
          <w:tcPr>
            <w:tcW w:w="850" w:type="dxa"/>
            <w:tcBorders>
              <w:top w:val="single" w:sz="12" w:space="0" w:color="auto"/>
              <w:left w:val="single" w:sz="12" w:space="0" w:color="auto"/>
              <w:bottom w:val="single" w:sz="4" w:space="0" w:color="auto"/>
              <w:right w:val="single" w:sz="4" w:space="0" w:color="auto"/>
            </w:tcBorders>
            <w:shd w:val="clear" w:color="auto" w:fill="E1E0C1"/>
            <w:vAlign w:val="center"/>
            <w:hideMark/>
          </w:tcPr>
          <w:p w14:paraId="1A8CAC67"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14</w:t>
            </w:r>
          </w:p>
        </w:tc>
        <w:tc>
          <w:tcPr>
            <w:tcW w:w="992" w:type="dxa"/>
            <w:tcBorders>
              <w:top w:val="single" w:sz="12" w:space="0" w:color="auto"/>
              <w:left w:val="nil"/>
              <w:bottom w:val="single" w:sz="4" w:space="0" w:color="auto"/>
              <w:right w:val="single" w:sz="4" w:space="0" w:color="auto"/>
            </w:tcBorders>
            <w:shd w:val="clear" w:color="000000" w:fill="E1E0C1"/>
            <w:vAlign w:val="center"/>
            <w:hideMark/>
          </w:tcPr>
          <w:p w14:paraId="21BEBD18"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61</w:t>
            </w:r>
          </w:p>
        </w:tc>
        <w:tc>
          <w:tcPr>
            <w:tcW w:w="1616" w:type="dxa"/>
            <w:tcBorders>
              <w:top w:val="single" w:sz="12" w:space="0" w:color="auto"/>
              <w:left w:val="nil"/>
              <w:bottom w:val="single" w:sz="4" w:space="0" w:color="auto"/>
              <w:right w:val="single" w:sz="4" w:space="0" w:color="auto"/>
            </w:tcBorders>
            <w:shd w:val="clear" w:color="000000" w:fill="E1E0C1"/>
            <w:vAlign w:val="center"/>
            <w:hideMark/>
          </w:tcPr>
          <w:p w14:paraId="2D68F4BF"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23%</w:t>
            </w:r>
          </w:p>
        </w:tc>
        <w:tc>
          <w:tcPr>
            <w:tcW w:w="598" w:type="dxa"/>
            <w:tcBorders>
              <w:top w:val="single" w:sz="12" w:space="0" w:color="auto"/>
              <w:left w:val="nil"/>
              <w:bottom w:val="single" w:sz="4" w:space="0" w:color="auto"/>
              <w:right w:val="single" w:sz="4" w:space="0" w:color="auto"/>
            </w:tcBorders>
            <w:shd w:val="clear" w:color="000000" w:fill="E1E0C1"/>
            <w:vAlign w:val="center"/>
            <w:hideMark/>
          </w:tcPr>
          <w:p w14:paraId="2E82119D"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3</w:t>
            </w:r>
          </w:p>
        </w:tc>
        <w:tc>
          <w:tcPr>
            <w:tcW w:w="1005" w:type="dxa"/>
            <w:tcBorders>
              <w:top w:val="single" w:sz="12" w:space="0" w:color="auto"/>
              <w:left w:val="nil"/>
              <w:bottom w:val="single" w:sz="4" w:space="0" w:color="auto"/>
              <w:right w:val="single" w:sz="4" w:space="0" w:color="auto"/>
            </w:tcBorders>
            <w:shd w:val="clear" w:color="000000" w:fill="E1E0C1"/>
            <w:vAlign w:val="center"/>
            <w:hideMark/>
          </w:tcPr>
          <w:p w14:paraId="4EEA7FC9"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21.4%</w:t>
            </w:r>
          </w:p>
        </w:tc>
        <w:tc>
          <w:tcPr>
            <w:tcW w:w="615" w:type="dxa"/>
            <w:tcBorders>
              <w:top w:val="single" w:sz="12" w:space="0" w:color="auto"/>
              <w:left w:val="nil"/>
              <w:bottom w:val="single" w:sz="4" w:space="0" w:color="auto"/>
              <w:right w:val="single" w:sz="4" w:space="0" w:color="auto"/>
            </w:tcBorders>
            <w:shd w:val="clear" w:color="000000" w:fill="E1E0C1"/>
            <w:vAlign w:val="center"/>
            <w:hideMark/>
          </w:tcPr>
          <w:p w14:paraId="1535345D"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6</w:t>
            </w:r>
          </w:p>
        </w:tc>
        <w:tc>
          <w:tcPr>
            <w:tcW w:w="1018" w:type="dxa"/>
            <w:tcBorders>
              <w:top w:val="single" w:sz="12" w:space="0" w:color="auto"/>
              <w:left w:val="nil"/>
              <w:bottom w:val="single" w:sz="4" w:space="0" w:color="auto"/>
              <w:right w:val="single" w:sz="4" w:space="0" w:color="auto"/>
            </w:tcBorders>
            <w:shd w:val="clear" w:color="000000" w:fill="E1E0C1"/>
            <w:vAlign w:val="center"/>
            <w:hideMark/>
          </w:tcPr>
          <w:p w14:paraId="35268E4E"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42.9%</w:t>
            </w:r>
          </w:p>
        </w:tc>
        <w:tc>
          <w:tcPr>
            <w:tcW w:w="500" w:type="dxa"/>
            <w:tcBorders>
              <w:top w:val="single" w:sz="12" w:space="0" w:color="auto"/>
              <w:left w:val="nil"/>
              <w:bottom w:val="single" w:sz="4" w:space="0" w:color="auto"/>
              <w:right w:val="single" w:sz="4" w:space="0" w:color="auto"/>
            </w:tcBorders>
            <w:shd w:val="clear" w:color="000000" w:fill="E1E0C1"/>
            <w:vAlign w:val="center"/>
            <w:hideMark/>
          </w:tcPr>
          <w:p w14:paraId="232E1ADB"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5</w:t>
            </w:r>
          </w:p>
        </w:tc>
        <w:tc>
          <w:tcPr>
            <w:tcW w:w="1048" w:type="dxa"/>
            <w:tcBorders>
              <w:top w:val="single" w:sz="12" w:space="0" w:color="auto"/>
              <w:left w:val="nil"/>
              <w:bottom w:val="single" w:sz="4" w:space="0" w:color="auto"/>
              <w:right w:val="single" w:sz="12" w:space="0" w:color="auto"/>
            </w:tcBorders>
            <w:shd w:val="clear" w:color="000000" w:fill="E1E0C1"/>
            <w:vAlign w:val="center"/>
            <w:hideMark/>
          </w:tcPr>
          <w:p w14:paraId="3AC91934"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35.7%</w:t>
            </w:r>
          </w:p>
        </w:tc>
      </w:tr>
      <w:tr w:rsidR="00E03EBD" w:rsidRPr="006769A1" w14:paraId="4382E8BF" w14:textId="77777777" w:rsidTr="00F5719E">
        <w:trPr>
          <w:trHeight w:val="300"/>
        </w:trPr>
        <w:tc>
          <w:tcPr>
            <w:tcW w:w="978" w:type="dxa"/>
            <w:tcBorders>
              <w:top w:val="nil"/>
              <w:left w:val="single" w:sz="12" w:space="0" w:color="auto"/>
              <w:bottom w:val="single" w:sz="4" w:space="0" w:color="auto"/>
              <w:right w:val="single" w:sz="12" w:space="0" w:color="auto"/>
            </w:tcBorders>
            <w:shd w:val="clear" w:color="auto" w:fill="EEECE1" w:themeFill="background2"/>
            <w:noWrap/>
            <w:vAlign w:val="bottom"/>
            <w:hideMark/>
          </w:tcPr>
          <w:p w14:paraId="4623C615" w14:textId="77777777" w:rsidR="00E03EBD" w:rsidRPr="006769A1" w:rsidRDefault="00E03EBD" w:rsidP="00F5719E">
            <w:pPr>
              <w:jc w:val="center"/>
              <w:rPr>
                <w:rFonts w:ascii="Calibri" w:eastAsia="Times New Roman" w:hAnsi="Calibri" w:cs="Calibri"/>
                <w:b/>
                <w:bCs/>
                <w:color w:val="000000"/>
                <w:sz w:val="24"/>
                <w:szCs w:val="24"/>
                <w:lang w:eastAsia="en-AU"/>
              </w:rPr>
            </w:pPr>
            <w:r w:rsidRPr="006769A1">
              <w:rPr>
                <w:rFonts w:ascii="Calibri" w:eastAsia="Times New Roman" w:hAnsi="Calibri" w:cs="Calibri"/>
                <w:b/>
                <w:bCs/>
                <w:color w:val="000000"/>
                <w:sz w:val="24"/>
                <w:szCs w:val="24"/>
                <w:lang w:eastAsia="en-AU"/>
              </w:rPr>
              <w:t>H1.4</w:t>
            </w:r>
          </w:p>
        </w:tc>
        <w:tc>
          <w:tcPr>
            <w:tcW w:w="850" w:type="dxa"/>
            <w:tcBorders>
              <w:top w:val="nil"/>
              <w:left w:val="single" w:sz="12" w:space="0" w:color="auto"/>
              <w:bottom w:val="single" w:sz="4" w:space="0" w:color="auto"/>
              <w:right w:val="single" w:sz="4" w:space="0" w:color="auto"/>
            </w:tcBorders>
            <w:shd w:val="clear" w:color="auto" w:fill="EEECE1" w:themeFill="background2"/>
            <w:vAlign w:val="center"/>
            <w:hideMark/>
          </w:tcPr>
          <w:p w14:paraId="6572F33C"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25</w:t>
            </w:r>
          </w:p>
        </w:tc>
        <w:tc>
          <w:tcPr>
            <w:tcW w:w="992" w:type="dxa"/>
            <w:tcBorders>
              <w:top w:val="nil"/>
              <w:left w:val="nil"/>
              <w:bottom w:val="single" w:sz="4" w:space="0" w:color="auto"/>
              <w:right w:val="single" w:sz="4" w:space="0" w:color="auto"/>
            </w:tcBorders>
            <w:shd w:val="clear" w:color="auto" w:fill="EEECE1" w:themeFill="background2"/>
            <w:vAlign w:val="center"/>
            <w:hideMark/>
          </w:tcPr>
          <w:p w14:paraId="05EA3C50"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61</w:t>
            </w:r>
          </w:p>
        </w:tc>
        <w:tc>
          <w:tcPr>
            <w:tcW w:w="1616" w:type="dxa"/>
            <w:tcBorders>
              <w:top w:val="nil"/>
              <w:left w:val="nil"/>
              <w:bottom w:val="single" w:sz="4" w:space="0" w:color="auto"/>
              <w:right w:val="single" w:sz="4" w:space="0" w:color="auto"/>
            </w:tcBorders>
            <w:shd w:val="clear" w:color="auto" w:fill="FF0000"/>
            <w:vAlign w:val="center"/>
            <w:hideMark/>
          </w:tcPr>
          <w:p w14:paraId="061871AD" w14:textId="77777777" w:rsidR="00E03EBD" w:rsidRPr="002C6C93" w:rsidRDefault="00E03EBD" w:rsidP="00F5719E">
            <w:pPr>
              <w:jc w:val="center"/>
              <w:rPr>
                <w:rFonts w:ascii="Calibri" w:eastAsia="Times New Roman" w:hAnsi="Calibri" w:cs="Calibri"/>
                <w:b/>
                <w:bCs/>
                <w:color w:val="FFFFFF" w:themeColor="background1"/>
                <w:sz w:val="24"/>
                <w:szCs w:val="24"/>
                <w:lang w:eastAsia="en-AU"/>
              </w:rPr>
            </w:pPr>
            <w:r w:rsidRPr="002C6C93">
              <w:rPr>
                <w:rFonts w:ascii="Calibri" w:eastAsia="Times New Roman" w:hAnsi="Calibri" w:cs="Calibri"/>
                <w:b/>
                <w:bCs/>
                <w:color w:val="FFFFFF" w:themeColor="background1"/>
                <w:sz w:val="24"/>
                <w:szCs w:val="24"/>
                <w:lang w:eastAsia="en-AU"/>
              </w:rPr>
              <w:t>41%</w:t>
            </w:r>
          </w:p>
        </w:tc>
        <w:tc>
          <w:tcPr>
            <w:tcW w:w="598" w:type="dxa"/>
            <w:tcBorders>
              <w:top w:val="nil"/>
              <w:left w:val="nil"/>
              <w:bottom w:val="single" w:sz="4" w:space="0" w:color="auto"/>
              <w:right w:val="single" w:sz="4" w:space="0" w:color="auto"/>
            </w:tcBorders>
            <w:shd w:val="clear" w:color="auto" w:fill="EEECE1" w:themeFill="background2"/>
            <w:vAlign w:val="center"/>
            <w:hideMark/>
          </w:tcPr>
          <w:p w14:paraId="72CDBE8E"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15</w:t>
            </w:r>
          </w:p>
        </w:tc>
        <w:tc>
          <w:tcPr>
            <w:tcW w:w="1005" w:type="dxa"/>
            <w:tcBorders>
              <w:top w:val="nil"/>
              <w:left w:val="nil"/>
              <w:bottom w:val="single" w:sz="4" w:space="0" w:color="auto"/>
              <w:right w:val="single" w:sz="4" w:space="0" w:color="auto"/>
            </w:tcBorders>
            <w:shd w:val="clear" w:color="auto" w:fill="EEECE1" w:themeFill="background2"/>
            <w:vAlign w:val="center"/>
            <w:hideMark/>
          </w:tcPr>
          <w:p w14:paraId="5A143D14" w14:textId="77777777" w:rsidR="00E03EBD" w:rsidRPr="00D62104" w:rsidRDefault="00E03EBD" w:rsidP="00F5719E">
            <w:pPr>
              <w:jc w:val="center"/>
              <w:rPr>
                <w:rFonts w:ascii="Calibri" w:eastAsia="Times New Roman" w:hAnsi="Calibri" w:cs="Calibri"/>
                <w:b/>
                <w:bCs/>
                <w:color w:val="FFFFFF" w:themeColor="background1"/>
                <w:sz w:val="24"/>
                <w:szCs w:val="24"/>
                <w:lang w:eastAsia="en-AU"/>
              </w:rPr>
            </w:pPr>
            <w:r>
              <w:rPr>
                <w:rFonts w:ascii="Calibri" w:hAnsi="Calibri" w:cs="Calibri"/>
                <w:color w:val="000000"/>
              </w:rPr>
              <w:t>60.0%</w:t>
            </w:r>
          </w:p>
        </w:tc>
        <w:tc>
          <w:tcPr>
            <w:tcW w:w="615" w:type="dxa"/>
            <w:tcBorders>
              <w:top w:val="nil"/>
              <w:left w:val="nil"/>
              <w:bottom w:val="single" w:sz="4" w:space="0" w:color="auto"/>
              <w:right w:val="single" w:sz="4" w:space="0" w:color="auto"/>
            </w:tcBorders>
            <w:shd w:val="clear" w:color="auto" w:fill="EEECE1" w:themeFill="background2"/>
            <w:vAlign w:val="center"/>
            <w:hideMark/>
          </w:tcPr>
          <w:p w14:paraId="55780CE5"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5</w:t>
            </w:r>
          </w:p>
        </w:tc>
        <w:tc>
          <w:tcPr>
            <w:tcW w:w="1018" w:type="dxa"/>
            <w:tcBorders>
              <w:top w:val="nil"/>
              <w:left w:val="nil"/>
              <w:bottom w:val="single" w:sz="4" w:space="0" w:color="auto"/>
              <w:right w:val="single" w:sz="4" w:space="0" w:color="auto"/>
            </w:tcBorders>
            <w:shd w:val="clear" w:color="auto" w:fill="EEECE1" w:themeFill="background2"/>
            <w:vAlign w:val="center"/>
            <w:hideMark/>
          </w:tcPr>
          <w:p w14:paraId="799384DB"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20.0%</w:t>
            </w:r>
          </w:p>
        </w:tc>
        <w:tc>
          <w:tcPr>
            <w:tcW w:w="500" w:type="dxa"/>
            <w:tcBorders>
              <w:top w:val="nil"/>
              <w:left w:val="nil"/>
              <w:bottom w:val="single" w:sz="4" w:space="0" w:color="auto"/>
              <w:right w:val="single" w:sz="4" w:space="0" w:color="auto"/>
            </w:tcBorders>
            <w:shd w:val="clear" w:color="auto" w:fill="EEECE1" w:themeFill="background2"/>
            <w:vAlign w:val="center"/>
            <w:hideMark/>
          </w:tcPr>
          <w:p w14:paraId="2B5CB355"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5</w:t>
            </w:r>
          </w:p>
        </w:tc>
        <w:tc>
          <w:tcPr>
            <w:tcW w:w="1048" w:type="dxa"/>
            <w:tcBorders>
              <w:top w:val="nil"/>
              <w:left w:val="nil"/>
              <w:bottom w:val="single" w:sz="4" w:space="0" w:color="auto"/>
              <w:right w:val="single" w:sz="12" w:space="0" w:color="auto"/>
            </w:tcBorders>
            <w:shd w:val="clear" w:color="auto" w:fill="EEECE1" w:themeFill="background2"/>
            <w:vAlign w:val="center"/>
            <w:hideMark/>
          </w:tcPr>
          <w:p w14:paraId="1E587B67"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20.0%</w:t>
            </w:r>
          </w:p>
        </w:tc>
      </w:tr>
      <w:tr w:rsidR="00E03EBD" w:rsidRPr="006769A1" w14:paraId="3DBA01D8" w14:textId="77777777" w:rsidTr="00F5719E">
        <w:trPr>
          <w:trHeight w:val="300"/>
        </w:trPr>
        <w:tc>
          <w:tcPr>
            <w:tcW w:w="978" w:type="dxa"/>
            <w:tcBorders>
              <w:top w:val="nil"/>
              <w:left w:val="single" w:sz="12" w:space="0" w:color="auto"/>
              <w:bottom w:val="single" w:sz="4" w:space="0" w:color="auto"/>
              <w:right w:val="single" w:sz="12" w:space="0" w:color="auto"/>
            </w:tcBorders>
            <w:shd w:val="clear" w:color="auto" w:fill="E1E0C1"/>
            <w:noWrap/>
            <w:vAlign w:val="bottom"/>
            <w:hideMark/>
          </w:tcPr>
          <w:p w14:paraId="1027C86C" w14:textId="77777777" w:rsidR="00E03EBD" w:rsidRPr="006769A1" w:rsidRDefault="00E03EBD" w:rsidP="00F5719E">
            <w:pPr>
              <w:jc w:val="center"/>
              <w:rPr>
                <w:rFonts w:ascii="Calibri" w:eastAsia="Times New Roman" w:hAnsi="Calibri" w:cs="Calibri"/>
                <w:b/>
                <w:bCs/>
                <w:color w:val="000000"/>
                <w:sz w:val="24"/>
                <w:szCs w:val="24"/>
                <w:lang w:eastAsia="en-AU"/>
              </w:rPr>
            </w:pPr>
            <w:r w:rsidRPr="006769A1">
              <w:rPr>
                <w:rFonts w:ascii="Calibri" w:eastAsia="Times New Roman" w:hAnsi="Calibri" w:cs="Calibri"/>
                <w:b/>
                <w:bCs/>
                <w:color w:val="000000"/>
                <w:sz w:val="24"/>
                <w:szCs w:val="24"/>
                <w:lang w:eastAsia="en-AU"/>
              </w:rPr>
              <w:t>H1.6</w:t>
            </w:r>
          </w:p>
        </w:tc>
        <w:tc>
          <w:tcPr>
            <w:tcW w:w="850" w:type="dxa"/>
            <w:tcBorders>
              <w:top w:val="nil"/>
              <w:left w:val="single" w:sz="12" w:space="0" w:color="auto"/>
              <w:bottom w:val="single" w:sz="4" w:space="0" w:color="auto"/>
              <w:right w:val="single" w:sz="4" w:space="0" w:color="auto"/>
            </w:tcBorders>
            <w:shd w:val="clear" w:color="000000" w:fill="E1E0C1"/>
            <w:vAlign w:val="center"/>
            <w:hideMark/>
          </w:tcPr>
          <w:p w14:paraId="61409353"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13</w:t>
            </w:r>
          </w:p>
        </w:tc>
        <w:tc>
          <w:tcPr>
            <w:tcW w:w="992" w:type="dxa"/>
            <w:tcBorders>
              <w:top w:val="nil"/>
              <w:left w:val="nil"/>
              <w:bottom w:val="single" w:sz="4" w:space="0" w:color="auto"/>
              <w:right w:val="single" w:sz="4" w:space="0" w:color="auto"/>
            </w:tcBorders>
            <w:shd w:val="clear" w:color="000000" w:fill="E1E0C1"/>
            <w:vAlign w:val="center"/>
            <w:hideMark/>
          </w:tcPr>
          <w:p w14:paraId="0560CAEC"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60</w:t>
            </w:r>
          </w:p>
        </w:tc>
        <w:tc>
          <w:tcPr>
            <w:tcW w:w="1616" w:type="dxa"/>
            <w:tcBorders>
              <w:top w:val="nil"/>
              <w:left w:val="nil"/>
              <w:bottom w:val="single" w:sz="4" w:space="0" w:color="auto"/>
              <w:right w:val="single" w:sz="4" w:space="0" w:color="auto"/>
            </w:tcBorders>
            <w:shd w:val="clear" w:color="000000" w:fill="E1E0C1"/>
            <w:vAlign w:val="center"/>
            <w:hideMark/>
          </w:tcPr>
          <w:p w14:paraId="6D556532"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21.7%</w:t>
            </w:r>
          </w:p>
        </w:tc>
        <w:tc>
          <w:tcPr>
            <w:tcW w:w="598" w:type="dxa"/>
            <w:tcBorders>
              <w:top w:val="nil"/>
              <w:left w:val="nil"/>
              <w:bottom w:val="single" w:sz="4" w:space="0" w:color="auto"/>
              <w:right w:val="single" w:sz="4" w:space="0" w:color="auto"/>
            </w:tcBorders>
            <w:shd w:val="clear" w:color="000000" w:fill="E1E0C1"/>
            <w:vAlign w:val="center"/>
            <w:hideMark/>
          </w:tcPr>
          <w:p w14:paraId="0018287A"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6</w:t>
            </w:r>
          </w:p>
        </w:tc>
        <w:tc>
          <w:tcPr>
            <w:tcW w:w="1005" w:type="dxa"/>
            <w:tcBorders>
              <w:top w:val="nil"/>
              <w:left w:val="nil"/>
              <w:bottom w:val="single" w:sz="4" w:space="0" w:color="auto"/>
              <w:right w:val="single" w:sz="4" w:space="0" w:color="auto"/>
            </w:tcBorders>
            <w:shd w:val="clear" w:color="000000" w:fill="E1E0C1"/>
            <w:vAlign w:val="center"/>
            <w:hideMark/>
          </w:tcPr>
          <w:p w14:paraId="39D586CB"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46.2%</w:t>
            </w:r>
          </w:p>
        </w:tc>
        <w:tc>
          <w:tcPr>
            <w:tcW w:w="615" w:type="dxa"/>
            <w:tcBorders>
              <w:top w:val="nil"/>
              <w:left w:val="nil"/>
              <w:bottom w:val="single" w:sz="4" w:space="0" w:color="auto"/>
              <w:right w:val="single" w:sz="4" w:space="0" w:color="auto"/>
            </w:tcBorders>
            <w:shd w:val="clear" w:color="000000" w:fill="E1E0C1"/>
            <w:vAlign w:val="center"/>
            <w:hideMark/>
          </w:tcPr>
          <w:p w14:paraId="4FA0F59C"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3</w:t>
            </w:r>
          </w:p>
        </w:tc>
        <w:tc>
          <w:tcPr>
            <w:tcW w:w="1018" w:type="dxa"/>
            <w:tcBorders>
              <w:top w:val="nil"/>
              <w:left w:val="nil"/>
              <w:bottom w:val="single" w:sz="4" w:space="0" w:color="auto"/>
              <w:right w:val="single" w:sz="4" w:space="0" w:color="auto"/>
            </w:tcBorders>
            <w:shd w:val="clear" w:color="000000" w:fill="E1E0C1"/>
            <w:vAlign w:val="center"/>
            <w:hideMark/>
          </w:tcPr>
          <w:p w14:paraId="6CFB3D4F"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23.1%</w:t>
            </w:r>
          </w:p>
        </w:tc>
        <w:tc>
          <w:tcPr>
            <w:tcW w:w="500" w:type="dxa"/>
            <w:tcBorders>
              <w:top w:val="nil"/>
              <w:left w:val="nil"/>
              <w:bottom w:val="single" w:sz="4" w:space="0" w:color="auto"/>
              <w:right w:val="single" w:sz="4" w:space="0" w:color="auto"/>
            </w:tcBorders>
            <w:shd w:val="clear" w:color="000000" w:fill="E1E0C1"/>
            <w:vAlign w:val="center"/>
            <w:hideMark/>
          </w:tcPr>
          <w:p w14:paraId="7D6BDF28"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4</w:t>
            </w:r>
          </w:p>
        </w:tc>
        <w:tc>
          <w:tcPr>
            <w:tcW w:w="1048" w:type="dxa"/>
            <w:tcBorders>
              <w:top w:val="nil"/>
              <w:left w:val="nil"/>
              <w:bottom w:val="single" w:sz="4" w:space="0" w:color="auto"/>
              <w:right w:val="single" w:sz="12" w:space="0" w:color="auto"/>
            </w:tcBorders>
            <w:shd w:val="clear" w:color="000000" w:fill="E1E0C1"/>
            <w:vAlign w:val="center"/>
            <w:hideMark/>
          </w:tcPr>
          <w:p w14:paraId="2E5CEB42"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30.8%</w:t>
            </w:r>
          </w:p>
        </w:tc>
      </w:tr>
      <w:tr w:rsidR="00E03EBD" w:rsidRPr="006769A1" w14:paraId="51751657" w14:textId="77777777" w:rsidTr="00F5719E">
        <w:trPr>
          <w:trHeight w:val="300"/>
        </w:trPr>
        <w:tc>
          <w:tcPr>
            <w:tcW w:w="978" w:type="dxa"/>
            <w:tcBorders>
              <w:top w:val="nil"/>
              <w:left w:val="single" w:sz="12" w:space="0" w:color="auto"/>
              <w:bottom w:val="single" w:sz="4" w:space="0" w:color="auto"/>
              <w:right w:val="single" w:sz="12" w:space="0" w:color="auto"/>
            </w:tcBorders>
            <w:shd w:val="clear" w:color="auto" w:fill="EEECE1" w:themeFill="background2"/>
            <w:noWrap/>
            <w:vAlign w:val="bottom"/>
            <w:hideMark/>
          </w:tcPr>
          <w:p w14:paraId="23E57E28" w14:textId="77777777" w:rsidR="00E03EBD" w:rsidRPr="006769A1" w:rsidRDefault="00E03EBD" w:rsidP="00F5719E">
            <w:pPr>
              <w:jc w:val="center"/>
              <w:rPr>
                <w:rFonts w:ascii="Calibri" w:eastAsia="Times New Roman" w:hAnsi="Calibri" w:cs="Calibri"/>
                <w:b/>
                <w:bCs/>
                <w:color w:val="000000"/>
                <w:sz w:val="24"/>
                <w:szCs w:val="24"/>
                <w:lang w:eastAsia="en-AU"/>
              </w:rPr>
            </w:pPr>
            <w:r w:rsidRPr="006769A1">
              <w:rPr>
                <w:rFonts w:ascii="Calibri" w:eastAsia="Times New Roman" w:hAnsi="Calibri" w:cs="Calibri"/>
                <w:b/>
                <w:bCs/>
                <w:color w:val="000000"/>
                <w:sz w:val="24"/>
                <w:szCs w:val="24"/>
                <w:lang w:eastAsia="en-AU"/>
              </w:rPr>
              <w:t>H5.1</w:t>
            </w:r>
          </w:p>
        </w:tc>
        <w:tc>
          <w:tcPr>
            <w:tcW w:w="850" w:type="dxa"/>
            <w:tcBorders>
              <w:top w:val="nil"/>
              <w:left w:val="single" w:sz="12" w:space="0" w:color="auto"/>
              <w:bottom w:val="single" w:sz="4" w:space="0" w:color="auto"/>
              <w:right w:val="single" w:sz="4" w:space="0" w:color="auto"/>
            </w:tcBorders>
            <w:shd w:val="clear" w:color="auto" w:fill="EEECE1" w:themeFill="background2"/>
            <w:vAlign w:val="center"/>
            <w:hideMark/>
          </w:tcPr>
          <w:p w14:paraId="36259155"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8</w:t>
            </w:r>
          </w:p>
        </w:tc>
        <w:tc>
          <w:tcPr>
            <w:tcW w:w="992" w:type="dxa"/>
            <w:tcBorders>
              <w:top w:val="nil"/>
              <w:left w:val="nil"/>
              <w:bottom w:val="single" w:sz="4" w:space="0" w:color="auto"/>
              <w:right w:val="single" w:sz="4" w:space="0" w:color="auto"/>
            </w:tcBorders>
            <w:shd w:val="clear" w:color="auto" w:fill="EEECE1" w:themeFill="background2"/>
            <w:vAlign w:val="center"/>
            <w:hideMark/>
          </w:tcPr>
          <w:p w14:paraId="5A454AAF"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50</w:t>
            </w:r>
          </w:p>
        </w:tc>
        <w:tc>
          <w:tcPr>
            <w:tcW w:w="1616" w:type="dxa"/>
            <w:tcBorders>
              <w:top w:val="nil"/>
              <w:left w:val="nil"/>
              <w:bottom w:val="single" w:sz="4" w:space="0" w:color="auto"/>
              <w:right w:val="single" w:sz="4" w:space="0" w:color="auto"/>
            </w:tcBorders>
            <w:shd w:val="clear" w:color="auto" w:fill="EEECE1" w:themeFill="background2"/>
            <w:vAlign w:val="center"/>
            <w:hideMark/>
          </w:tcPr>
          <w:p w14:paraId="2F4F0F7D"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16%</w:t>
            </w:r>
          </w:p>
        </w:tc>
        <w:tc>
          <w:tcPr>
            <w:tcW w:w="598" w:type="dxa"/>
            <w:tcBorders>
              <w:top w:val="nil"/>
              <w:left w:val="nil"/>
              <w:bottom w:val="single" w:sz="4" w:space="0" w:color="auto"/>
              <w:right w:val="single" w:sz="4" w:space="0" w:color="auto"/>
            </w:tcBorders>
            <w:shd w:val="clear" w:color="auto" w:fill="EEECE1" w:themeFill="background2"/>
            <w:vAlign w:val="center"/>
            <w:hideMark/>
          </w:tcPr>
          <w:p w14:paraId="0712082E"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4</w:t>
            </w:r>
          </w:p>
        </w:tc>
        <w:tc>
          <w:tcPr>
            <w:tcW w:w="1005" w:type="dxa"/>
            <w:tcBorders>
              <w:top w:val="nil"/>
              <w:left w:val="nil"/>
              <w:bottom w:val="single" w:sz="4" w:space="0" w:color="auto"/>
              <w:right w:val="single" w:sz="4" w:space="0" w:color="auto"/>
            </w:tcBorders>
            <w:shd w:val="clear" w:color="auto" w:fill="EEECE1" w:themeFill="background2"/>
            <w:vAlign w:val="center"/>
            <w:hideMark/>
          </w:tcPr>
          <w:p w14:paraId="59D0710D"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50.0%</w:t>
            </w:r>
          </w:p>
        </w:tc>
        <w:tc>
          <w:tcPr>
            <w:tcW w:w="615" w:type="dxa"/>
            <w:tcBorders>
              <w:top w:val="nil"/>
              <w:left w:val="nil"/>
              <w:bottom w:val="single" w:sz="4" w:space="0" w:color="auto"/>
              <w:right w:val="single" w:sz="4" w:space="0" w:color="auto"/>
            </w:tcBorders>
            <w:shd w:val="clear" w:color="auto" w:fill="EEECE1" w:themeFill="background2"/>
            <w:vAlign w:val="center"/>
            <w:hideMark/>
          </w:tcPr>
          <w:p w14:paraId="2C8DDD3C"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1</w:t>
            </w:r>
          </w:p>
        </w:tc>
        <w:tc>
          <w:tcPr>
            <w:tcW w:w="1018" w:type="dxa"/>
            <w:tcBorders>
              <w:top w:val="nil"/>
              <w:left w:val="nil"/>
              <w:bottom w:val="single" w:sz="4" w:space="0" w:color="auto"/>
              <w:right w:val="single" w:sz="4" w:space="0" w:color="auto"/>
            </w:tcBorders>
            <w:shd w:val="clear" w:color="auto" w:fill="EEECE1" w:themeFill="background2"/>
            <w:vAlign w:val="center"/>
            <w:hideMark/>
          </w:tcPr>
          <w:p w14:paraId="596D14A5"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12.5%</w:t>
            </w:r>
          </w:p>
        </w:tc>
        <w:tc>
          <w:tcPr>
            <w:tcW w:w="500" w:type="dxa"/>
            <w:tcBorders>
              <w:top w:val="nil"/>
              <w:left w:val="nil"/>
              <w:bottom w:val="single" w:sz="4" w:space="0" w:color="auto"/>
              <w:right w:val="single" w:sz="4" w:space="0" w:color="auto"/>
            </w:tcBorders>
            <w:shd w:val="clear" w:color="auto" w:fill="EEECE1" w:themeFill="background2"/>
            <w:vAlign w:val="center"/>
            <w:hideMark/>
          </w:tcPr>
          <w:p w14:paraId="48BDF394"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3</w:t>
            </w:r>
          </w:p>
        </w:tc>
        <w:tc>
          <w:tcPr>
            <w:tcW w:w="1048" w:type="dxa"/>
            <w:tcBorders>
              <w:top w:val="nil"/>
              <w:left w:val="nil"/>
              <w:bottom w:val="single" w:sz="4" w:space="0" w:color="auto"/>
              <w:right w:val="single" w:sz="12" w:space="0" w:color="auto"/>
            </w:tcBorders>
            <w:shd w:val="clear" w:color="auto" w:fill="EEECE1" w:themeFill="background2"/>
            <w:vAlign w:val="center"/>
            <w:hideMark/>
          </w:tcPr>
          <w:p w14:paraId="3A365559"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37.5%</w:t>
            </w:r>
          </w:p>
        </w:tc>
      </w:tr>
      <w:tr w:rsidR="00E03EBD" w:rsidRPr="006769A1" w14:paraId="24E9FD9B" w14:textId="77777777" w:rsidTr="00F5719E">
        <w:trPr>
          <w:trHeight w:val="300"/>
        </w:trPr>
        <w:tc>
          <w:tcPr>
            <w:tcW w:w="978" w:type="dxa"/>
            <w:tcBorders>
              <w:top w:val="nil"/>
              <w:left w:val="single" w:sz="12" w:space="0" w:color="auto"/>
              <w:bottom w:val="single" w:sz="4" w:space="0" w:color="auto"/>
              <w:right w:val="single" w:sz="12" w:space="0" w:color="auto"/>
            </w:tcBorders>
            <w:shd w:val="clear" w:color="auto" w:fill="E1E0C1"/>
            <w:noWrap/>
            <w:vAlign w:val="bottom"/>
            <w:hideMark/>
          </w:tcPr>
          <w:p w14:paraId="13E6EDBC" w14:textId="77777777" w:rsidR="00E03EBD" w:rsidRPr="006769A1" w:rsidRDefault="00E03EBD" w:rsidP="00F5719E">
            <w:pPr>
              <w:jc w:val="center"/>
              <w:rPr>
                <w:rFonts w:ascii="Calibri" w:eastAsia="Times New Roman" w:hAnsi="Calibri" w:cs="Calibri"/>
                <w:b/>
                <w:bCs/>
                <w:color w:val="000000"/>
                <w:sz w:val="24"/>
                <w:szCs w:val="24"/>
                <w:lang w:eastAsia="en-AU"/>
              </w:rPr>
            </w:pPr>
            <w:r w:rsidRPr="006769A1">
              <w:rPr>
                <w:rFonts w:ascii="Calibri" w:eastAsia="Times New Roman" w:hAnsi="Calibri" w:cs="Calibri"/>
                <w:b/>
                <w:bCs/>
                <w:color w:val="000000"/>
                <w:sz w:val="24"/>
                <w:szCs w:val="24"/>
                <w:lang w:eastAsia="en-AU"/>
              </w:rPr>
              <w:t>H5.2</w:t>
            </w:r>
          </w:p>
        </w:tc>
        <w:tc>
          <w:tcPr>
            <w:tcW w:w="850" w:type="dxa"/>
            <w:tcBorders>
              <w:top w:val="nil"/>
              <w:left w:val="single" w:sz="12" w:space="0" w:color="auto"/>
              <w:bottom w:val="single" w:sz="4" w:space="0" w:color="auto"/>
              <w:right w:val="single" w:sz="4" w:space="0" w:color="auto"/>
            </w:tcBorders>
            <w:shd w:val="clear" w:color="000000" w:fill="E1E0C1"/>
            <w:vAlign w:val="center"/>
            <w:hideMark/>
          </w:tcPr>
          <w:p w14:paraId="1D3B0EE1"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14</w:t>
            </w:r>
          </w:p>
        </w:tc>
        <w:tc>
          <w:tcPr>
            <w:tcW w:w="992" w:type="dxa"/>
            <w:tcBorders>
              <w:top w:val="nil"/>
              <w:left w:val="nil"/>
              <w:bottom w:val="single" w:sz="4" w:space="0" w:color="auto"/>
              <w:right w:val="single" w:sz="4" w:space="0" w:color="auto"/>
            </w:tcBorders>
            <w:shd w:val="clear" w:color="000000" w:fill="E1E0C1"/>
            <w:vAlign w:val="center"/>
            <w:hideMark/>
          </w:tcPr>
          <w:p w14:paraId="7DB68F72"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50</w:t>
            </w:r>
          </w:p>
        </w:tc>
        <w:tc>
          <w:tcPr>
            <w:tcW w:w="1616" w:type="dxa"/>
            <w:tcBorders>
              <w:top w:val="nil"/>
              <w:left w:val="nil"/>
              <w:bottom w:val="single" w:sz="4" w:space="0" w:color="auto"/>
              <w:right w:val="single" w:sz="4" w:space="0" w:color="auto"/>
            </w:tcBorders>
            <w:shd w:val="clear" w:color="000000" w:fill="E1E0C1"/>
            <w:vAlign w:val="center"/>
            <w:hideMark/>
          </w:tcPr>
          <w:p w14:paraId="5FAA1414"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28%</w:t>
            </w:r>
          </w:p>
        </w:tc>
        <w:tc>
          <w:tcPr>
            <w:tcW w:w="598" w:type="dxa"/>
            <w:tcBorders>
              <w:top w:val="nil"/>
              <w:left w:val="nil"/>
              <w:bottom w:val="single" w:sz="4" w:space="0" w:color="auto"/>
              <w:right w:val="single" w:sz="4" w:space="0" w:color="auto"/>
            </w:tcBorders>
            <w:shd w:val="clear" w:color="000000" w:fill="E1E0C1"/>
            <w:vAlign w:val="center"/>
            <w:hideMark/>
          </w:tcPr>
          <w:p w14:paraId="1AD13349"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6</w:t>
            </w:r>
          </w:p>
        </w:tc>
        <w:tc>
          <w:tcPr>
            <w:tcW w:w="1005" w:type="dxa"/>
            <w:tcBorders>
              <w:top w:val="nil"/>
              <w:left w:val="nil"/>
              <w:bottom w:val="single" w:sz="4" w:space="0" w:color="auto"/>
              <w:right w:val="single" w:sz="4" w:space="0" w:color="auto"/>
            </w:tcBorders>
            <w:shd w:val="clear" w:color="000000" w:fill="E1E0C1"/>
            <w:vAlign w:val="center"/>
            <w:hideMark/>
          </w:tcPr>
          <w:p w14:paraId="66A94033"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42.9%</w:t>
            </w:r>
          </w:p>
        </w:tc>
        <w:tc>
          <w:tcPr>
            <w:tcW w:w="615" w:type="dxa"/>
            <w:tcBorders>
              <w:top w:val="nil"/>
              <w:left w:val="nil"/>
              <w:bottom w:val="single" w:sz="4" w:space="0" w:color="auto"/>
              <w:right w:val="single" w:sz="4" w:space="0" w:color="auto"/>
            </w:tcBorders>
            <w:shd w:val="clear" w:color="000000" w:fill="E1E0C1"/>
            <w:vAlign w:val="center"/>
            <w:hideMark/>
          </w:tcPr>
          <w:p w14:paraId="0610C5B7"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5</w:t>
            </w:r>
          </w:p>
        </w:tc>
        <w:tc>
          <w:tcPr>
            <w:tcW w:w="1018" w:type="dxa"/>
            <w:tcBorders>
              <w:top w:val="nil"/>
              <w:left w:val="nil"/>
              <w:bottom w:val="single" w:sz="4" w:space="0" w:color="auto"/>
              <w:right w:val="single" w:sz="4" w:space="0" w:color="auto"/>
            </w:tcBorders>
            <w:shd w:val="clear" w:color="000000" w:fill="E1E0C1"/>
            <w:vAlign w:val="center"/>
            <w:hideMark/>
          </w:tcPr>
          <w:p w14:paraId="4C7DA125"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35.7%</w:t>
            </w:r>
          </w:p>
        </w:tc>
        <w:tc>
          <w:tcPr>
            <w:tcW w:w="500" w:type="dxa"/>
            <w:tcBorders>
              <w:top w:val="nil"/>
              <w:left w:val="nil"/>
              <w:bottom w:val="single" w:sz="4" w:space="0" w:color="auto"/>
              <w:right w:val="single" w:sz="4" w:space="0" w:color="auto"/>
            </w:tcBorders>
            <w:shd w:val="clear" w:color="000000" w:fill="E1E0C1"/>
            <w:vAlign w:val="center"/>
            <w:hideMark/>
          </w:tcPr>
          <w:p w14:paraId="0A9BF3F8"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3</w:t>
            </w:r>
          </w:p>
        </w:tc>
        <w:tc>
          <w:tcPr>
            <w:tcW w:w="1048" w:type="dxa"/>
            <w:tcBorders>
              <w:top w:val="nil"/>
              <w:left w:val="nil"/>
              <w:bottom w:val="single" w:sz="4" w:space="0" w:color="auto"/>
              <w:right w:val="single" w:sz="12" w:space="0" w:color="auto"/>
            </w:tcBorders>
            <w:shd w:val="clear" w:color="000000" w:fill="E1E0C1"/>
            <w:vAlign w:val="center"/>
            <w:hideMark/>
          </w:tcPr>
          <w:p w14:paraId="1BEB174F"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21.4%</w:t>
            </w:r>
          </w:p>
        </w:tc>
      </w:tr>
      <w:tr w:rsidR="00E03EBD" w:rsidRPr="006769A1" w14:paraId="1ACA97A5" w14:textId="77777777" w:rsidTr="00F5719E">
        <w:trPr>
          <w:trHeight w:val="300"/>
        </w:trPr>
        <w:tc>
          <w:tcPr>
            <w:tcW w:w="978" w:type="dxa"/>
            <w:tcBorders>
              <w:top w:val="nil"/>
              <w:left w:val="single" w:sz="12" w:space="0" w:color="auto"/>
              <w:bottom w:val="single" w:sz="4" w:space="0" w:color="auto"/>
              <w:right w:val="single" w:sz="12" w:space="0" w:color="auto"/>
            </w:tcBorders>
            <w:shd w:val="clear" w:color="auto" w:fill="EEECE1" w:themeFill="background2"/>
            <w:noWrap/>
            <w:vAlign w:val="bottom"/>
            <w:hideMark/>
          </w:tcPr>
          <w:p w14:paraId="3FB2D6DC" w14:textId="77777777" w:rsidR="00E03EBD" w:rsidRPr="006769A1" w:rsidRDefault="00E03EBD" w:rsidP="00F5719E">
            <w:pPr>
              <w:jc w:val="center"/>
              <w:rPr>
                <w:rFonts w:ascii="Calibri" w:eastAsia="Times New Roman" w:hAnsi="Calibri" w:cs="Calibri"/>
                <w:b/>
                <w:bCs/>
                <w:color w:val="000000"/>
                <w:sz w:val="24"/>
                <w:szCs w:val="24"/>
                <w:lang w:eastAsia="en-AU"/>
              </w:rPr>
            </w:pPr>
            <w:r w:rsidRPr="006769A1">
              <w:rPr>
                <w:rFonts w:ascii="Calibri" w:eastAsia="Times New Roman" w:hAnsi="Calibri" w:cs="Calibri"/>
                <w:b/>
                <w:bCs/>
                <w:color w:val="000000"/>
                <w:sz w:val="24"/>
                <w:szCs w:val="24"/>
                <w:lang w:eastAsia="en-AU"/>
              </w:rPr>
              <w:t>H5.4</w:t>
            </w:r>
          </w:p>
        </w:tc>
        <w:tc>
          <w:tcPr>
            <w:tcW w:w="850" w:type="dxa"/>
            <w:tcBorders>
              <w:top w:val="nil"/>
              <w:left w:val="single" w:sz="12" w:space="0" w:color="auto"/>
              <w:bottom w:val="single" w:sz="4" w:space="0" w:color="auto"/>
              <w:right w:val="single" w:sz="4" w:space="0" w:color="auto"/>
            </w:tcBorders>
            <w:shd w:val="clear" w:color="auto" w:fill="EEECE1" w:themeFill="background2"/>
            <w:vAlign w:val="center"/>
            <w:hideMark/>
          </w:tcPr>
          <w:p w14:paraId="4AE98E90"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21</w:t>
            </w:r>
          </w:p>
        </w:tc>
        <w:tc>
          <w:tcPr>
            <w:tcW w:w="992" w:type="dxa"/>
            <w:tcBorders>
              <w:top w:val="nil"/>
              <w:left w:val="nil"/>
              <w:bottom w:val="single" w:sz="4" w:space="0" w:color="auto"/>
              <w:right w:val="single" w:sz="4" w:space="0" w:color="auto"/>
            </w:tcBorders>
            <w:shd w:val="clear" w:color="auto" w:fill="EEECE1" w:themeFill="background2"/>
            <w:vAlign w:val="center"/>
            <w:hideMark/>
          </w:tcPr>
          <w:p w14:paraId="7D0EFF94"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50</w:t>
            </w:r>
          </w:p>
        </w:tc>
        <w:tc>
          <w:tcPr>
            <w:tcW w:w="1616" w:type="dxa"/>
            <w:tcBorders>
              <w:top w:val="nil"/>
              <w:left w:val="nil"/>
              <w:bottom w:val="single" w:sz="4" w:space="0" w:color="auto"/>
              <w:right w:val="single" w:sz="4" w:space="0" w:color="auto"/>
            </w:tcBorders>
            <w:shd w:val="clear" w:color="auto" w:fill="FF0000"/>
            <w:vAlign w:val="center"/>
            <w:hideMark/>
          </w:tcPr>
          <w:p w14:paraId="436FC5BB" w14:textId="77777777" w:rsidR="00E03EBD" w:rsidRPr="002C6C93" w:rsidRDefault="00E03EBD" w:rsidP="00F5719E">
            <w:pPr>
              <w:jc w:val="center"/>
              <w:rPr>
                <w:rFonts w:ascii="Calibri" w:eastAsia="Times New Roman" w:hAnsi="Calibri" w:cs="Calibri"/>
                <w:b/>
                <w:bCs/>
                <w:color w:val="FFFFFF" w:themeColor="background1"/>
                <w:sz w:val="24"/>
                <w:szCs w:val="24"/>
                <w:lang w:eastAsia="en-AU"/>
              </w:rPr>
            </w:pPr>
            <w:r w:rsidRPr="002C6C93">
              <w:rPr>
                <w:rFonts w:ascii="Calibri" w:eastAsia="Times New Roman" w:hAnsi="Calibri" w:cs="Calibri"/>
                <w:b/>
                <w:bCs/>
                <w:color w:val="FFFFFF" w:themeColor="background1"/>
                <w:sz w:val="24"/>
                <w:szCs w:val="24"/>
                <w:lang w:eastAsia="en-AU"/>
              </w:rPr>
              <w:t>42%</w:t>
            </w:r>
          </w:p>
        </w:tc>
        <w:tc>
          <w:tcPr>
            <w:tcW w:w="598" w:type="dxa"/>
            <w:tcBorders>
              <w:top w:val="nil"/>
              <w:left w:val="nil"/>
              <w:bottom w:val="single" w:sz="4" w:space="0" w:color="auto"/>
              <w:right w:val="single" w:sz="4" w:space="0" w:color="auto"/>
            </w:tcBorders>
            <w:shd w:val="clear" w:color="auto" w:fill="EEECE1" w:themeFill="background2"/>
            <w:vAlign w:val="center"/>
            <w:hideMark/>
          </w:tcPr>
          <w:p w14:paraId="32015F3E"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5</w:t>
            </w:r>
          </w:p>
        </w:tc>
        <w:tc>
          <w:tcPr>
            <w:tcW w:w="1005" w:type="dxa"/>
            <w:tcBorders>
              <w:top w:val="nil"/>
              <w:left w:val="nil"/>
              <w:bottom w:val="single" w:sz="4" w:space="0" w:color="auto"/>
              <w:right w:val="single" w:sz="4" w:space="0" w:color="auto"/>
            </w:tcBorders>
            <w:shd w:val="clear" w:color="auto" w:fill="EEECE1" w:themeFill="background2"/>
            <w:vAlign w:val="center"/>
            <w:hideMark/>
          </w:tcPr>
          <w:p w14:paraId="79AF8BDC"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23.8%</w:t>
            </w:r>
          </w:p>
        </w:tc>
        <w:tc>
          <w:tcPr>
            <w:tcW w:w="615" w:type="dxa"/>
            <w:tcBorders>
              <w:top w:val="nil"/>
              <w:left w:val="nil"/>
              <w:bottom w:val="single" w:sz="4" w:space="0" w:color="auto"/>
              <w:right w:val="single" w:sz="4" w:space="0" w:color="auto"/>
            </w:tcBorders>
            <w:shd w:val="clear" w:color="auto" w:fill="EEECE1" w:themeFill="background2"/>
            <w:vAlign w:val="center"/>
            <w:hideMark/>
          </w:tcPr>
          <w:p w14:paraId="5E957BEB"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9</w:t>
            </w:r>
          </w:p>
        </w:tc>
        <w:tc>
          <w:tcPr>
            <w:tcW w:w="1018" w:type="dxa"/>
            <w:tcBorders>
              <w:top w:val="nil"/>
              <w:left w:val="nil"/>
              <w:bottom w:val="single" w:sz="4" w:space="0" w:color="auto"/>
              <w:right w:val="single" w:sz="4" w:space="0" w:color="auto"/>
            </w:tcBorders>
            <w:shd w:val="clear" w:color="auto" w:fill="EEECE1" w:themeFill="background2"/>
            <w:vAlign w:val="center"/>
            <w:hideMark/>
          </w:tcPr>
          <w:p w14:paraId="27BFD019" w14:textId="77777777" w:rsidR="00E03EBD" w:rsidRPr="00D62104" w:rsidRDefault="00E03EBD" w:rsidP="00F5719E">
            <w:pPr>
              <w:jc w:val="center"/>
              <w:rPr>
                <w:rFonts w:ascii="Calibri" w:eastAsia="Times New Roman" w:hAnsi="Calibri" w:cs="Calibri"/>
                <w:b/>
                <w:bCs/>
                <w:color w:val="FFFFFF" w:themeColor="background1"/>
                <w:sz w:val="24"/>
                <w:szCs w:val="24"/>
                <w:lang w:eastAsia="en-AU"/>
              </w:rPr>
            </w:pPr>
            <w:r>
              <w:rPr>
                <w:rFonts w:ascii="Calibri" w:hAnsi="Calibri" w:cs="Calibri"/>
                <w:color w:val="000000"/>
              </w:rPr>
              <w:t>42.9%</w:t>
            </w:r>
          </w:p>
        </w:tc>
        <w:tc>
          <w:tcPr>
            <w:tcW w:w="500" w:type="dxa"/>
            <w:tcBorders>
              <w:top w:val="nil"/>
              <w:left w:val="nil"/>
              <w:bottom w:val="single" w:sz="4" w:space="0" w:color="auto"/>
              <w:right w:val="single" w:sz="4" w:space="0" w:color="auto"/>
            </w:tcBorders>
            <w:shd w:val="clear" w:color="auto" w:fill="EEECE1" w:themeFill="background2"/>
            <w:vAlign w:val="center"/>
            <w:hideMark/>
          </w:tcPr>
          <w:p w14:paraId="049F0DE0"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7</w:t>
            </w:r>
          </w:p>
        </w:tc>
        <w:tc>
          <w:tcPr>
            <w:tcW w:w="1048" w:type="dxa"/>
            <w:tcBorders>
              <w:top w:val="nil"/>
              <w:left w:val="nil"/>
              <w:bottom w:val="single" w:sz="4" w:space="0" w:color="auto"/>
              <w:right w:val="single" w:sz="12" w:space="0" w:color="auto"/>
            </w:tcBorders>
            <w:shd w:val="clear" w:color="auto" w:fill="EEECE1" w:themeFill="background2"/>
            <w:vAlign w:val="center"/>
            <w:hideMark/>
          </w:tcPr>
          <w:p w14:paraId="64E40617"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33.3%</w:t>
            </w:r>
          </w:p>
        </w:tc>
      </w:tr>
      <w:tr w:rsidR="00E03EBD" w:rsidRPr="006769A1" w14:paraId="31152844" w14:textId="77777777" w:rsidTr="00F5719E">
        <w:trPr>
          <w:trHeight w:val="300"/>
        </w:trPr>
        <w:tc>
          <w:tcPr>
            <w:tcW w:w="978" w:type="dxa"/>
            <w:tcBorders>
              <w:top w:val="nil"/>
              <w:left w:val="single" w:sz="12" w:space="0" w:color="auto"/>
              <w:bottom w:val="single" w:sz="4" w:space="0" w:color="auto"/>
              <w:right w:val="single" w:sz="12" w:space="0" w:color="auto"/>
            </w:tcBorders>
            <w:shd w:val="clear" w:color="auto" w:fill="E1E0C1"/>
            <w:noWrap/>
            <w:vAlign w:val="bottom"/>
            <w:hideMark/>
          </w:tcPr>
          <w:p w14:paraId="69284F02" w14:textId="77777777" w:rsidR="00E03EBD" w:rsidRPr="006769A1" w:rsidRDefault="00E03EBD" w:rsidP="00F5719E">
            <w:pPr>
              <w:jc w:val="center"/>
              <w:rPr>
                <w:rFonts w:ascii="Calibri" w:eastAsia="Times New Roman" w:hAnsi="Calibri" w:cs="Calibri"/>
                <w:b/>
                <w:bCs/>
                <w:color w:val="000000"/>
                <w:sz w:val="24"/>
                <w:szCs w:val="24"/>
                <w:lang w:eastAsia="en-AU"/>
              </w:rPr>
            </w:pPr>
            <w:r w:rsidRPr="006769A1">
              <w:rPr>
                <w:rFonts w:ascii="Calibri" w:eastAsia="Times New Roman" w:hAnsi="Calibri" w:cs="Calibri"/>
                <w:b/>
                <w:bCs/>
                <w:color w:val="000000"/>
                <w:sz w:val="24"/>
                <w:szCs w:val="24"/>
                <w:lang w:eastAsia="en-AU"/>
              </w:rPr>
              <w:t>H5.5</w:t>
            </w:r>
          </w:p>
        </w:tc>
        <w:tc>
          <w:tcPr>
            <w:tcW w:w="850" w:type="dxa"/>
            <w:tcBorders>
              <w:top w:val="nil"/>
              <w:left w:val="single" w:sz="12" w:space="0" w:color="auto"/>
              <w:bottom w:val="single" w:sz="4" w:space="0" w:color="auto"/>
              <w:right w:val="single" w:sz="4" w:space="0" w:color="auto"/>
            </w:tcBorders>
            <w:shd w:val="clear" w:color="000000" w:fill="E1E0C1"/>
            <w:vAlign w:val="center"/>
            <w:hideMark/>
          </w:tcPr>
          <w:p w14:paraId="4A6BF729"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12</w:t>
            </w:r>
          </w:p>
        </w:tc>
        <w:tc>
          <w:tcPr>
            <w:tcW w:w="992" w:type="dxa"/>
            <w:tcBorders>
              <w:top w:val="nil"/>
              <w:left w:val="nil"/>
              <w:bottom w:val="single" w:sz="4" w:space="0" w:color="auto"/>
              <w:right w:val="single" w:sz="4" w:space="0" w:color="auto"/>
            </w:tcBorders>
            <w:shd w:val="clear" w:color="000000" w:fill="E1E0C1"/>
            <w:vAlign w:val="center"/>
            <w:hideMark/>
          </w:tcPr>
          <w:p w14:paraId="2AF5CE44"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49</w:t>
            </w:r>
          </w:p>
        </w:tc>
        <w:tc>
          <w:tcPr>
            <w:tcW w:w="1616" w:type="dxa"/>
            <w:tcBorders>
              <w:top w:val="nil"/>
              <w:left w:val="nil"/>
              <w:bottom w:val="single" w:sz="4" w:space="0" w:color="auto"/>
              <w:right w:val="single" w:sz="4" w:space="0" w:color="auto"/>
            </w:tcBorders>
            <w:shd w:val="clear" w:color="000000" w:fill="E1E0C1"/>
            <w:vAlign w:val="center"/>
            <w:hideMark/>
          </w:tcPr>
          <w:p w14:paraId="32F6CF89"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24.5%</w:t>
            </w:r>
          </w:p>
        </w:tc>
        <w:tc>
          <w:tcPr>
            <w:tcW w:w="598" w:type="dxa"/>
            <w:tcBorders>
              <w:top w:val="nil"/>
              <w:left w:val="nil"/>
              <w:bottom w:val="single" w:sz="4" w:space="0" w:color="auto"/>
              <w:right w:val="single" w:sz="4" w:space="0" w:color="auto"/>
            </w:tcBorders>
            <w:shd w:val="clear" w:color="000000" w:fill="E1E0C1"/>
            <w:vAlign w:val="center"/>
            <w:hideMark/>
          </w:tcPr>
          <w:p w14:paraId="41848386"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8</w:t>
            </w:r>
          </w:p>
        </w:tc>
        <w:tc>
          <w:tcPr>
            <w:tcW w:w="1005" w:type="dxa"/>
            <w:tcBorders>
              <w:top w:val="nil"/>
              <w:left w:val="nil"/>
              <w:bottom w:val="single" w:sz="4" w:space="0" w:color="auto"/>
              <w:right w:val="single" w:sz="4" w:space="0" w:color="auto"/>
            </w:tcBorders>
            <w:shd w:val="clear" w:color="000000" w:fill="E1E0C1"/>
            <w:vAlign w:val="center"/>
            <w:hideMark/>
          </w:tcPr>
          <w:p w14:paraId="13B693D5"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66.7%</w:t>
            </w:r>
          </w:p>
        </w:tc>
        <w:tc>
          <w:tcPr>
            <w:tcW w:w="615" w:type="dxa"/>
            <w:tcBorders>
              <w:top w:val="nil"/>
              <w:left w:val="nil"/>
              <w:bottom w:val="single" w:sz="4" w:space="0" w:color="auto"/>
              <w:right w:val="single" w:sz="4" w:space="0" w:color="auto"/>
            </w:tcBorders>
            <w:shd w:val="clear" w:color="000000" w:fill="E1E0C1"/>
            <w:vAlign w:val="center"/>
            <w:hideMark/>
          </w:tcPr>
          <w:p w14:paraId="5E521849"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2</w:t>
            </w:r>
          </w:p>
        </w:tc>
        <w:tc>
          <w:tcPr>
            <w:tcW w:w="1018" w:type="dxa"/>
            <w:tcBorders>
              <w:top w:val="nil"/>
              <w:left w:val="nil"/>
              <w:bottom w:val="single" w:sz="4" w:space="0" w:color="auto"/>
              <w:right w:val="single" w:sz="4" w:space="0" w:color="auto"/>
            </w:tcBorders>
            <w:shd w:val="clear" w:color="000000" w:fill="E1E0C1"/>
            <w:vAlign w:val="center"/>
            <w:hideMark/>
          </w:tcPr>
          <w:p w14:paraId="0E7A946B"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16.7%</w:t>
            </w:r>
          </w:p>
        </w:tc>
        <w:tc>
          <w:tcPr>
            <w:tcW w:w="500" w:type="dxa"/>
            <w:tcBorders>
              <w:top w:val="nil"/>
              <w:left w:val="nil"/>
              <w:bottom w:val="single" w:sz="4" w:space="0" w:color="auto"/>
              <w:right w:val="single" w:sz="4" w:space="0" w:color="auto"/>
            </w:tcBorders>
            <w:shd w:val="clear" w:color="000000" w:fill="E1E0C1"/>
            <w:vAlign w:val="center"/>
            <w:hideMark/>
          </w:tcPr>
          <w:p w14:paraId="0F9C95EE"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2</w:t>
            </w:r>
          </w:p>
        </w:tc>
        <w:tc>
          <w:tcPr>
            <w:tcW w:w="1048" w:type="dxa"/>
            <w:tcBorders>
              <w:top w:val="nil"/>
              <w:left w:val="nil"/>
              <w:bottom w:val="single" w:sz="4" w:space="0" w:color="auto"/>
              <w:right w:val="single" w:sz="12" w:space="0" w:color="auto"/>
            </w:tcBorders>
            <w:shd w:val="clear" w:color="000000" w:fill="E1E0C1"/>
            <w:vAlign w:val="center"/>
            <w:hideMark/>
          </w:tcPr>
          <w:p w14:paraId="053082C3"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16.7%</w:t>
            </w:r>
          </w:p>
        </w:tc>
      </w:tr>
      <w:tr w:rsidR="00E03EBD" w:rsidRPr="006769A1" w14:paraId="2FCF124F" w14:textId="77777777" w:rsidTr="00F5719E">
        <w:trPr>
          <w:trHeight w:val="300"/>
        </w:trPr>
        <w:tc>
          <w:tcPr>
            <w:tcW w:w="978" w:type="dxa"/>
            <w:tcBorders>
              <w:top w:val="nil"/>
              <w:left w:val="single" w:sz="12" w:space="0" w:color="auto"/>
              <w:bottom w:val="single" w:sz="4" w:space="0" w:color="auto"/>
              <w:right w:val="single" w:sz="12" w:space="0" w:color="auto"/>
            </w:tcBorders>
            <w:shd w:val="clear" w:color="auto" w:fill="EEECE1" w:themeFill="background2"/>
            <w:noWrap/>
            <w:vAlign w:val="bottom"/>
            <w:hideMark/>
          </w:tcPr>
          <w:p w14:paraId="13B67FBD" w14:textId="77777777" w:rsidR="00E03EBD" w:rsidRPr="006769A1" w:rsidRDefault="00E03EBD" w:rsidP="00F5719E">
            <w:pPr>
              <w:jc w:val="center"/>
              <w:rPr>
                <w:rFonts w:ascii="Calibri" w:eastAsia="Times New Roman" w:hAnsi="Calibri" w:cs="Calibri"/>
                <w:b/>
                <w:bCs/>
                <w:color w:val="000000"/>
                <w:sz w:val="24"/>
                <w:szCs w:val="24"/>
                <w:lang w:eastAsia="en-AU"/>
              </w:rPr>
            </w:pPr>
            <w:r w:rsidRPr="006769A1">
              <w:rPr>
                <w:rFonts w:ascii="Calibri" w:eastAsia="Times New Roman" w:hAnsi="Calibri" w:cs="Calibri"/>
                <w:b/>
                <w:bCs/>
                <w:color w:val="000000"/>
                <w:sz w:val="24"/>
                <w:szCs w:val="24"/>
                <w:lang w:eastAsia="en-AU"/>
              </w:rPr>
              <w:t>H5.6</w:t>
            </w:r>
          </w:p>
        </w:tc>
        <w:tc>
          <w:tcPr>
            <w:tcW w:w="850" w:type="dxa"/>
            <w:tcBorders>
              <w:top w:val="nil"/>
              <w:left w:val="single" w:sz="12" w:space="0" w:color="auto"/>
              <w:bottom w:val="single" w:sz="4" w:space="0" w:color="auto"/>
              <w:right w:val="single" w:sz="4" w:space="0" w:color="auto"/>
            </w:tcBorders>
            <w:shd w:val="clear" w:color="auto" w:fill="EEECE1" w:themeFill="background2"/>
            <w:vAlign w:val="center"/>
            <w:hideMark/>
          </w:tcPr>
          <w:p w14:paraId="5B4F30A1"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26</w:t>
            </w:r>
          </w:p>
        </w:tc>
        <w:tc>
          <w:tcPr>
            <w:tcW w:w="992" w:type="dxa"/>
            <w:tcBorders>
              <w:top w:val="nil"/>
              <w:left w:val="nil"/>
              <w:bottom w:val="single" w:sz="4" w:space="0" w:color="auto"/>
              <w:right w:val="single" w:sz="4" w:space="0" w:color="auto"/>
            </w:tcBorders>
            <w:shd w:val="clear" w:color="auto" w:fill="EEECE1" w:themeFill="background2"/>
            <w:vAlign w:val="center"/>
            <w:hideMark/>
          </w:tcPr>
          <w:p w14:paraId="08096875"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50</w:t>
            </w:r>
          </w:p>
        </w:tc>
        <w:tc>
          <w:tcPr>
            <w:tcW w:w="1616" w:type="dxa"/>
            <w:tcBorders>
              <w:top w:val="nil"/>
              <w:left w:val="nil"/>
              <w:bottom w:val="single" w:sz="4" w:space="0" w:color="auto"/>
              <w:right w:val="single" w:sz="4" w:space="0" w:color="auto"/>
            </w:tcBorders>
            <w:shd w:val="clear" w:color="auto" w:fill="FF0000"/>
            <w:vAlign w:val="center"/>
            <w:hideMark/>
          </w:tcPr>
          <w:p w14:paraId="6BF90D6B" w14:textId="77777777" w:rsidR="00E03EBD" w:rsidRPr="002C6C93" w:rsidRDefault="00E03EBD" w:rsidP="00F5719E">
            <w:pPr>
              <w:jc w:val="center"/>
              <w:rPr>
                <w:rFonts w:ascii="Calibri" w:eastAsia="Times New Roman" w:hAnsi="Calibri" w:cs="Calibri"/>
                <w:b/>
                <w:bCs/>
                <w:color w:val="FFFFFF" w:themeColor="background1"/>
                <w:sz w:val="24"/>
                <w:szCs w:val="24"/>
                <w:lang w:eastAsia="en-AU"/>
              </w:rPr>
            </w:pPr>
            <w:r w:rsidRPr="002C6C93">
              <w:rPr>
                <w:rFonts w:ascii="Calibri" w:eastAsia="Times New Roman" w:hAnsi="Calibri" w:cs="Calibri"/>
                <w:b/>
                <w:bCs/>
                <w:color w:val="FFFFFF" w:themeColor="background1"/>
                <w:sz w:val="24"/>
                <w:szCs w:val="24"/>
                <w:lang w:eastAsia="en-AU"/>
              </w:rPr>
              <w:t>52%</w:t>
            </w:r>
          </w:p>
        </w:tc>
        <w:tc>
          <w:tcPr>
            <w:tcW w:w="598" w:type="dxa"/>
            <w:tcBorders>
              <w:top w:val="nil"/>
              <w:left w:val="nil"/>
              <w:bottom w:val="single" w:sz="4" w:space="0" w:color="auto"/>
              <w:right w:val="single" w:sz="4" w:space="0" w:color="auto"/>
            </w:tcBorders>
            <w:shd w:val="clear" w:color="auto" w:fill="EEECE1" w:themeFill="background2"/>
            <w:vAlign w:val="center"/>
            <w:hideMark/>
          </w:tcPr>
          <w:p w14:paraId="4C84B58F"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7</w:t>
            </w:r>
          </w:p>
        </w:tc>
        <w:tc>
          <w:tcPr>
            <w:tcW w:w="1005" w:type="dxa"/>
            <w:tcBorders>
              <w:top w:val="nil"/>
              <w:left w:val="nil"/>
              <w:bottom w:val="single" w:sz="4" w:space="0" w:color="auto"/>
              <w:right w:val="single" w:sz="4" w:space="0" w:color="auto"/>
            </w:tcBorders>
            <w:shd w:val="clear" w:color="auto" w:fill="EEECE1" w:themeFill="background2"/>
            <w:vAlign w:val="center"/>
            <w:hideMark/>
          </w:tcPr>
          <w:p w14:paraId="1A361A2D"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26.9%</w:t>
            </w:r>
          </w:p>
        </w:tc>
        <w:tc>
          <w:tcPr>
            <w:tcW w:w="615" w:type="dxa"/>
            <w:tcBorders>
              <w:top w:val="nil"/>
              <w:left w:val="nil"/>
              <w:bottom w:val="single" w:sz="4" w:space="0" w:color="auto"/>
              <w:right w:val="single" w:sz="4" w:space="0" w:color="auto"/>
            </w:tcBorders>
            <w:shd w:val="clear" w:color="auto" w:fill="EEECE1" w:themeFill="background2"/>
            <w:vAlign w:val="center"/>
            <w:hideMark/>
          </w:tcPr>
          <w:p w14:paraId="2896E10E"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9</w:t>
            </w:r>
          </w:p>
        </w:tc>
        <w:tc>
          <w:tcPr>
            <w:tcW w:w="1018" w:type="dxa"/>
            <w:tcBorders>
              <w:top w:val="nil"/>
              <w:left w:val="nil"/>
              <w:bottom w:val="single" w:sz="4" w:space="0" w:color="auto"/>
              <w:right w:val="single" w:sz="4" w:space="0" w:color="auto"/>
            </w:tcBorders>
            <w:shd w:val="clear" w:color="auto" w:fill="EEECE1" w:themeFill="background2"/>
            <w:vAlign w:val="center"/>
            <w:hideMark/>
          </w:tcPr>
          <w:p w14:paraId="3F448C1C" w14:textId="77777777" w:rsidR="00E03EBD" w:rsidRPr="00D62104" w:rsidRDefault="00E03EBD" w:rsidP="00F5719E">
            <w:pPr>
              <w:jc w:val="center"/>
              <w:rPr>
                <w:rFonts w:ascii="Calibri" w:eastAsia="Times New Roman" w:hAnsi="Calibri" w:cs="Calibri"/>
                <w:b/>
                <w:bCs/>
                <w:color w:val="FFFFFF" w:themeColor="background1"/>
                <w:sz w:val="24"/>
                <w:szCs w:val="24"/>
                <w:lang w:eastAsia="en-AU"/>
              </w:rPr>
            </w:pPr>
            <w:r>
              <w:rPr>
                <w:rFonts w:ascii="Calibri" w:hAnsi="Calibri" w:cs="Calibri"/>
                <w:color w:val="000000"/>
              </w:rPr>
              <w:t>34.6%</w:t>
            </w:r>
          </w:p>
        </w:tc>
        <w:tc>
          <w:tcPr>
            <w:tcW w:w="500" w:type="dxa"/>
            <w:tcBorders>
              <w:top w:val="nil"/>
              <w:left w:val="nil"/>
              <w:bottom w:val="single" w:sz="4" w:space="0" w:color="auto"/>
              <w:right w:val="single" w:sz="4" w:space="0" w:color="auto"/>
            </w:tcBorders>
            <w:shd w:val="clear" w:color="auto" w:fill="EEECE1" w:themeFill="background2"/>
            <w:vAlign w:val="center"/>
            <w:hideMark/>
          </w:tcPr>
          <w:p w14:paraId="43BFE696"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10</w:t>
            </w:r>
          </w:p>
        </w:tc>
        <w:tc>
          <w:tcPr>
            <w:tcW w:w="1048" w:type="dxa"/>
            <w:tcBorders>
              <w:top w:val="nil"/>
              <w:left w:val="nil"/>
              <w:bottom w:val="single" w:sz="4" w:space="0" w:color="auto"/>
              <w:right w:val="single" w:sz="12" w:space="0" w:color="auto"/>
            </w:tcBorders>
            <w:shd w:val="clear" w:color="auto" w:fill="EEECE1" w:themeFill="background2"/>
            <w:vAlign w:val="center"/>
            <w:hideMark/>
          </w:tcPr>
          <w:p w14:paraId="33FDEF38"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38.5%</w:t>
            </w:r>
          </w:p>
        </w:tc>
      </w:tr>
      <w:tr w:rsidR="00E03EBD" w:rsidRPr="006769A1" w14:paraId="37C4C008" w14:textId="77777777" w:rsidTr="00F5719E">
        <w:trPr>
          <w:trHeight w:val="300"/>
        </w:trPr>
        <w:tc>
          <w:tcPr>
            <w:tcW w:w="978" w:type="dxa"/>
            <w:tcBorders>
              <w:top w:val="nil"/>
              <w:left w:val="single" w:sz="12" w:space="0" w:color="auto"/>
              <w:bottom w:val="single" w:sz="4" w:space="0" w:color="auto"/>
              <w:right w:val="single" w:sz="12" w:space="0" w:color="auto"/>
            </w:tcBorders>
            <w:shd w:val="clear" w:color="auto" w:fill="E1E0C1"/>
            <w:noWrap/>
            <w:vAlign w:val="bottom"/>
            <w:hideMark/>
          </w:tcPr>
          <w:p w14:paraId="35FE27CF" w14:textId="77777777" w:rsidR="00E03EBD" w:rsidRPr="006769A1" w:rsidRDefault="00E03EBD" w:rsidP="00F5719E">
            <w:pPr>
              <w:jc w:val="center"/>
              <w:rPr>
                <w:rFonts w:ascii="Calibri" w:eastAsia="Times New Roman" w:hAnsi="Calibri" w:cs="Calibri"/>
                <w:b/>
                <w:bCs/>
                <w:color w:val="000000"/>
                <w:sz w:val="24"/>
                <w:szCs w:val="24"/>
                <w:lang w:eastAsia="en-AU"/>
              </w:rPr>
            </w:pPr>
            <w:r w:rsidRPr="006769A1">
              <w:rPr>
                <w:rFonts w:ascii="Calibri" w:eastAsia="Times New Roman" w:hAnsi="Calibri" w:cs="Calibri"/>
                <w:b/>
                <w:bCs/>
                <w:color w:val="000000"/>
                <w:sz w:val="24"/>
                <w:szCs w:val="24"/>
                <w:lang w:eastAsia="en-AU"/>
              </w:rPr>
              <w:t>H5.7</w:t>
            </w:r>
          </w:p>
        </w:tc>
        <w:tc>
          <w:tcPr>
            <w:tcW w:w="850" w:type="dxa"/>
            <w:tcBorders>
              <w:top w:val="nil"/>
              <w:left w:val="single" w:sz="12" w:space="0" w:color="auto"/>
              <w:bottom w:val="single" w:sz="4" w:space="0" w:color="auto"/>
              <w:right w:val="single" w:sz="4" w:space="0" w:color="auto"/>
            </w:tcBorders>
            <w:shd w:val="clear" w:color="000000" w:fill="E1E0C1"/>
            <w:vAlign w:val="center"/>
            <w:hideMark/>
          </w:tcPr>
          <w:p w14:paraId="7249F222"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16</w:t>
            </w:r>
          </w:p>
        </w:tc>
        <w:tc>
          <w:tcPr>
            <w:tcW w:w="992" w:type="dxa"/>
            <w:tcBorders>
              <w:top w:val="nil"/>
              <w:left w:val="nil"/>
              <w:bottom w:val="single" w:sz="4" w:space="0" w:color="auto"/>
              <w:right w:val="single" w:sz="4" w:space="0" w:color="auto"/>
            </w:tcBorders>
            <w:shd w:val="clear" w:color="000000" w:fill="E1E0C1"/>
            <w:vAlign w:val="center"/>
            <w:hideMark/>
          </w:tcPr>
          <w:p w14:paraId="19DAFC90"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50</w:t>
            </w:r>
          </w:p>
        </w:tc>
        <w:tc>
          <w:tcPr>
            <w:tcW w:w="1616" w:type="dxa"/>
            <w:tcBorders>
              <w:top w:val="nil"/>
              <w:left w:val="nil"/>
              <w:bottom w:val="single" w:sz="4" w:space="0" w:color="auto"/>
              <w:right w:val="single" w:sz="4" w:space="0" w:color="auto"/>
            </w:tcBorders>
            <w:shd w:val="clear" w:color="000000" w:fill="E1E0C1"/>
            <w:vAlign w:val="center"/>
            <w:hideMark/>
          </w:tcPr>
          <w:p w14:paraId="0117DDAF"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32%</w:t>
            </w:r>
          </w:p>
        </w:tc>
        <w:tc>
          <w:tcPr>
            <w:tcW w:w="598" w:type="dxa"/>
            <w:tcBorders>
              <w:top w:val="nil"/>
              <w:left w:val="nil"/>
              <w:bottom w:val="single" w:sz="4" w:space="0" w:color="auto"/>
              <w:right w:val="single" w:sz="4" w:space="0" w:color="auto"/>
            </w:tcBorders>
            <w:shd w:val="clear" w:color="000000" w:fill="E1E0C1"/>
            <w:vAlign w:val="center"/>
            <w:hideMark/>
          </w:tcPr>
          <w:p w14:paraId="0BA02CFD"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6</w:t>
            </w:r>
          </w:p>
        </w:tc>
        <w:tc>
          <w:tcPr>
            <w:tcW w:w="1005" w:type="dxa"/>
            <w:tcBorders>
              <w:top w:val="nil"/>
              <w:left w:val="nil"/>
              <w:bottom w:val="single" w:sz="4" w:space="0" w:color="auto"/>
              <w:right w:val="single" w:sz="4" w:space="0" w:color="auto"/>
            </w:tcBorders>
            <w:shd w:val="clear" w:color="000000" w:fill="E1E0C1"/>
            <w:vAlign w:val="center"/>
            <w:hideMark/>
          </w:tcPr>
          <w:p w14:paraId="1AEA920C"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37.5%</w:t>
            </w:r>
          </w:p>
        </w:tc>
        <w:tc>
          <w:tcPr>
            <w:tcW w:w="615" w:type="dxa"/>
            <w:tcBorders>
              <w:top w:val="nil"/>
              <w:left w:val="nil"/>
              <w:bottom w:val="single" w:sz="4" w:space="0" w:color="auto"/>
              <w:right w:val="single" w:sz="4" w:space="0" w:color="auto"/>
            </w:tcBorders>
            <w:shd w:val="clear" w:color="000000" w:fill="E1E0C1"/>
            <w:vAlign w:val="center"/>
            <w:hideMark/>
          </w:tcPr>
          <w:p w14:paraId="33F194D0"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4</w:t>
            </w:r>
          </w:p>
        </w:tc>
        <w:tc>
          <w:tcPr>
            <w:tcW w:w="1018" w:type="dxa"/>
            <w:tcBorders>
              <w:top w:val="nil"/>
              <w:left w:val="nil"/>
              <w:bottom w:val="single" w:sz="4" w:space="0" w:color="auto"/>
              <w:right w:val="single" w:sz="4" w:space="0" w:color="auto"/>
            </w:tcBorders>
            <w:shd w:val="clear" w:color="000000" w:fill="E1E0C1"/>
            <w:vAlign w:val="center"/>
            <w:hideMark/>
          </w:tcPr>
          <w:p w14:paraId="55E6C577"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25.0%</w:t>
            </w:r>
          </w:p>
        </w:tc>
        <w:tc>
          <w:tcPr>
            <w:tcW w:w="500" w:type="dxa"/>
            <w:tcBorders>
              <w:top w:val="nil"/>
              <w:left w:val="nil"/>
              <w:bottom w:val="single" w:sz="4" w:space="0" w:color="auto"/>
              <w:right w:val="single" w:sz="4" w:space="0" w:color="auto"/>
            </w:tcBorders>
            <w:shd w:val="clear" w:color="000000" w:fill="E1E0C1"/>
            <w:vAlign w:val="center"/>
            <w:hideMark/>
          </w:tcPr>
          <w:p w14:paraId="11325CE2"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6</w:t>
            </w:r>
          </w:p>
        </w:tc>
        <w:tc>
          <w:tcPr>
            <w:tcW w:w="1048" w:type="dxa"/>
            <w:tcBorders>
              <w:top w:val="nil"/>
              <w:left w:val="nil"/>
              <w:bottom w:val="single" w:sz="4" w:space="0" w:color="auto"/>
              <w:right w:val="single" w:sz="12" w:space="0" w:color="auto"/>
            </w:tcBorders>
            <w:shd w:val="clear" w:color="000000" w:fill="E1E0C1"/>
            <w:vAlign w:val="center"/>
            <w:hideMark/>
          </w:tcPr>
          <w:p w14:paraId="54220272"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37.5%</w:t>
            </w:r>
          </w:p>
        </w:tc>
      </w:tr>
      <w:tr w:rsidR="00E03EBD" w:rsidRPr="006769A1" w14:paraId="3FD27490" w14:textId="77777777" w:rsidTr="00F5719E">
        <w:trPr>
          <w:trHeight w:val="300"/>
        </w:trPr>
        <w:tc>
          <w:tcPr>
            <w:tcW w:w="978" w:type="dxa"/>
            <w:tcBorders>
              <w:top w:val="nil"/>
              <w:left w:val="single" w:sz="12" w:space="0" w:color="auto"/>
              <w:bottom w:val="single" w:sz="12" w:space="0" w:color="auto"/>
              <w:right w:val="single" w:sz="12" w:space="0" w:color="auto"/>
            </w:tcBorders>
            <w:shd w:val="clear" w:color="auto" w:fill="EEECE1" w:themeFill="background2"/>
            <w:noWrap/>
            <w:vAlign w:val="bottom"/>
            <w:hideMark/>
          </w:tcPr>
          <w:p w14:paraId="1207CCF9" w14:textId="77777777" w:rsidR="00E03EBD" w:rsidRPr="006769A1" w:rsidRDefault="00E03EBD" w:rsidP="00F5719E">
            <w:pPr>
              <w:jc w:val="center"/>
              <w:rPr>
                <w:rFonts w:ascii="Calibri" w:eastAsia="Times New Roman" w:hAnsi="Calibri" w:cs="Calibri"/>
                <w:b/>
                <w:bCs/>
                <w:color w:val="000000"/>
                <w:sz w:val="24"/>
                <w:szCs w:val="24"/>
                <w:lang w:eastAsia="en-AU"/>
              </w:rPr>
            </w:pPr>
            <w:r w:rsidRPr="006769A1">
              <w:rPr>
                <w:rFonts w:ascii="Calibri" w:eastAsia="Times New Roman" w:hAnsi="Calibri" w:cs="Calibri"/>
                <w:b/>
                <w:bCs/>
                <w:color w:val="000000"/>
                <w:sz w:val="24"/>
                <w:szCs w:val="24"/>
                <w:lang w:eastAsia="en-AU"/>
              </w:rPr>
              <w:t>H5.8</w:t>
            </w:r>
          </w:p>
        </w:tc>
        <w:tc>
          <w:tcPr>
            <w:tcW w:w="850" w:type="dxa"/>
            <w:tcBorders>
              <w:top w:val="nil"/>
              <w:left w:val="single" w:sz="12" w:space="0" w:color="auto"/>
              <w:bottom w:val="single" w:sz="12" w:space="0" w:color="auto"/>
              <w:right w:val="single" w:sz="4" w:space="0" w:color="auto"/>
            </w:tcBorders>
            <w:shd w:val="clear" w:color="auto" w:fill="EEECE1" w:themeFill="background2"/>
            <w:vAlign w:val="center"/>
            <w:hideMark/>
          </w:tcPr>
          <w:p w14:paraId="504F2CAB"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7</w:t>
            </w:r>
          </w:p>
        </w:tc>
        <w:tc>
          <w:tcPr>
            <w:tcW w:w="992" w:type="dxa"/>
            <w:tcBorders>
              <w:top w:val="nil"/>
              <w:left w:val="nil"/>
              <w:bottom w:val="single" w:sz="12" w:space="0" w:color="auto"/>
              <w:right w:val="single" w:sz="4" w:space="0" w:color="auto"/>
            </w:tcBorders>
            <w:shd w:val="clear" w:color="auto" w:fill="EEECE1" w:themeFill="background2"/>
            <w:vAlign w:val="center"/>
            <w:hideMark/>
          </w:tcPr>
          <w:p w14:paraId="08718F84"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50</w:t>
            </w:r>
          </w:p>
        </w:tc>
        <w:tc>
          <w:tcPr>
            <w:tcW w:w="1616" w:type="dxa"/>
            <w:tcBorders>
              <w:top w:val="nil"/>
              <w:left w:val="nil"/>
              <w:bottom w:val="single" w:sz="12" w:space="0" w:color="auto"/>
              <w:right w:val="single" w:sz="4" w:space="0" w:color="auto"/>
            </w:tcBorders>
            <w:shd w:val="clear" w:color="auto" w:fill="EEECE1" w:themeFill="background2"/>
            <w:vAlign w:val="center"/>
            <w:hideMark/>
          </w:tcPr>
          <w:p w14:paraId="079B63F1"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sz w:val="24"/>
                <w:szCs w:val="24"/>
                <w:lang w:eastAsia="en-AU"/>
              </w:rPr>
              <w:t>14%</w:t>
            </w:r>
          </w:p>
        </w:tc>
        <w:tc>
          <w:tcPr>
            <w:tcW w:w="598" w:type="dxa"/>
            <w:tcBorders>
              <w:top w:val="nil"/>
              <w:left w:val="nil"/>
              <w:bottom w:val="single" w:sz="12" w:space="0" w:color="auto"/>
              <w:right w:val="single" w:sz="4" w:space="0" w:color="auto"/>
            </w:tcBorders>
            <w:shd w:val="clear" w:color="auto" w:fill="EEECE1" w:themeFill="background2"/>
            <w:vAlign w:val="center"/>
            <w:hideMark/>
          </w:tcPr>
          <w:p w14:paraId="6F55D5BC"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4</w:t>
            </w:r>
          </w:p>
        </w:tc>
        <w:tc>
          <w:tcPr>
            <w:tcW w:w="1005" w:type="dxa"/>
            <w:tcBorders>
              <w:top w:val="nil"/>
              <w:left w:val="nil"/>
              <w:bottom w:val="single" w:sz="12" w:space="0" w:color="auto"/>
              <w:right w:val="single" w:sz="4" w:space="0" w:color="auto"/>
            </w:tcBorders>
            <w:shd w:val="clear" w:color="auto" w:fill="EEECE1" w:themeFill="background2"/>
            <w:vAlign w:val="center"/>
            <w:hideMark/>
          </w:tcPr>
          <w:p w14:paraId="4AF58E8C"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57.1%</w:t>
            </w:r>
          </w:p>
        </w:tc>
        <w:tc>
          <w:tcPr>
            <w:tcW w:w="615" w:type="dxa"/>
            <w:tcBorders>
              <w:top w:val="nil"/>
              <w:left w:val="nil"/>
              <w:bottom w:val="single" w:sz="12" w:space="0" w:color="auto"/>
              <w:right w:val="single" w:sz="4" w:space="0" w:color="auto"/>
            </w:tcBorders>
            <w:shd w:val="clear" w:color="auto" w:fill="EEECE1" w:themeFill="background2"/>
            <w:vAlign w:val="center"/>
            <w:hideMark/>
          </w:tcPr>
          <w:p w14:paraId="496A7770"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2</w:t>
            </w:r>
          </w:p>
        </w:tc>
        <w:tc>
          <w:tcPr>
            <w:tcW w:w="1018" w:type="dxa"/>
            <w:tcBorders>
              <w:top w:val="nil"/>
              <w:left w:val="nil"/>
              <w:bottom w:val="single" w:sz="12" w:space="0" w:color="auto"/>
              <w:right w:val="single" w:sz="4" w:space="0" w:color="auto"/>
            </w:tcBorders>
            <w:shd w:val="clear" w:color="auto" w:fill="EEECE1" w:themeFill="background2"/>
            <w:vAlign w:val="center"/>
            <w:hideMark/>
          </w:tcPr>
          <w:p w14:paraId="1474D0B7"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28.6%</w:t>
            </w:r>
          </w:p>
        </w:tc>
        <w:tc>
          <w:tcPr>
            <w:tcW w:w="500" w:type="dxa"/>
            <w:tcBorders>
              <w:top w:val="nil"/>
              <w:left w:val="nil"/>
              <w:bottom w:val="single" w:sz="12" w:space="0" w:color="auto"/>
              <w:right w:val="single" w:sz="4" w:space="0" w:color="auto"/>
            </w:tcBorders>
            <w:shd w:val="clear" w:color="auto" w:fill="EEECE1" w:themeFill="background2"/>
            <w:vAlign w:val="center"/>
            <w:hideMark/>
          </w:tcPr>
          <w:p w14:paraId="6077CBD4" w14:textId="77777777" w:rsidR="00E03EBD" w:rsidRPr="006769A1" w:rsidRDefault="00E03EBD" w:rsidP="00F5719E">
            <w:pPr>
              <w:jc w:val="center"/>
              <w:rPr>
                <w:rFonts w:ascii="Calibri" w:eastAsia="Times New Roman" w:hAnsi="Calibri" w:cs="Calibri"/>
                <w:color w:val="000000"/>
                <w:sz w:val="24"/>
                <w:szCs w:val="24"/>
                <w:lang w:eastAsia="en-AU"/>
              </w:rPr>
            </w:pPr>
            <w:r w:rsidRPr="006769A1">
              <w:rPr>
                <w:rFonts w:ascii="Calibri" w:eastAsia="Times New Roman" w:hAnsi="Calibri" w:cs="Calibri"/>
                <w:color w:val="000000"/>
                <w:sz w:val="24"/>
                <w:szCs w:val="24"/>
                <w:lang w:eastAsia="en-AU"/>
              </w:rPr>
              <w:t>1</w:t>
            </w:r>
          </w:p>
        </w:tc>
        <w:tc>
          <w:tcPr>
            <w:tcW w:w="1048" w:type="dxa"/>
            <w:tcBorders>
              <w:top w:val="nil"/>
              <w:left w:val="nil"/>
              <w:bottom w:val="single" w:sz="12" w:space="0" w:color="auto"/>
              <w:right w:val="single" w:sz="12" w:space="0" w:color="auto"/>
            </w:tcBorders>
            <w:shd w:val="clear" w:color="auto" w:fill="EEECE1" w:themeFill="background2"/>
            <w:vAlign w:val="center"/>
            <w:hideMark/>
          </w:tcPr>
          <w:p w14:paraId="6ED36B90" w14:textId="77777777" w:rsidR="00E03EBD" w:rsidRPr="006769A1" w:rsidRDefault="00E03EBD" w:rsidP="00F5719E">
            <w:pPr>
              <w:jc w:val="center"/>
              <w:rPr>
                <w:rFonts w:ascii="Calibri" w:eastAsia="Times New Roman" w:hAnsi="Calibri" w:cs="Calibri"/>
                <w:color w:val="000000"/>
                <w:sz w:val="24"/>
                <w:szCs w:val="24"/>
                <w:lang w:eastAsia="en-AU"/>
              </w:rPr>
            </w:pPr>
            <w:r>
              <w:rPr>
                <w:rFonts w:ascii="Calibri" w:hAnsi="Calibri" w:cs="Calibri"/>
                <w:color w:val="000000"/>
              </w:rPr>
              <w:t>14.3%</w:t>
            </w:r>
          </w:p>
        </w:tc>
      </w:tr>
      <w:tr w:rsidR="009A21F0" w:rsidRPr="006769A1" w14:paraId="27FB9928" w14:textId="77777777" w:rsidTr="00F5719E">
        <w:trPr>
          <w:trHeight w:val="375"/>
        </w:trPr>
        <w:tc>
          <w:tcPr>
            <w:tcW w:w="9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7CE9EE5" w14:textId="77777777" w:rsidR="006769A1" w:rsidRPr="006769A1" w:rsidRDefault="006769A1" w:rsidP="00F5719E">
            <w:pPr>
              <w:jc w:val="center"/>
              <w:rPr>
                <w:rFonts w:ascii="Calibri" w:eastAsia="Times New Roman" w:hAnsi="Calibri" w:cs="Calibri"/>
                <w:b/>
                <w:bCs/>
                <w:color w:val="000000"/>
                <w:sz w:val="28"/>
                <w:szCs w:val="28"/>
                <w:lang w:eastAsia="en-AU"/>
              </w:rPr>
            </w:pPr>
            <w:r w:rsidRPr="006769A1">
              <w:rPr>
                <w:rFonts w:ascii="Calibri" w:eastAsia="Times New Roman" w:hAnsi="Calibri" w:cs="Calibri"/>
                <w:b/>
                <w:bCs/>
                <w:color w:val="000000"/>
                <w:sz w:val="28"/>
                <w:szCs w:val="28"/>
                <w:lang w:eastAsia="en-AU"/>
              </w:rPr>
              <w:t>Total</w:t>
            </w:r>
          </w:p>
        </w:tc>
        <w:tc>
          <w:tcPr>
            <w:tcW w:w="850"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1CB25DDB" w14:textId="77777777" w:rsidR="006769A1" w:rsidRPr="006769A1" w:rsidRDefault="006769A1" w:rsidP="00F5719E">
            <w:pPr>
              <w:jc w:val="center"/>
              <w:rPr>
                <w:rFonts w:ascii="Calibri" w:eastAsia="Times New Roman" w:hAnsi="Calibri" w:cs="Calibri"/>
                <w:b/>
                <w:bCs/>
                <w:color w:val="000000"/>
                <w:sz w:val="28"/>
                <w:szCs w:val="28"/>
                <w:lang w:eastAsia="en-AU"/>
              </w:rPr>
            </w:pPr>
            <w:r w:rsidRPr="006769A1">
              <w:rPr>
                <w:rFonts w:ascii="Calibri" w:eastAsia="Times New Roman" w:hAnsi="Calibri" w:cs="Calibri"/>
                <w:b/>
                <w:bCs/>
                <w:sz w:val="28"/>
                <w:szCs w:val="28"/>
                <w:lang w:eastAsia="en-AU"/>
              </w:rPr>
              <w:t>156</w:t>
            </w:r>
          </w:p>
        </w:tc>
        <w:tc>
          <w:tcPr>
            <w:tcW w:w="992" w:type="dxa"/>
            <w:tcBorders>
              <w:top w:val="single" w:sz="12" w:space="0" w:color="auto"/>
              <w:left w:val="nil"/>
              <w:bottom w:val="single" w:sz="12" w:space="0" w:color="auto"/>
              <w:right w:val="single" w:sz="4" w:space="0" w:color="auto"/>
            </w:tcBorders>
            <w:shd w:val="clear" w:color="auto" w:fill="auto"/>
            <w:vAlign w:val="center"/>
            <w:hideMark/>
          </w:tcPr>
          <w:p w14:paraId="01C769E9" w14:textId="77777777" w:rsidR="006769A1" w:rsidRPr="006769A1" w:rsidRDefault="006769A1" w:rsidP="00F5719E">
            <w:pPr>
              <w:jc w:val="center"/>
              <w:rPr>
                <w:rFonts w:ascii="Calibri" w:eastAsia="Times New Roman" w:hAnsi="Calibri" w:cs="Calibri"/>
                <w:b/>
                <w:bCs/>
                <w:color w:val="000000"/>
                <w:sz w:val="28"/>
                <w:szCs w:val="28"/>
                <w:lang w:eastAsia="en-AU"/>
              </w:rPr>
            </w:pPr>
            <w:r w:rsidRPr="006769A1">
              <w:rPr>
                <w:rFonts w:ascii="Calibri" w:eastAsia="Times New Roman" w:hAnsi="Calibri" w:cs="Calibri"/>
                <w:b/>
                <w:bCs/>
                <w:sz w:val="28"/>
                <w:szCs w:val="28"/>
                <w:lang w:eastAsia="en-AU"/>
              </w:rPr>
              <w:t>531</w:t>
            </w:r>
          </w:p>
        </w:tc>
        <w:tc>
          <w:tcPr>
            <w:tcW w:w="1616" w:type="dxa"/>
            <w:tcBorders>
              <w:top w:val="single" w:sz="12" w:space="0" w:color="auto"/>
              <w:left w:val="nil"/>
              <w:bottom w:val="single" w:sz="12" w:space="0" w:color="auto"/>
              <w:right w:val="single" w:sz="4" w:space="0" w:color="auto"/>
            </w:tcBorders>
            <w:shd w:val="clear" w:color="auto" w:fill="auto"/>
            <w:vAlign w:val="center"/>
            <w:hideMark/>
          </w:tcPr>
          <w:p w14:paraId="5A36D0D5" w14:textId="77777777" w:rsidR="006769A1" w:rsidRPr="006769A1" w:rsidRDefault="006769A1" w:rsidP="00F5719E">
            <w:pPr>
              <w:jc w:val="center"/>
              <w:rPr>
                <w:rFonts w:ascii="Calibri" w:eastAsia="Times New Roman" w:hAnsi="Calibri" w:cs="Calibri"/>
                <w:b/>
                <w:bCs/>
                <w:color w:val="000000"/>
                <w:sz w:val="28"/>
                <w:szCs w:val="28"/>
                <w:lang w:eastAsia="en-AU"/>
              </w:rPr>
            </w:pPr>
            <w:r w:rsidRPr="006769A1">
              <w:rPr>
                <w:rFonts w:ascii="Calibri" w:eastAsia="Times New Roman" w:hAnsi="Calibri" w:cs="Calibri"/>
                <w:b/>
                <w:bCs/>
                <w:sz w:val="28"/>
                <w:szCs w:val="28"/>
                <w:lang w:eastAsia="en-AU"/>
              </w:rPr>
              <w:t>29.42%</w:t>
            </w:r>
          </w:p>
        </w:tc>
        <w:tc>
          <w:tcPr>
            <w:tcW w:w="598" w:type="dxa"/>
            <w:tcBorders>
              <w:top w:val="single" w:sz="12" w:space="0" w:color="auto"/>
              <w:left w:val="nil"/>
              <w:bottom w:val="single" w:sz="12" w:space="0" w:color="auto"/>
              <w:right w:val="single" w:sz="4" w:space="0" w:color="auto"/>
            </w:tcBorders>
            <w:shd w:val="clear" w:color="auto" w:fill="auto"/>
            <w:vAlign w:val="center"/>
            <w:hideMark/>
          </w:tcPr>
          <w:p w14:paraId="03F65646" w14:textId="77777777" w:rsidR="006769A1" w:rsidRPr="006769A1" w:rsidRDefault="006769A1" w:rsidP="00F5719E">
            <w:pPr>
              <w:jc w:val="center"/>
              <w:rPr>
                <w:rFonts w:ascii="Calibri" w:eastAsia="Times New Roman" w:hAnsi="Calibri" w:cs="Calibri"/>
                <w:b/>
                <w:bCs/>
                <w:color w:val="000000"/>
                <w:sz w:val="28"/>
                <w:szCs w:val="28"/>
                <w:lang w:eastAsia="en-AU"/>
              </w:rPr>
            </w:pPr>
            <w:r w:rsidRPr="006769A1">
              <w:rPr>
                <w:rFonts w:ascii="Calibri" w:eastAsia="Times New Roman" w:hAnsi="Calibri" w:cs="Calibri"/>
                <w:b/>
                <w:bCs/>
                <w:color w:val="000000"/>
                <w:sz w:val="28"/>
                <w:szCs w:val="28"/>
                <w:lang w:eastAsia="en-AU"/>
              </w:rPr>
              <w:t>64</w:t>
            </w:r>
          </w:p>
        </w:tc>
        <w:tc>
          <w:tcPr>
            <w:tcW w:w="1005" w:type="dxa"/>
            <w:tcBorders>
              <w:top w:val="single" w:sz="12" w:space="0" w:color="auto"/>
              <w:left w:val="nil"/>
              <w:bottom w:val="single" w:sz="12" w:space="0" w:color="auto"/>
              <w:right w:val="single" w:sz="4" w:space="0" w:color="auto"/>
            </w:tcBorders>
            <w:shd w:val="clear" w:color="auto" w:fill="auto"/>
            <w:vAlign w:val="center"/>
            <w:hideMark/>
          </w:tcPr>
          <w:p w14:paraId="1C586C36" w14:textId="77777777" w:rsidR="006769A1" w:rsidRPr="006769A1" w:rsidRDefault="006769A1" w:rsidP="00F5719E">
            <w:pPr>
              <w:jc w:val="center"/>
              <w:rPr>
                <w:rFonts w:ascii="Calibri" w:eastAsia="Times New Roman" w:hAnsi="Calibri" w:cs="Calibri"/>
                <w:b/>
                <w:bCs/>
                <w:color w:val="000000"/>
                <w:sz w:val="28"/>
                <w:szCs w:val="28"/>
                <w:lang w:eastAsia="en-AU"/>
              </w:rPr>
            </w:pPr>
            <w:r w:rsidRPr="006769A1">
              <w:rPr>
                <w:rFonts w:ascii="Calibri" w:eastAsia="Times New Roman" w:hAnsi="Calibri" w:cs="Calibri"/>
                <w:b/>
                <w:bCs/>
                <w:color w:val="000000"/>
                <w:sz w:val="28"/>
                <w:szCs w:val="28"/>
                <w:lang w:eastAsia="en-AU"/>
              </w:rPr>
              <w:t>41.0%</w:t>
            </w:r>
          </w:p>
        </w:tc>
        <w:tc>
          <w:tcPr>
            <w:tcW w:w="615" w:type="dxa"/>
            <w:tcBorders>
              <w:top w:val="single" w:sz="12" w:space="0" w:color="auto"/>
              <w:left w:val="nil"/>
              <w:bottom w:val="single" w:sz="12" w:space="0" w:color="auto"/>
              <w:right w:val="single" w:sz="4" w:space="0" w:color="auto"/>
            </w:tcBorders>
            <w:shd w:val="clear" w:color="auto" w:fill="auto"/>
            <w:vAlign w:val="center"/>
            <w:hideMark/>
          </w:tcPr>
          <w:p w14:paraId="073C109D" w14:textId="77777777" w:rsidR="006769A1" w:rsidRPr="006769A1" w:rsidRDefault="006769A1" w:rsidP="00F5719E">
            <w:pPr>
              <w:jc w:val="center"/>
              <w:rPr>
                <w:rFonts w:ascii="Calibri" w:eastAsia="Times New Roman" w:hAnsi="Calibri" w:cs="Calibri"/>
                <w:b/>
                <w:bCs/>
                <w:color w:val="000000"/>
                <w:sz w:val="28"/>
                <w:szCs w:val="28"/>
                <w:lang w:eastAsia="en-AU"/>
              </w:rPr>
            </w:pPr>
            <w:r w:rsidRPr="006769A1">
              <w:rPr>
                <w:rFonts w:ascii="Calibri" w:eastAsia="Times New Roman" w:hAnsi="Calibri" w:cs="Calibri"/>
                <w:b/>
                <w:bCs/>
                <w:color w:val="000000"/>
                <w:sz w:val="28"/>
                <w:szCs w:val="28"/>
                <w:lang w:eastAsia="en-AU"/>
              </w:rPr>
              <w:t>46</w:t>
            </w:r>
          </w:p>
        </w:tc>
        <w:tc>
          <w:tcPr>
            <w:tcW w:w="1018" w:type="dxa"/>
            <w:tcBorders>
              <w:top w:val="single" w:sz="12" w:space="0" w:color="auto"/>
              <w:left w:val="nil"/>
              <w:bottom w:val="single" w:sz="12" w:space="0" w:color="auto"/>
              <w:right w:val="single" w:sz="4" w:space="0" w:color="auto"/>
            </w:tcBorders>
            <w:shd w:val="clear" w:color="auto" w:fill="auto"/>
            <w:vAlign w:val="center"/>
            <w:hideMark/>
          </w:tcPr>
          <w:p w14:paraId="265604F8" w14:textId="77777777" w:rsidR="006769A1" w:rsidRPr="006769A1" w:rsidRDefault="006769A1" w:rsidP="00F5719E">
            <w:pPr>
              <w:jc w:val="center"/>
              <w:rPr>
                <w:rFonts w:ascii="Calibri" w:eastAsia="Times New Roman" w:hAnsi="Calibri" w:cs="Calibri"/>
                <w:b/>
                <w:bCs/>
                <w:color w:val="000000"/>
                <w:sz w:val="28"/>
                <w:szCs w:val="28"/>
                <w:lang w:eastAsia="en-AU"/>
              </w:rPr>
            </w:pPr>
            <w:r w:rsidRPr="006769A1">
              <w:rPr>
                <w:rFonts w:ascii="Calibri" w:eastAsia="Times New Roman" w:hAnsi="Calibri" w:cs="Calibri"/>
                <w:b/>
                <w:bCs/>
                <w:color w:val="000000"/>
                <w:sz w:val="28"/>
                <w:szCs w:val="28"/>
                <w:lang w:eastAsia="en-AU"/>
              </w:rPr>
              <w:t>29.5%</w:t>
            </w:r>
          </w:p>
        </w:tc>
        <w:tc>
          <w:tcPr>
            <w:tcW w:w="500" w:type="dxa"/>
            <w:tcBorders>
              <w:top w:val="single" w:sz="12" w:space="0" w:color="auto"/>
              <w:left w:val="nil"/>
              <w:bottom w:val="single" w:sz="12" w:space="0" w:color="auto"/>
              <w:right w:val="single" w:sz="4" w:space="0" w:color="auto"/>
            </w:tcBorders>
            <w:shd w:val="clear" w:color="auto" w:fill="auto"/>
            <w:vAlign w:val="center"/>
            <w:hideMark/>
          </w:tcPr>
          <w:p w14:paraId="4D095ED5" w14:textId="77777777" w:rsidR="006769A1" w:rsidRPr="006769A1" w:rsidRDefault="006769A1" w:rsidP="00F5719E">
            <w:pPr>
              <w:jc w:val="center"/>
              <w:rPr>
                <w:rFonts w:ascii="Calibri" w:eastAsia="Times New Roman" w:hAnsi="Calibri" w:cs="Calibri"/>
                <w:b/>
                <w:bCs/>
                <w:color w:val="000000"/>
                <w:sz w:val="28"/>
                <w:szCs w:val="28"/>
                <w:lang w:eastAsia="en-AU"/>
              </w:rPr>
            </w:pPr>
            <w:r w:rsidRPr="006769A1">
              <w:rPr>
                <w:rFonts w:ascii="Calibri" w:eastAsia="Times New Roman" w:hAnsi="Calibri" w:cs="Calibri"/>
                <w:b/>
                <w:bCs/>
                <w:color w:val="000000"/>
                <w:sz w:val="28"/>
                <w:szCs w:val="28"/>
                <w:lang w:eastAsia="en-AU"/>
              </w:rPr>
              <w:t>46</w:t>
            </w:r>
          </w:p>
        </w:tc>
        <w:tc>
          <w:tcPr>
            <w:tcW w:w="1048" w:type="dxa"/>
            <w:tcBorders>
              <w:top w:val="single" w:sz="12" w:space="0" w:color="auto"/>
              <w:left w:val="nil"/>
              <w:bottom w:val="single" w:sz="12" w:space="0" w:color="auto"/>
              <w:right w:val="single" w:sz="12" w:space="0" w:color="auto"/>
            </w:tcBorders>
            <w:shd w:val="clear" w:color="auto" w:fill="auto"/>
            <w:vAlign w:val="center"/>
            <w:hideMark/>
          </w:tcPr>
          <w:p w14:paraId="7B87E8D1" w14:textId="77777777" w:rsidR="006769A1" w:rsidRPr="006769A1" w:rsidRDefault="006769A1" w:rsidP="00F5719E">
            <w:pPr>
              <w:jc w:val="center"/>
              <w:rPr>
                <w:rFonts w:ascii="Calibri" w:eastAsia="Times New Roman" w:hAnsi="Calibri" w:cs="Calibri"/>
                <w:b/>
                <w:bCs/>
                <w:color w:val="000000"/>
                <w:sz w:val="28"/>
                <w:szCs w:val="28"/>
                <w:lang w:eastAsia="en-AU"/>
              </w:rPr>
            </w:pPr>
            <w:r w:rsidRPr="006769A1">
              <w:rPr>
                <w:rFonts w:ascii="Calibri" w:eastAsia="Times New Roman" w:hAnsi="Calibri" w:cs="Calibri"/>
                <w:b/>
                <w:bCs/>
                <w:color w:val="000000"/>
                <w:sz w:val="28"/>
                <w:szCs w:val="28"/>
                <w:lang w:eastAsia="en-AU"/>
              </w:rPr>
              <w:t>29.5%</w:t>
            </w:r>
          </w:p>
        </w:tc>
      </w:tr>
    </w:tbl>
    <w:p w14:paraId="7A2F577D" w14:textId="77777777" w:rsidR="000B0A83" w:rsidRPr="000B0A83" w:rsidRDefault="00F5719E" w:rsidP="000B0A83">
      <w:pPr>
        <w:pStyle w:val="Heading1"/>
        <w:spacing w:after="0"/>
        <w:rPr>
          <w:sz w:val="20"/>
          <w:szCs w:val="20"/>
        </w:rPr>
      </w:pPr>
      <w:bookmarkStart w:id="31" w:name="_Toc81917112"/>
      <w:bookmarkStart w:id="32" w:name="_Toc81917931"/>
      <w:r w:rsidRPr="0083500F">
        <w:rPr>
          <w:noProof/>
          <w:sz w:val="24"/>
          <w:szCs w:val="24"/>
          <w:lang w:val="en-AU" w:eastAsia="en-AU"/>
        </w:rPr>
        <w:drawing>
          <wp:anchor distT="0" distB="0" distL="114300" distR="114300" simplePos="0" relativeHeight="251663872" behindDoc="1" locked="0" layoutInCell="1" allowOverlap="1" wp14:anchorId="1715EEA3" wp14:editId="3F70A6CD">
            <wp:simplePos x="0" y="0"/>
            <wp:positionH relativeFrom="margin">
              <wp:align>right</wp:align>
            </wp:positionH>
            <wp:positionV relativeFrom="paragraph">
              <wp:posOffset>931487</wp:posOffset>
            </wp:positionV>
            <wp:extent cx="4096360" cy="2101900"/>
            <wp:effectExtent l="0" t="0" r="0" b="0"/>
            <wp:wrapNone/>
            <wp:docPr id="13" name="Chart 13">
              <a:extLst xmlns:a="http://schemas.openxmlformats.org/drawingml/2006/main">
                <a:ext uri="{FF2B5EF4-FFF2-40B4-BE49-F238E27FC236}">
                  <a16:creationId xmlns:a16="http://schemas.microsoft.com/office/drawing/2014/main" id="{A63E8AAA-8010-4ACE-8CEC-3AF8410204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Pr="0083500F">
        <w:rPr>
          <w:b w:val="0"/>
          <w:bCs w:val="0"/>
          <w:noProof/>
          <w:sz w:val="24"/>
          <w:szCs w:val="24"/>
          <w:lang w:val="en-AU" w:eastAsia="en-AU"/>
        </w:rPr>
        <mc:AlternateContent>
          <mc:Choice Requires="wps">
            <w:drawing>
              <wp:anchor distT="0" distB="0" distL="114300" distR="114300" simplePos="0" relativeHeight="251665920" behindDoc="0" locked="0" layoutInCell="1" allowOverlap="1" wp14:anchorId="5FBBDA2A" wp14:editId="44AD7957">
                <wp:simplePos x="0" y="0"/>
                <wp:positionH relativeFrom="column">
                  <wp:posOffset>6038603</wp:posOffset>
                </wp:positionH>
                <wp:positionV relativeFrom="paragraph">
                  <wp:posOffset>646479</wp:posOffset>
                </wp:positionV>
                <wp:extent cx="3408218" cy="6553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408218" cy="655320"/>
                        </a:xfrm>
                        <a:prstGeom prst="rect">
                          <a:avLst/>
                        </a:prstGeom>
                        <a:noFill/>
                        <a:ln w="6350">
                          <a:noFill/>
                        </a:ln>
                      </wps:spPr>
                      <wps:txbx>
                        <w:txbxContent>
                          <w:p w14:paraId="100BC674" w14:textId="77777777" w:rsidR="00762C79" w:rsidRPr="00EC495D" w:rsidRDefault="00762C79" w:rsidP="00967951">
                            <w:pPr>
                              <w:rPr>
                                <w:b/>
                                <w:bCs/>
                                <w:sz w:val="28"/>
                                <w:szCs w:val="28"/>
                              </w:rPr>
                            </w:pPr>
                            <w:r>
                              <w:rPr>
                                <w:b/>
                                <w:bCs/>
                                <w:sz w:val="28"/>
                                <w:szCs w:val="28"/>
                              </w:rPr>
                              <w:t>Scaffolding</w:t>
                            </w:r>
                            <w:r w:rsidRPr="00EC495D">
                              <w:rPr>
                                <w:b/>
                                <w:bCs/>
                                <w:sz w:val="28"/>
                                <w:szCs w:val="28"/>
                              </w:rPr>
                              <w:t xml:space="preserve"> CAR</w:t>
                            </w:r>
                            <w:r>
                              <w:rPr>
                                <w:b/>
                                <w:bCs/>
                                <w:sz w:val="28"/>
                                <w:szCs w:val="28"/>
                              </w:rPr>
                              <w:t>s – Major v Minor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BDA2A" id="Text Box 22" o:spid="_x0000_s1039" type="#_x0000_t202" style="position:absolute;margin-left:475.5pt;margin-top:50.9pt;width:268.35pt;height:5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" filled="f" stroked="f" strokeweight=".5pt">
                <v:textbox>
                  <w:txbxContent>
                    <w:p w14:paraId="100BC674" w14:textId="77777777" w:rsidR="00762C79" w:rsidRPr="00EC495D" w:rsidRDefault="00762C79" w:rsidP="00967951">
                      <w:pPr>
                        <w:rPr>
                          <w:b/>
                          <w:bCs/>
                          <w:sz w:val="28"/>
                          <w:szCs w:val="28"/>
                        </w:rPr>
                      </w:pPr>
                      <w:r>
                        <w:rPr>
                          <w:b/>
                          <w:bCs/>
                          <w:sz w:val="28"/>
                          <w:szCs w:val="28"/>
                        </w:rPr>
                        <w:t>Scaffolding</w:t>
                      </w:r>
                      <w:r w:rsidRPr="00EC495D">
                        <w:rPr>
                          <w:b/>
                          <w:bCs/>
                          <w:sz w:val="28"/>
                          <w:szCs w:val="28"/>
                        </w:rPr>
                        <w:t xml:space="preserve"> CAR</w:t>
                      </w:r>
                      <w:r>
                        <w:rPr>
                          <w:b/>
                          <w:bCs/>
                          <w:sz w:val="28"/>
                          <w:szCs w:val="28"/>
                        </w:rPr>
                        <w:t>s – Major v Minor</w:t>
                      </w:r>
                    </w:p>
                  </w:txbxContent>
                </v:textbox>
              </v:shape>
            </w:pict>
          </mc:Fallback>
        </mc:AlternateContent>
      </w:r>
      <w:bookmarkEnd w:id="31"/>
      <w:bookmarkEnd w:id="32"/>
      <w:r>
        <w:br w:type="textWrapping" w:clear="all"/>
      </w:r>
      <w:bookmarkStart w:id="33" w:name="_Toc81917932"/>
    </w:p>
    <w:p w14:paraId="053C4CF3" w14:textId="77777777" w:rsidR="00C842D0" w:rsidRDefault="00C842D0" w:rsidP="000B0A83">
      <w:pPr>
        <w:pStyle w:val="Heading1"/>
        <w:spacing w:after="0"/>
      </w:pPr>
      <w:r>
        <w:t xml:space="preserve">Scaffolding – Sub-criteria </w:t>
      </w:r>
      <w:r w:rsidR="00AF69D4">
        <w:t xml:space="preserve">CAR </w:t>
      </w:r>
      <w:r>
        <w:t>Issue Rates</w:t>
      </w:r>
      <w:bookmarkEnd w:id="33"/>
    </w:p>
    <w:p w14:paraId="7560C789" w14:textId="77777777" w:rsidR="0068781D" w:rsidRPr="00EC1C7E" w:rsidRDefault="00D051BF" w:rsidP="0068781D">
      <w:pPr>
        <w:pStyle w:val="ListParagraph"/>
        <w:numPr>
          <w:ilvl w:val="0"/>
          <w:numId w:val="2"/>
        </w:numPr>
        <w:rPr>
          <w:color w:val="000000" w:themeColor="text1"/>
          <w:sz w:val="24"/>
          <w:szCs w:val="24"/>
          <w:lang w:val="en-US"/>
        </w:rPr>
      </w:pPr>
      <w:r>
        <w:rPr>
          <w:color w:val="000000" w:themeColor="text1"/>
          <w:sz w:val="24"/>
          <w:szCs w:val="24"/>
          <w:lang w:val="en-US"/>
        </w:rPr>
        <w:t xml:space="preserve">Non-compliance with </w:t>
      </w:r>
      <w:r w:rsidR="0068781D" w:rsidRPr="00EC1C7E">
        <w:rPr>
          <w:color w:val="000000" w:themeColor="text1"/>
          <w:sz w:val="24"/>
          <w:szCs w:val="24"/>
          <w:lang w:val="en-US"/>
        </w:rPr>
        <w:t xml:space="preserve">scaffolding sub-criteria </w:t>
      </w:r>
      <w:r>
        <w:rPr>
          <w:color w:val="000000" w:themeColor="text1"/>
          <w:sz w:val="24"/>
          <w:szCs w:val="24"/>
          <w:lang w:val="en-US"/>
        </w:rPr>
        <w:t xml:space="preserve">is </w:t>
      </w:r>
      <w:r w:rsidR="0068781D" w:rsidRPr="00EC1C7E">
        <w:rPr>
          <w:color w:val="000000" w:themeColor="text1"/>
          <w:sz w:val="24"/>
          <w:szCs w:val="24"/>
          <w:lang w:val="en-US"/>
        </w:rPr>
        <w:t xml:space="preserve">highest </w:t>
      </w:r>
      <w:r>
        <w:rPr>
          <w:color w:val="000000" w:themeColor="text1"/>
          <w:sz w:val="24"/>
          <w:szCs w:val="24"/>
          <w:lang w:val="en-US"/>
        </w:rPr>
        <w:t xml:space="preserve">in relation to </w:t>
      </w:r>
      <w:r w:rsidR="0068781D" w:rsidRPr="00EC1C7E">
        <w:rPr>
          <w:b/>
          <w:bCs/>
          <w:color w:val="000000" w:themeColor="text1"/>
          <w:sz w:val="24"/>
          <w:szCs w:val="24"/>
          <w:lang w:val="en-US"/>
        </w:rPr>
        <w:t>H5.6</w:t>
      </w:r>
      <w:r w:rsidR="0068781D" w:rsidRPr="00EC1C7E">
        <w:rPr>
          <w:color w:val="000000" w:themeColor="text1"/>
          <w:sz w:val="24"/>
          <w:szCs w:val="24"/>
          <w:lang w:val="en-US"/>
        </w:rPr>
        <w:t xml:space="preserve">, which </w:t>
      </w:r>
      <w:r w:rsidR="00B36F88">
        <w:rPr>
          <w:color w:val="000000" w:themeColor="text1"/>
          <w:sz w:val="24"/>
          <w:szCs w:val="24"/>
          <w:lang w:val="en-US"/>
        </w:rPr>
        <w:t xml:space="preserve">requires companies to </w:t>
      </w:r>
      <w:r w:rsidR="0068781D" w:rsidRPr="00EC1C7E">
        <w:rPr>
          <w:color w:val="000000" w:themeColor="text1"/>
          <w:sz w:val="24"/>
          <w:szCs w:val="24"/>
          <w:lang w:val="en-US"/>
        </w:rPr>
        <w:t>ensure structural support systems are installed by a competent person and verified as correctly installed prior to use. CAR</w:t>
      </w:r>
      <w:r>
        <w:rPr>
          <w:color w:val="000000" w:themeColor="text1"/>
          <w:sz w:val="24"/>
          <w:szCs w:val="24"/>
          <w:lang w:val="en-US"/>
        </w:rPr>
        <w:t xml:space="preserve">s against this sub-criterion have </w:t>
      </w:r>
      <w:r w:rsidR="0068781D" w:rsidRPr="00EC1C7E">
        <w:rPr>
          <w:color w:val="000000" w:themeColor="text1"/>
          <w:sz w:val="24"/>
          <w:szCs w:val="24"/>
          <w:lang w:val="en-US"/>
        </w:rPr>
        <w:t xml:space="preserve">been issued </w:t>
      </w:r>
      <w:r w:rsidR="0068781D" w:rsidRPr="00EC1C7E">
        <w:rPr>
          <w:b/>
          <w:bCs/>
          <w:color w:val="000000" w:themeColor="text1"/>
          <w:sz w:val="24"/>
          <w:szCs w:val="24"/>
          <w:lang w:val="en-US"/>
        </w:rPr>
        <w:t>26</w:t>
      </w:r>
      <w:r w:rsidR="0068781D" w:rsidRPr="00EC1C7E">
        <w:rPr>
          <w:color w:val="000000" w:themeColor="text1"/>
          <w:sz w:val="24"/>
          <w:szCs w:val="24"/>
          <w:lang w:val="en-US"/>
        </w:rPr>
        <w:t xml:space="preserve"> times out of </w:t>
      </w:r>
      <w:r w:rsidR="0068781D" w:rsidRPr="00EC1C7E">
        <w:rPr>
          <w:b/>
          <w:bCs/>
          <w:color w:val="000000" w:themeColor="text1"/>
          <w:sz w:val="24"/>
          <w:szCs w:val="24"/>
          <w:lang w:val="en-US"/>
        </w:rPr>
        <w:t>50</w:t>
      </w:r>
      <w:r w:rsidR="0068781D" w:rsidRPr="00EC1C7E">
        <w:rPr>
          <w:color w:val="000000" w:themeColor="text1"/>
          <w:sz w:val="24"/>
          <w:szCs w:val="24"/>
          <w:lang w:val="en-US"/>
        </w:rPr>
        <w:t xml:space="preserve"> </w:t>
      </w:r>
      <w:r w:rsidR="005C330B">
        <w:rPr>
          <w:color w:val="000000" w:themeColor="text1"/>
          <w:sz w:val="24"/>
          <w:szCs w:val="24"/>
          <w:lang w:val="en-US"/>
        </w:rPr>
        <w:t xml:space="preserve">Hazard 2020 </w:t>
      </w:r>
      <w:r w:rsidR="0068781D" w:rsidRPr="00EC1C7E">
        <w:rPr>
          <w:color w:val="000000" w:themeColor="text1"/>
          <w:sz w:val="24"/>
          <w:szCs w:val="24"/>
          <w:lang w:val="en-US"/>
        </w:rPr>
        <w:t>audits.</w:t>
      </w:r>
    </w:p>
    <w:p w14:paraId="1CD3DAFE" w14:textId="77777777" w:rsidR="0068781D" w:rsidRPr="00EC1C7E" w:rsidRDefault="0068781D" w:rsidP="0068781D">
      <w:pPr>
        <w:pStyle w:val="ListParagraph"/>
        <w:numPr>
          <w:ilvl w:val="0"/>
          <w:numId w:val="2"/>
        </w:numPr>
        <w:rPr>
          <w:color w:val="000000" w:themeColor="text1"/>
          <w:sz w:val="24"/>
          <w:szCs w:val="24"/>
          <w:lang w:val="en-US"/>
        </w:rPr>
      </w:pPr>
      <w:r w:rsidRPr="00EC1C7E">
        <w:rPr>
          <w:color w:val="000000" w:themeColor="text1"/>
          <w:sz w:val="24"/>
          <w:szCs w:val="24"/>
          <w:lang w:val="en-US"/>
        </w:rPr>
        <w:t xml:space="preserve">The other </w:t>
      </w:r>
      <w:r w:rsidR="00B36F88">
        <w:rPr>
          <w:color w:val="000000" w:themeColor="text1"/>
          <w:sz w:val="24"/>
          <w:szCs w:val="24"/>
          <w:lang w:val="en-US"/>
        </w:rPr>
        <w:t xml:space="preserve">sub-criteria in relation to which </w:t>
      </w:r>
      <w:r w:rsidRPr="00EC1C7E">
        <w:rPr>
          <w:color w:val="000000" w:themeColor="text1"/>
          <w:sz w:val="24"/>
          <w:szCs w:val="24"/>
          <w:lang w:val="en-US"/>
        </w:rPr>
        <w:t xml:space="preserve">CARs </w:t>
      </w:r>
      <w:r w:rsidR="00B36F88">
        <w:rPr>
          <w:color w:val="000000" w:themeColor="text1"/>
          <w:sz w:val="24"/>
          <w:szCs w:val="24"/>
          <w:lang w:val="en-US"/>
        </w:rPr>
        <w:t xml:space="preserve">have been </w:t>
      </w:r>
      <w:r w:rsidRPr="00EC1C7E">
        <w:rPr>
          <w:color w:val="000000" w:themeColor="text1"/>
          <w:sz w:val="24"/>
          <w:szCs w:val="24"/>
          <w:lang w:val="en-US"/>
        </w:rPr>
        <w:t xml:space="preserve">issued at a rate </w:t>
      </w:r>
      <w:r w:rsidR="00B36F88">
        <w:rPr>
          <w:color w:val="000000" w:themeColor="text1"/>
          <w:sz w:val="24"/>
          <w:szCs w:val="24"/>
          <w:lang w:val="en-US"/>
        </w:rPr>
        <w:t xml:space="preserve">of greater than </w:t>
      </w:r>
      <w:r w:rsidRPr="00BB03B5">
        <w:rPr>
          <w:b/>
          <w:bCs/>
          <w:color w:val="000000" w:themeColor="text1"/>
          <w:sz w:val="24"/>
          <w:szCs w:val="24"/>
          <w:lang w:val="en-US"/>
        </w:rPr>
        <w:t>25 per cent</w:t>
      </w:r>
      <w:r w:rsidRPr="00EC1C7E">
        <w:rPr>
          <w:color w:val="000000" w:themeColor="text1"/>
          <w:sz w:val="24"/>
          <w:szCs w:val="24"/>
          <w:lang w:val="en-US"/>
        </w:rPr>
        <w:t xml:space="preserve"> are </w:t>
      </w:r>
      <w:r w:rsidRPr="00EC1C7E">
        <w:rPr>
          <w:b/>
          <w:bCs/>
          <w:color w:val="000000" w:themeColor="text1"/>
          <w:sz w:val="24"/>
          <w:szCs w:val="24"/>
          <w:lang w:val="en-US"/>
        </w:rPr>
        <w:t>H5.4</w:t>
      </w:r>
      <w:r w:rsidRPr="00EC1C7E">
        <w:rPr>
          <w:color w:val="000000" w:themeColor="text1"/>
          <w:sz w:val="24"/>
          <w:szCs w:val="24"/>
          <w:lang w:val="en-US"/>
        </w:rPr>
        <w:t xml:space="preserve">, </w:t>
      </w:r>
      <w:r w:rsidRPr="00EC1C7E">
        <w:rPr>
          <w:b/>
          <w:bCs/>
          <w:color w:val="000000" w:themeColor="text1"/>
          <w:sz w:val="24"/>
          <w:szCs w:val="24"/>
          <w:lang w:val="en-US"/>
        </w:rPr>
        <w:t>H1.4</w:t>
      </w:r>
      <w:r w:rsidRPr="00EC1C7E">
        <w:rPr>
          <w:color w:val="000000" w:themeColor="text1"/>
          <w:sz w:val="24"/>
          <w:szCs w:val="24"/>
          <w:lang w:val="en-US"/>
        </w:rPr>
        <w:t>,</w:t>
      </w:r>
      <w:r w:rsidRPr="00EC1C7E">
        <w:rPr>
          <w:b/>
          <w:bCs/>
          <w:color w:val="000000" w:themeColor="text1"/>
          <w:sz w:val="24"/>
          <w:szCs w:val="24"/>
          <w:lang w:val="en-US"/>
        </w:rPr>
        <w:t xml:space="preserve"> H5.7 </w:t>
      </w:r>
      <w:r w:rsidRPr="00EC1C7E">
        <w:rPr>
          <w:color w:val="000000" w:themeColor="text1"/>
          <w:sz w:val="24"/>
          <w:szCs w:val="24"/>
          <w:lang w:val="en-US"/>
        </w:rPr>
        <w:t>and</w:t>
      </w:r>
      <w:r w:rsidRPr="00EC1C7E">
        <w:rPr>
          <w:b/>
          <w:bCs/>
          <w:color w:val="000000" w:themeColor="text1"/>
          <w:sz w:val="24"/>
          <w:szCs w:val="24"/>
          <w:lang w:val="en-US"/>
        </w:rPr>
        <w:t xml:space="preserve"> H5.2</w:t>
      </w:r>
      <w:r w:rsidRPr="00EC1C7E">
        <w:rPr>
          <w:color w:val="000000" w:themeColor="text1"/>
          <w:sz w:val="24"/>
          <w:szCs w:val="24"/>
          <w:lang w:val="en-US"/>
        </w:rPr>
        <w:t>.</w:t>
      </w:r>
    </w:p>
    <w:p w14:paraId="0684FE72" w14:textId="77777777" w:rsidR="00E00B3E" w:rsidRDefault="00E00B3E" w:rsidP="0068781D">
      <w:pPr>
        <w:pStyle w:val="ListParagraph"/>
        <w:numPr>
          <w:ilvl w:val="0"/>
          <w:numId w:val="2"/>
        </w:numPr>
        <w:rPr>
          <w:color w:val="000000" w:themeColor="text1"/>
          <w:sz w:val="24"/>
          <w:szCs w:val="24"/>
          <w:lang w:val="en-US"/>
        </w:rPr>
      </w:pPr>
      <w:r w:rsidRPr="00EC1C7E">
        <w:rPr>
          <w:color w:val="000000" w:themeColor="text1"/>
          <w:sz w:val="24"/>
          <w:szCs w:val="24"/>
          <w:lang w:val="en-US"/>
        </w:rPr>
        <w:t>In January</w:t>
      </w:r>
      <w:r w:rsidR="00B36F88">
        <w:rPr>
          <w:color w:val="000000" w:themeColor="text1"/>
          <w:sz w:val="24"/>
          <w:szCs w:val="24"/>
          <w:lang w:val="en-US"/>
        </w:rPr>
        <w:t xml:space="preserve"> 2021</w:t>
      </w:r>
      <w:r w:rsidRPr="00EC1C7E">
        <w:rPr>
          <w:color w:val="000000" w:themeColor="text1"/>
          <w:sz w:val="24"/>
          <w:szCs w:val="24"/>
          <w:lang w:val="en-US"/>
        </w:rPr>
        <w:t>, all 5 sub</w:t>
      </w:r>
      <w:r w:rsidR="00D051BF">
        <w:rPr>
          <w:color w:val="000000" w:themeColor="text1"/>
          <w:sz w:val="24"/>
          <w:szCs w:val="24"/>
          <w:lang w:val="en-US"/>
        </w:rPr>
        <w:t>-</w:t>
      </w:r>
      <w:r w:rsidRPr="00EC1C7E">
        <w:rPr>
          <w:color w:val="000000" w:themeColor="text1"/>
          <w:sz w:val="24"/>
          <w:szCs w:val="24"/>
          <w:lang w:val="en-US"/>
        </w:rPr>
        <w:t xml:space="preserve">criteria </w:t>
      </w:r>
      <w:r w:rsidR="00D051BF">
        <w:rPr>
          <w:color w:val="000000" w:themeColor="text1"/>
          <w:sz w:val="24"/>
          <w:szCs w:val="24"/>
          <w:lang w:val="en-US"/>
        </w:rPr>
        <w:t xml:space="preserve">showed non-compliance </w:t>
      </w:r>
      <w:r w:rsidR="00A72FB3" w:rsidRPr="00EC1C7E">
        <w:rPr>
          <w:color w:val="000000" w:themeColor="text1"/>
          <w:sz w:val="24"/>
          <w:szCs w:val="24"/>
          <w:lang w:val="en-US"/>
        </w:rPr>
        <w:t>rate</w:t>
      </w:r>
      <w:r w:rsidR="00D051BF">
        <w:rPr>
          <w:color w:val="000000" w:themeColor="text1"/>
          <w:sz w:val="24"/>
          <w:szCs w:val="24"/>
          <w:lang w:val="en-US"/>
        </w:rPr>
        <w:t>s</w:t>
      </w:r>
      <w:r w:rsidR="00A72FB3" w:rsidRPr="00EC1C7E">
        <w:rPr>
          <w:color w:val="000000" w:themeColor="text1"/>
          <w:sz w:val="24"/>
          <w:szCs w:val="24"/>
          <w:lang w:val="en-US"/>
        </w:rPr>
        <w:t xml:space="preserve"> </w:t>
      </w:r>
      <w:r w:rsidRPr="00EC1C7E">
        <w:rPr>
          <w:color w:val="000000" w:themeColor="text1"/>
          <w:sz w:val="24"/>
          <w:szCs w:val="24"/>
          <w:lang w:val="en-US"/>
        </w:rPr>
        <w:t xml:space="preserve">above </w:t>
      </w:r>
      <w:r w:rsidRPr="00BB03B5">
        <w:rPr>
          <w:b/>
          <w:bCs/>
          <w:color w:val="000000" w:themeColor="text1"/>
          <w:sz w:val="24"/>
          <w:szCs w:val="24"/>
          <w:lang w:val="en-US"/>
        </w:rPr>
        <w:t>60</w:t>
      </w:r>
      <w:r w:rsidR="00F2277E" w:rsidRPr="00BB03B5">
        <w:rPr>
          <w:b/>
          <w:bCs/>
          <w:color w:val="000000" w:themeColor="text1"/>
          <w:sz w:val="24"/>
          <w:szCs w:val="24"/>
          <w:lang w:val="en-US"/>
        </w:rPr>
        <w:t xml:space="preserve"> </w:t>
      </w:r>
      <w:r w:rsidR="00B36F88" w:rsidRPr="00BB03B5">
        <w:rPr>
          <w:b/>
          <w:bCs/>
          <w:color w:val="000000" w:themeColor="text1"/>
          <w:sz w:val="24"/>
          <w:szCs w:val="24"/>
          <w:lang w:val="en-US"/>
        </w:rPr>
        <w:t>per cent</w:t>
      </w:r>
      <w:r w:rsidRPr="00EC1C7E">
        <w:rPr>
          <w:color w:val="000000" w:themeColor="text1"/>
          <w:sz w:val="24"/>
          <w:szCs w:val="24"/>
          <w:lang w:val="en-US"/>
        </w:rPr>
        <w:t xml:space="preserve">. </w:t>
      </w:r>
      <w:r w:rsidR="00B7591E" w:rsidRPr="00EC1C7E">
        <w:rPr>
          <w:color w:val="000000" w:themeColor="text1"/>
          <w:sz w:val="24"/>
          <w:szCs w:val="24"/>
          <w:lang w:val="en-US"/>
        </w:rPr>
        <w:t xml:space="preserve">By June the rates </w:t>
      </w:r>
      <w:r w:rsidR="00B36F88">
        <w:rPr>
          <w:color w:val="000000" w:themeColor="text1"/>
          <w:sz w:val="24"/>
          <w:szCs w:val="24"/>
          <w:lang w:val="en-US"/>
        </w:rPr>
        <w:t>for every sub-criterion ex</w:t>
      </w:r>
      <w:r w:rsidR="005C330B">
        <w:rPr>
          <w:color w:val="000000" w:themeColor="text1"/>
          <w:sz w:val="24"/>
          <w:szCs w:val="24"/>
          <w:lang w:val="en-US"/>
        </w:rPr>
        <w:t>c</w:t>
      </w:r>
      <w:r w:rsidR="00B36F88">
        <w:rPr>
          <w:color w:val="000000" w:themeColor="text1"/>
          <w:sz w:val="24"/>
          <w:szCs w:val="24"/>
          <w:lang w:val="en-US"/>
        </w:rPr>
        <w:t>e</w:t>
      </w:r>
      <w:r w:rsidR="005C330B">
        <w:rPr>
          <w:color w:val="000000" w:themeColor="text1"/>
          <w:sz w:val="24"/>
          <w:szCs w:val="24"/>
          <w:lang w:val="en-US"/>
        </w:rPr>
        <w:t>p</w:t>
      </w:r>
      <w:r w:rsidR="00B36F88">
        <w:rPr>
          <w:color w:val="000000" w:themeColor="text1"/>
          <w:sz w:val="24"/>
          <w:szCs w:val="24"/>
          <w:lang w:val="en-US"/>
        </w:rPr>
        <w:t xml:space="preserve">t H5.6 </w:t>
      </w:r>
      <w:r w:rsidR="00775954" w:rsidRPr="00EC1C7E">
        <w:rPr>
          <w:color w:val="000000" w:themeColor="text1"/>
          <w:sz w:val="24"/>
          <w:szCs w:val="24"/>
          <w:lang w:val="en-US"/>
        </w:rPr>
        <w:t>fell</w:t>
      </w:r>
      <w:r w:rsidR="00B36F88">
        <w:rPr>
          <w:color w:val="000000" w:themeColor="text1"/>
          <w:sz w:val="24"/>
          <w:szCs w:val="24"/>
          <w:lang w:val="en-US"/>
        </w:rPr>
        <w:t xml:space="preserve"> to </w:t>
      </w:r>
      <w:r w:rsidR="00B7591E" w:rsidRPr="00EC1C7E">
        <w:rPr>
          <w:color w:val="000000" w:themeColor="text1"/>
          <w:sz w:val="24"/>
          <w:szCs w:val="24"/>
          <w:lang w:val="en-US"/>
        </w:rPr>
        <w:t xml:space="preserve">below the </w:t>
      </w:r>
      <w:r w:rsidR="0046215B" w:rsidRPr="00EC1C7E">
        <w:rPr>
          <w:color w:val="000000" w:themeColor="text1"/>
          <w:sz w:val="24"/>
          <w:szCs w:val="24"/>
          <w:lang w:val="en-US"/>
        </w:rPr>
        <w:t>three-year</w:t>
      </w:r>
      <w:r w:rsidR="00B7591E" w:rsidRPr="00EC1C7E">
        <w:rPr>
          <w:color w:val="000000" w:themeColor="text1"/>
          <w:sz w:val="24"/>
          <w:szCs w:val="24"/>
          <w:lang w:val="en-US"/>
        </w:rPr>
        <w:t xml:space="preserve"> average. </w:t>
      </w:r>
    </w:p>
    <w:p w14:paraId="3722096C" w14:textId="77777777" w:rsidR="00167554" w:rsidRPr="00D30730" w:rsidRDefault="00EA1197" w:rsidP="00167554">
      <w:pPr>
        <w:pStyle w:val="ListParagraph"/>
        <w:numPr>
          <w:ilvl w:val="0"/>
          <w:numId w:val="2"/>
        </w:numPr>
        <w:rPr>
          <w:color w:val="000000" w:themeColor="text1"/>
          <w:sz w:val="24"/>
          <w:szCs w:val="24"/>
          <w:lang w:val="en-US"/>
        </w:rPr>
      </w:pPr>
      <w:r w:rsidRPr="00BB03B5">
        <w:rPr>
          <w:b/>
          <w:bCs/>
          <w:color w:val="000000" w:themeColor="text1"/>
          <w:sz w:val="24"/>
          <w:szCs w:val="24"/>
          <w:lang w:val="en-US"/>
        </w:rPr>
        <w:t>Fifty-nine per cent</w:t>
      </w:r>
      <w:r w:rsidR="00167554">
        <w:rPr>
          <w:color w:val="000000" w:themeColor="text1"/>
          <w:sz w:val="24"/>
          <w:szCs w:val="24"/>
          <w:lang w:val="en-US"/>
        </w:rPr>
        <w:t xml:space="preserve"> of scaffolding CARs issued were classed as Minor non-conformances.</w:t>
      </w:r>
    </w:p>
    <w:p w14:paraId="78C49A19" w14:textId="77777777" w:rsidR="00A1720F" w:rsidRDefault="00A1720F">
      <w:pPr>
        <w:rPr>
          <w:b/>
          <w:bCs/>
          <w:sz w:val="36"/>
          <w:szCs w:val="36"/>
          <w:lang w:val="en-US"/>
        </w:rPr>
      </w:pPr>
      <w:bookmarkStart w:id="34" w:name="_Toc81917933"/>
      <w:bookmarkStart w:id="35" w:name="_Hlk76562873"/>
      <w:r>
        <w:br w:type="page"/>
      </w:r>
    </w:p>
    <w:p w14:paraId="2FD03BF1" w14:textId="2A0E1190" w:rsidR="00C842D0" w:rsidRDefault="00C842D0" w:rsidP="009A4815">
      <w:pPr>
        <w:pStyle w:val="Heading1"/>
        <w:spacing w:after="120"/>
      </w:pPr>
      <w:r>
        <w:lastRenderedPageBreak/>
        <w:t>Scaffolding – CAR Analysis</w:t>
      </w:r>
      <w:r w:rsidR="00B36F88">
        <w:t xml:space="preserve"> and</w:t>
      </w:r>
      <w:r>
        <w:t xml:space="preserve"> Trends</w:t>
      </w:r>
      <w:bookmarkEnd w:id="34"/>
    </w:p>
    <w:p w14:paraId="62985FDF" w14:textId="77777777" w:rsidR="00765F7B" w:rsidRPr="00EC1C7E" w:rsidRDefault="00EE6A31" w:rsidP="00765F7B">
      <w:pPr>
        <w:rPr>
          <w:sz w:val="24"/>
          <w:szCs w:val="24"/>
        </w:rPr>
      </w:pPr>
      <w:r>
        <w:rPr>
          <w:sz w:val="24"/>
          <w:szCs w:val="24"/>
        </w:rPr>
        <w:t>The dataset available in relation to scaffolding CARs</w:t>
      </w:r>
      <w:r w:rsidR="007303F6">
        <w:rPr>
          <w:sz w:val="24"/>
          <w:szCs w:val="24"/>
        </w:rPr>
        <w:t xml:space="preserve"> raised</w:t>
      </w:r>
      <w:r>
        <w:rPr>
          <w:sz w:val="24"/>
          <w:szCs w:val="24"/>
        </w:rPr>
        <w:t xml:space="preserve"> is still small, so some caution is required in drawing detailed inferences from the interim Hazard 2020 results so far. However, the non-compliance rate</w:t>
      </w:r>
      <w:r w:rsidR="003E5D52">
        <w:rPr>
          <w:sz w:val="24"/>
          <w:szCs w:val="24"/>
        </w:rPr>
        <w:t>s</w:t>
      </w:r>
      <w:r>
        <w:rPr>
          <w:sz w:val="24"/>
          <w:szCs w:val="24"/>
        </w:rPr>
        <w:t xml:space="preserve"> </w:t>
      </w:r>
      <w:r w:rsidR="00B42777">
        <w:rPr>
          <w:sz w:val="24"/>
          <w:szCs w:val="24"/>
        </w:rPr>
        <w:t>for four of the five leading sub-criteria (</w:t>
      </w:r>
      <w:r w:rsidR="00062B3B">
        <w:rPr>
          <w:sz w:val="24"/>
          <w:szCs w:val="24"/>
        </w:rPr>
        <w:t>H1.4, H5.4, H5.6 and H5.7</w:t>
      </w:r>
      <w:r w:rsidR="00B42777">
        <w:rPr>
          <w:sz w:val="24"/>
          <w:szCs w:val="24"/>
        </w:rPr>
        <w:t>)</w:t>
      </w:r>
      <w:r w:rsidR="00062B3B">
        <w:rPr>
          <w:sz w:val="24"/>
          <w:szCs w:val="24"/>
        </w:rPr>
        <w:t xml:space="preserve"> are </w:t>
      </w:r>
      <w:r w:rsidR="00B42777">
        <w:rPr>
          <w:sz w:val="24"/>
          <w:szCs w:val="24"/>
        </w:rPr>
        <w:t xml:space="preserve">greater than </w:t>
      </w:r>
      <w:r w:rsidR="00062B3B">
        <w:rPr>
          <w:sz w:val="24"/>
          <w:szCs w:val="24"/>
        </w:rPr>
        <w:t xml:space="preserve">40 per cent. </w:t>
      </w:r>
      <w:r w:rsidR="00B42777">
        <w:rPr>
          <w:sz w:val="24"/>
          <w:szCs w:val="24"/>
        </w:rPr>
        <w:t>The fifth highest non-compliance rate in relation to H5.7 is greater than 30 per cent. N</w:t>
      </w:r>
      <w:r w:rsidR="00062B3B">
        <w:rPr>
          <w:sz w:val="24"/>
          <w:szCs w:val="24"/>
        </w:rPr>
        <w:t xml:space="preserve">on-compliance with these </w:t>
      </w:r>
      <w:r w:rsidR="00B42777">
        <w:rPr>
          <w:sz w:val="24"/>
          <w:szCs w:val="24"/>
        </w:rPr>
        <w:t>sub-</w:t>
      </w:r>
      <w:r w:rsidR="00062B3B">
        <w:rPr>
          <w:sz w:val="24"/>
          <w:szCs w:val="24"/>
        </w:rPr>
        <w:t xml:space="preserve">criteria is primarily a result </w:t>
      </w:r>
      <w:r w:rsidR="003E5D52">
        <w:rPr>
          <w:sz w:val="24"/>
          <w:szCs w:val="24"/>
        </w:rPr>
        <w:t xml:space="preserve">of </w:t>
      </w:r>
      <w:r w:rsidR="00062B3B">
        <w:rPr>
          <w:sz w:val="24"/>
          <w:szCs w:val="24"/>
        </w:rPr>
        <w:t xml:space="preserve">a failure to implement safe systems of work on site combined with system deficiencies. The leading causes of non-compliance for each </w:t>
      </w:r>
      <w:r w:rsidR="00D86344">
        <w:rPr>
          <w:sz w:val="24"/>
          <w:szCs w:val="24"/>
        </w:rPr>
        <w:t>sub-</w:t>
      </w:r>
      <w:r w:rsidR="00062B3B">
        <w:rPr>
          <w:sz w:val="24"/>
          <w:szCs w:val="24"/>
        </w:rPr>
        <w:t>criterion are set out below:</w:t>
      </w:r>
      <w:r w:rsidR="0086781C" w:rsidRPr="00EC1C7E">
        <w:rPr>
          <w:sz w:val="24"/>
          <w:szCs w:val="24"/>
        </w:rPr>
        <w:t xml:space="preserve"> </w:t>
      </w:r>
    </w:p>
    <w:p w14:paraId="0AA2C741" w14:textId="77777777" w:rsidR="00EE41F9" w:rsidRPr="00EE41F9" w:rsidRDefault="00EE41F9" w:rsidP="00EE41F9">
      <w:pPr>
        <w:ind w:left="360"/>
        <w:rPr>
          <w:sz w:val="24"/>
          <w:szCs w:val="24"/>
        </w:rPr>
      </w:pPr>
    </w:p>
    <w:p w14:paraId="21C2C8E7" w14:textId="77777777" w:rsidR="00070FF5" w:rsidRPr="00070FF5" w:rsidRDefault="00070FF5" w:rsidP="00070FF5">
      <w:pPr>
        <w:pStyle w:val="ListParagraph"/>
        <w:rPr>
          <w:sz w:val="4"/>
          <w:szCs w:val="24"/>
        </w:rPr>
      </w:pPr>
    </w:p>
    <w:p w14:paraId="48A219EA" w14:textId="77777777" w:rsidR="00765F7B" w:rsidRPr="00EC1C7E" w:rsidRDefault="0086781C" w:rsidP="00765F7B">
      <w:pPr>
        <w:pStyle w:val="ListParagraph"/>
        <w:numPr>
          <w:ilvl w:val="0"/>
          <w:numId w:val="9"/>
        </w:numPr>
        <w:rPr>
          <w:sz w:val="24"/>
          <w:szCs w:val="24"/>
        </w:rPr>
      </w:pPr>
      <w:r w:rsidRPr="00EC1C7E">
        <w:rPr>
          <w:b/>
          <w:sz w:val="24"/>
          <w:szCs w:val="24"/>
        </w:rPr>
        <w:t>H5.6</w:t>
      </w:r>
      <w:r w:rsidRPr="00EC1C7E">
        <w:rPr>
          <w:sz w:val="24"/>
          <w:szCs w:val="24"/>
        </w:rPr>
        <w:t>, is most commonly failed by companies due to</w:t>
      </w:r>
      <w:r w:rsidR="007303F6">
        <w:rPr>
          <w:sz w:val="24"/>
          <w:szCs w:val="24"/>
        </w:rPr>
        <w:t xml:space="preserve"> WHS</w:t>
      </w:r>
      <w:r w:rsidRPr="00EC1C7E">
        <w:rPr>
          <w:sz w:val="24"/>
          <w:szCs w:val="24"/>
        </w:rPr>
        <w:t xml:space="preserve"> </w:t>
      </w:r>
      <w:r w:rsidR="00D95C0C">
        <w:rPr>
          <w:sz w:val="24"/>
          <w:szCs w:val="24"/>
        </w:rPr>
        <w:t>systems not defining the competencies required by a person undertaking pre-use inspections</w:t>
      </w:r>
      <w:r w:rsidR="007303F6">
        <w:rPr>
          <w:sz w:val="24"/>
          <w:szCs w:val="24"/>
        </w:rPr>
        <w:t>,</w:t>
      </w:r>
      <w:r w:rsidR="00D95C0C">
        <w:rPr>
          <w:sz w:val="24"/>
          <w:szCs w:val="24"/>
        </w:rPr>
        <w:t xml:space="preserve"> and the associated failure to ensure the person performing the inspections onsite holds these competencies. </w:t>
      </w:r>
    </w:p>
    <w:p w14:paraId="0DC8F13D" w14:textId="77777777" w:rsidR="00FC4899" w:rsidRPr="00FC4899" w:rsidRDefault="00FC4899" w:rsidP="003B6523">
      <w:pPr>
        <w:pStyle w:val="ListParagraph"/>
        <w:numPr>
          <w:ilvl w:val="0"/>
          <w:numId w:val="9"/>
        </w:numPr>
        <w:rPr>
          <w:b/>
          <w:sz w:val="24"/>
          <w:szCs w:val="24"/>
        </w:rPr>
      </w:pPr>
      <w:r w:rsidRPr="00FC4899">
        <w:rPr>
          <w:b/>
          <w:sz w:val="24"/>
          <w:szCs w:val="24"/>
        </w:rPr>
        <w:t>H5.4</w:t>
      </w:r>
      <w:r>
        <w:rPr>
          <w:bCs/>
          <w:sz w:val="24"/>
          <w:szCs w:val="24"/>
        </w:rPr>
        <w:t xml:space="preserve"> </w:t>
      </w:r>
      <w:r w:rsidRPr="00FC4899">
        <w:rPr>
          <w:sz w:val="24"/>
          <w:szCs w:val="24"/>
        </w:rPr>
        <w:t xml:space="preserve">is most frequently </w:t>
      </w:r>
      <w:r w:rsidR="00D95C0C">
        <w:rPr>
          <w:sz w:val="24"/>
          <w:szCs w:val="24"/>
        </w:rPr>
        <w:t>failed</w:t>
      </w:r>
      <w:r w:rsidR="00D95C0C" w:rsidRPr="00FC4899">
        <w:rPr>
          <w:sz w:val="24"/>
          <w:szCs w:val="24"/>
        </w:rPr>
        <w:t xml:space="preserve"> </w:t>
      </w:r>
      <w:r w:rsidRPr="00FC4899">
        <w:rPr>
          <w:sz w:val="24"/>
          <w:szCs w:val="24"/>
        </w:rPr>
        <w:t>due to the process not ensuring changes to design and changes to scaffold are approved by a qualified person.</w:t>
      </w:r>
    </w:p>
    <w:p w14:paraId="70DB72B8" w14:textId="77777777" w:rsidR="00EE41F9" w:rsidRPr="00EE41F9" w:rsidRDefault="00EE41F9" w:rsidP="00EE41F9">
      <w:pPr>
        <w:pStyle w:val="ListParagraph"/>
        <w:numPr>
          <w:ilvl w:val="0"/>
          <w:numId w:val="9"/>
        </w:numPr>
        <w:rPr>
          <w:b/>
          <w:bCs/>
          <w:color w:val="000000" w:themeColor="text1"/>
          <w:sz w:val="24"/>
          <w:szCs w:val="24"/>
        </w:rPr>
      </w:pPr>
      <w:r>
        <w:rPr>
          <w:b/>
          <w:bCs/>
          <w:sz w:val="24"/>
          <w:szCs w:val="24"/>
        </w:rPr>
        <w:t>H1.4</w:t>
      </w:r>
      <w:r>
        <w:rPr>
          <w:sz w:val="24"/>
          <w:szCs w:val="24"/>
        </w:rPr>
        <w:t xml:space="preserve"> is most frequently </w:t>
      </w:r>
      <w:r w:rsidR="009A4829">
        <w:rPr>
          <w:sz w:val="24"/>
          <w:szCs w:val="24"/>
        </w:rPr>
        <w:t xml:space="preserve">failed </w:t>
      </w:r>
      <w:r>
        <w:rPr>
          <w:sz w:val="24"/>
          <w:szCs w:val="24"/>
        </w:rPr>
        <w:t xml:space="preserve">due to the system not defining what makes a person qualified to </w:t>
      </w:r>
      <w:r w:rsidRPr="00EE41F9">
        <w:rPr>
          <w:color w:val="000000" w:themeColor="text1"/>
          <w:sz w:val="24"/>
          <w:szCs w:val="24"/>
        </w:rPr>
        <w:t>install or design a safe system of work, or a competent person to check working at height equipment.</w:t>
      </w:r>
    </w:p>
    <w:p w14:paraId="2DCCFA93" w14:textId="77777777" w:rsidR="00FC4899" w:rsidRDefault="00FC4899" w:rsidP="00FC4899">
      <w:pPr>
        <w:pStyle w:val="ListParagraph"/>
        <w:numPr>
          <w:ilvl w:val="0"/>
          <w:numId w:val="9"/>
        </w:numPr>
        <w:rPr>
          <w:b/>
          <w:sz w:val="24"/>
          <w:szCs w:val="24"/>
        </w:rPr>
      </w:pPr>
      <w:r w:rsidRPr="00FC4899">
        <w:rPr>
          <w:b/>
          <w:sz w:val="24"/>
          <w:szCs w:val="24"/>
        </w:rPr>
        <w:t>H5.7</w:t>
      </w:r>
      <w:r>
        <w:rPr>
          <w:bCs/>
          <w:sz w:val="24"/>
          <w:szCs w:val="24"/>
        </w:rPr>
        <w:t xml:space="preserve"> is most frequently </w:t>
      </w:r>
      <w:r w:rsidR="00D95C0C">
        <w:rPr>
          <w:bCs/>
          <w:sz w:val="24"/>
          <w:szCs w:val="24"/>
        </w:rPr>
        <w:t xml:space="preserve">failed </w:t>
      </w:r>
      <w:r>
        <w:rPr>
          <w:bCs/>
          <w:sz w:val="24"/>
          <w:szCs w:val="24"/>
        </w:rPr>
        <w:t xml:space="preserve">due to </w:t>
      </w:r>
      <w:r w:rsidR="00D95C0C">
        <w:rPr>
          <w:bCs/>
          <w:sz w:val="24"/>
          <w:szCs w:val="24"/>
        </w:rPr>
        <w:t xml:space="preserve">a failure to undertake </w:t>
      </w:r>
      <w:r w:rsidR="007303F6">
        <w:rPr>
          <w:bCs/>
          <w:sz w:val="24"/>
          <w:szCs w:val="24"/>
        </w:rPr>
        <w:t xml:space="preserve">the </w:t>
      </w:r>
      <w:r>
        <w:rPr>
          <w:bCs/>
          <w:sz w:val="24"/>
          <w:szCs w:val="24"/>
        </w:rPr>
        <w:t>requir</w:t>
      </w:r>
      <w:r w:rsidR="00D95C0C">
        <w:rPr>
          <w:bCs/>
          <w:sz w:val="24"/>
          <w:szCs w:val="24"/>
        </w:rPr>
        <w:t>ed</w:t>
      </w:r>
      <w:r>
        <w:rPr>
          <w:bCs/>
          <w:sz w:val="24"/>
          <w:szCs w:val="24"/>
        </w:rPr>
        <w:t xml:space="preserve"> inspection after extreme weather events, the system not requiring regular inspections, or the system only addressing scaffolding and no other temporary structures.</w:t>
      </w:r>
    </w:p>
    <w:p w14:paraId="2BB5AB73" w14:textId="77777777" w:rsidR="00FC4899" w:rsidRPr="00FC4899" w:rsidRDefault="00FC4899" w:rsidP="00FC4899">
      <w:pPr>
        <w:pStyle w:val="ListParagraph"/>
        <w:numPr>
          <w:ilvl w:val="0"/>
          <w:numId w:val="9"/>
        </w:numPr>
        <w:rPr>
          <w:b/>
          <w:sz w:val="24"/>
          <w:szCs w:val="24"/>
        </w:rPr>
      </w:pPr>
      <w:r w:rsidRPr="00FC4899">
        <w:rPr>
          <w:b/>
          <w:sz w:val="24"/>
          <w:szCs w:val="24"/>
        </w:rPr>
        <w:t>H5.2</w:t>
      </w:r>
      <w:r>
        <w:rPr>
          <w:bCs/>
          <w:sz w:val="24"/>
          <w:szCs w:val="24"/>
        </w:rPr>
        <w:t xml:space="preserve"> is most frequently </w:t>
      </w:r>
      <w:r w:rsidR="009A4829">
        <w:rPr>
          <w:bCs/>
          <w:sz w:val="24"/>
          <w:szCs w:val="24"/>
        </w:rPr>
        <w:t xml:space="preserve">failed </w:t>
      </w:r>
      <w:r w:rsidR="00003AD5">
        <w:rPr>
          <w:bCs/>
          <w:sz w:val="24"/>
          <w:szCs w:val="24"/>
        </w:rPr>
        <w:t>when the system only covers some aspects of the criteria, and when the scaffold has not followed the plan.</w:t>
      </w:r>
    </w:p>
    <w:bookmarkEnd w:id="35"/>
    <w:p w14:paraId="737F30A4" w14:textId="494376CC" w:rsidR="00C842D0" w:rsidRPr="00765F7B" w:rsidRDefault="00FF3BF8" w:rsidP="00B927BB">
      <w:pPr>
        <w:rPr>
          <w:b/>
          <w:bCs/>
          <w:lang w:val="en-US"/>
        </w:rPr>
      </w:pPr>
      <w:r>
        <w:rPr>
          <w:noProof/>
          <w:lang w:eastAsia="en-AU"/>
        </w:rPr>
        <mc:AlternateContent>
          <mc:Choice Requires="wpg">
            <w:drawing>
              <wp:anchor distT="0" distB="0" distL="114300" distR="114300" simplePos="0" relativeHeight="251690496" behindDoc="0" locked="0" layoutInCell="1" allowOverlap="1" wp14:anchorId="7271A3C0" wp14:editId="4D1D7827">
                <wp:simplePos x="0" y="0"/>
                <wp:positionH relativeFrom="column">
                  <wp:posOffset>142875</wp:posOffset>
                </wp:positionH>
                <wp:positionV relativeFrom="paragraph">
                  <wp:posOffset>160020</wp:posOffset>
                </wp:positionV>
                <wp:extent cx="9667875" cy="2962275"/>
                <wp:effectExtent l="0" t="0" r="0" b="0"/>
                <wp:wrapNone/>
                <wp:docPr id="39" name="Group 39"/>
                <wp:cNvGraphicFramePr/>
                <a:graphic xmlns:a="http://schemas.openxmlformats.org/drawingml/2006/main">
                  <a:graphicData uri="http://schemas.microsoft.com/office/word/2010/wordprocessingGroup">
                    <wpg:wgp>
                      <wpg:cNvGrpSpPr/>
                      <wpg:grpSpPr>
                        <a:xfrm>
                          <a:off x="0" y="0"/>
                          <a:ext cx="9667875" cy="2962275"/>
                          <a:chOff x="0" y="3619"/>
                          <a:chExt cx="9667875" cy="2615756"/>
                        </a:xfrm>
                      </wpg:grpSpPr>
                      <wpg:graphicFrame>
                        <wpg:cNvPr id="26" name="Chart 26">
                          <a:extLst>
                            <a:ext uri="{FF2B5EF4-FFF2-40B4-BE49-F238E27FC236}">
                              <a16:creationId xmlns:a16="http://schemas.microsoft.com/office/drawing/2014/main" id="{DFE3A2C3-8F57-4D07-86A2-202685D2CBBF}"/>
                            </a:ext>
                          </a:extLst>
                        </wpg:cNvPr>
                        <wpg:cNvFrPr/>
                        <wpg:xfrm>
                          <a:off x="295275" y="180975"/>
                          <a:ext cx="1933575" cy="2438400"/>
                        </wpg:xfrm>
                        <a:graphic>
                          <a:graphicData uri="http://schemas.openxmlformats.org/drawingml/2006/chart">
                            <c:chart xmlns:c="http://schemas.openxmlformats.org/drawingml/2006/chart" xmlns:r="http://schemas.openxmlformats.org/officeDocument/2006/relationships" r:id="rId49"/>
                          </a:graphicData>
                        </a:graphic>
                      </wpg:graphicFrame>
                      <wpg:graphicFrame>
                        <wpg:cNvPr id="31" name="Chart 31">
                          <a:extLst>
                            <a:ext uri="{FF2B5EF4-FFF2-40B4-BE49-F238E27FC236}">
                              <a16:creationId xmlns:a16="http://schemas.microsoft.com/office/drawing/2014/main" id="{320DCA25-DF15-487F-AB16-5D00AE6A66A7}"/>
                            </a:ext>
                          </a:extLst>
                        </wpg:cNvPr>
                        <wpg:cNvFrPr/>
                        <wpg:xfrm>
                          <a:off x="2124075" y="180975"/>
                          <a:ext cx="1981200" cy="2438400"/>
                        </wpg:xfrm>
                        <a:graphic>
                          <a:graphicData uri="http://schemas.openxmlformats.org/drawingml/2006/chart">
                            <c:chart xmlns:c="http://schemas.openxmlformats.org/drawingml/2006/chart" xmlns:r="http://schemas.openxmlformats.org/officeDocument/2006/relationships" r:id="rId50"/>
                          </a:graphicData>
                        </a:graphic>
                      </wpg:graphicFrame>
                      <wpg:graphicFrame>
                        <wpg:cNvPr id="33" name="Chart 33">
                          <a:extLst>
                            <a:ext uri="{FF2B5EF4-FFF2-40B4-BE49-F238E27FC236}">
                              <a16:creationId xmlns:a16="http://schemas.microsoft.com/office/drawing/2014/main" id="{E108724D-BFE1-4FB4-AC8B-F4C7C85DEB3B}"/>
                            </a:ext>
                          </a:extLst>
                        </wpg:cNvPr>
                        <wpg:cNvFrPr/>
                        <wpg:xfrm>
                          <a:off x="4029075" y="180975"/>
                          <a:ext cx="2000250" cy="2438400"/>
                        </wpg:xfrm>
                        <a:graphic>
                          <a:graphicData uri="http://schemas.openxmlformats.org/drawingml/2006/chart">
                            <c:chart xmlns:c="http://schemas.openxmlformats.org/drawingml/2006/chart" xmlns:r="http://schemas.openxmlformats.org/officeDocument/2006/relationships" r:id="rId51"/>
                          </a:graphicData>
                        </a:graphic>
                      </wpg:graphicFrame>
                      <wpg:graphicFrame>
                        <wpg:cNvPr id="32" name="Chart 32">
                          <a:extLst>
                            <a:ext uri="{FF2B5EF4-FFF2-40B4-BE49-F238E27FC236}">
                              <a16:creationId xmlns:a16="http://schemas.microsoft.com/office/drawing/2014/main" id="{DC1E34B8-FFE7-4820-B02A-9E3CC633351E}"/>
                            </a:ext>
                          </a:extLst>
                        </wpg:cNvPr>
                        <wpg:cNvFrPr/>
                        <wpg:xfrm>
                          <a:off x="5915025" y="180975"/>
                          <a:ext cx="1933575" cy="2438400"/>
                        </wpg:xfrm>
                        <a:graphic>
                          <a:graphicData uri="http://schemas.openxmlformats.org/drawingml/2006/chart">
                            <c:chart xmlns:c="http://schemas.openxmlformats.org/drawingml/2006/chart" xmlns:r="http://schemas.openxmlformats.org/officeDocument/2006/relationships" r:id="rId52"/>
                          </a:graphicData>
                        </a:graphic>
                      </wpg:graphicFrame>
                      <wpg:graphicFrame>
                        <wpg:cNvPr id="34" name="Chart 34">
                          <a:extLst>
                            <a:ext uri="{FF2B5EF4-FFF2-40B4-BE49-F238E27FC236}">
                              <a16:creationId xmlns:a16="http://schemas.microsoft.com/office/drawing/2014/main" id="{C4EEE53E-6FEB-4A79-9065-A64D15ECA14F}"/>
                            </a:ext>
                          </a:extLst>
                        </wpg:cNvPr>
                        <wpg:cNvFrPr/>
                        <wpg:xfrm>
                          <a:off x="7715250" y="180975"/>
                          <a:ext cx="1952625" cy="2438400"/>
                        </wpg:xfrm>
                        <a:graphic>
                          <a:graphicData uri="http://schemas.openxmlformats.org/drawingml/2006/chart">
                            <c:chart xmlns:c="http://schemas.openxmlformats.org/drawingml/2006/chart" xmlns:r="http://schemas.openxmlformats.org/officeDocument/2006/relationships" r:id="rId53"/>
                          </a:graphicData>
                        </a:graphic>
                      </wpg:graphicFrame>
                      <wps:wsp>
                        <wps:cNvPr id="36" name="Text Box 36"/>
                        <wps:cNvSpPr txBox="1"/>
                        <wps:spPr>
                          <a:xfrm>
                            <a:off x="2124075" y="3619"/>
                            <a:ext cx="6012535" cy="769603"/>
                          </a:xfrm>
                          <a:prstGeom prst="rect">
                            <a:avLst/>
                          </a:prstGeom>
                          <a:noFill/>
                          <a:ln w="6350">
                            <a:noFill/>
                          </a:ln>
                        </wps:spPr>
                        <wps:txbx>
                          <w:txbxContent>
                            <w:p w14:paraId="7054B94D" w14:textId="77777777" w:rsidR="00762C79" w:rsidRPr="00EC495D" w:rsidRDefault="00762C79" w:rsidP="00767A18">
                              <w:pPr>
                                <w:rPr>
                                  <w:b/>
                                  <w:bCs/>
                                  <w:sz w:val="28"/>
                                  <w:szCs w:val="28"/>
                                </w:rPr>
                              </w:pPr>
                              <w:r>
                                <w:rPr>
                                  <w:b/>
                                  <w:bCs/>
                                  <w:sz w:val="28"/>
                                  <w:szCs w:val="28"/>
                                </w:rPr>
                                <w:t>Most Frequently failed Scaffolding Sub-criteria – Major v Minor by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561975"/>
                            <a:ext cx="431165" cy="1844675"/>
                          </a:xfrm>
                          <a:prstGeom prst="rect">
                            <a:avLst/>
                          </a:prstGeom>
                        </pic:spPr>
                      </pic:pic>
                    </wpg:wgp>
                  </a:graphicData>
                </a:graphic>
                <wp14:sizeRelV relativeFrom="margin">
                  <wp14:pctHeight>0</wp14:pctHeight>
                </wp14:sizeRelV>
              </wp:anchor>
            </w:drawing>
          </mc:Choice>
          <mc:Fallback>
            <w:pict>
              <v:group w14:anchorId="7271A3C0" id="Group 39" o:spid="_x0000_s1040" style="position:absolute;margin-left:11.25pt;margin-top:12.6pt;width:761.25pt;height:233.25pt;z-index:251690496;mso-height-relative:margin" coordorigin=",36" coordsize="96678,26157" o:gfxdata="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&#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6" o:spid="_x0000_s1041" type="#_x0000_t75" style="position:absolute;left:4206;top:3104;width:16825;height:22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">
                  <v:imagedata r:id="rId54" o:title=""/>
                  <o:lock v:ext="edit" aspectratio="f"/>
                </v:shape>
                <v:shape id="Chart 31" o:spid="_x0000_s1042" type="#_x0000_t75" style="position:absolute;left:22494;top:3104;width:17434;height:22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">
                  <v:imagedata r:id="rId55" o:title=""/>
                  <o:lock v:ext="edit" aspectratio="f"/>
                </v:shape>
                <v:shape id="Chart 33" o:spid="_x0000_s1043" type="#_x0000_t75" style="position:absolute;left:41574;top:3104;width:17496;height:22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">
                  <v:imagedata r:id="rId56" o:title=""/>
                  <o:lock v:ext="edit" aspectratio="f"/>
                </v:shape>
                <v:shape id="Chart 32" o:spid="_x0000_s1044" type="#_x0000_t75" style="position:absolute;left:60411;top:3104;width:16886;height:22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">
                  <v:imagedata r:id="rId57" o:title=""/>
                  <o:lock v:ext="edit" aspectratio="f"/>
                </v:shape>
                <v:shape id="Chart 34" o:spid="_x0000_s1045" type="#_x0000_t75" style="position:absolute;left:78455;top:3104;width:17069;height:22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">
                  <v:imagedata r:id="rId58" o:title=""/>
                  <o:lock v:ext="edit" aspectratio="f"/>
                </v:shape>
                <v:shape id="Text Box 36" o:spid="_x0000_s1046" type="#_x0000_t202" style="position:absolute;left:21240;top:36;width:60126;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7054B94D" w14:textId="77777777" w:rsidR="00762C79" w:rsidRPr="00EC495D" w:rsidRDefault="00762C79" w:rsidP="00767A18">
                        <w:pPr>
                          <w:rPr>
                            <w:b/>
                            <w:bCs/>
                            <w:sz w:val="28"/>
                            <w:szCs w:val="28"/>
                          </w:rPr>
                        </w:pPr>
                        <w:r>
                          <w:rPr>
                            <w:b/>
                            <w:bCs/>
                            <w:sz w:val="28"/>
                            <w:szCs w:val="28"/>
                          </w:rPr>
                          <w:t>Most Frequently failed Scaffolding Sub-criteria – Major v Minor by Year</w:t>
                        </w:r>
                      </w:p>
                    </w:txbxContent>
                  </v:textbox>
                </v:shape>
                <v:shape id="Picture 37" o:spid="_x0000_s1047" type="#_x0000_t75" style="position:absolute;top:5619;width:4311;height:18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">
                  <v:imagedata r:id="rId59" o:title=""/>
                </v:shape>
              </v:group>
            </w:pict>
          </mc:Fallback>
        </mc:AlternateContent>
      </w:r>
      <w:r w:rsidR="00EA0379">
        <w:rPr>
          <w:noProof/>
          <w:lang w:eastAsia="en-AU"/>
        </w:rPr>
        <w:drawing>
          <wp:anchor distT="0" distB="0" distL="114300" distR="114300" simplePos="0" relativeHeight="251724288" behindDoc="0" locked="0" layoutInCell="1" allowOverlap="1" wp14:anchorId="4E14D0A7" wp14:editId="181C5E6C">
            <wp:simplePos x="0" y="0"/>
            <wp:positionH relativeFrom="column">
              <wp:posOffset>4168140</wp:posOffset>
            </wp:positionH>
            <wp:positionV relativeFrom="paragraph">
              <wp:posOffset>3070225</wp:posOffset>
            </wp:positionV>
            <wp:extent cx="1450975" cy="2946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50975" cy="294640"/>
                    </a:xfrm>
                    <a:prstGeom prst="rect">
                      <a:avLst/>
                    </a:prstGeom>
                    <a:noFill/>
                    <a:ln>
                      <a:noFill/>
                    </a:ln>
                  </pic:spPr>
                </pic:pic>
              </a:graphicData>
            </a:graphic>
          </wp:anchor>
        </w:drawing>
      </w:r>
      <w:r w:rsidR="00C842D0" w:rsidRPr="00765F7B">
        <w:br w:type="page"/>
      </w:r>
    </w:p>
    <w:p w14:paraId="717A09EC" w14:textId="77777777" w:rsidR="00EB54EE" w:rsidRDefault="00CD0D3D" w:rsidP="00664E1D">
      <w:pPr>
        <w:pStyle w:val="Heading1"/>
      </w:pPr>
      <w:bookmarkStart w:id="36" w:name="_Toc81917934"/>
      <w:r>
        <w:rPr>
          <w:bCs w:val="0"/>
          <w:noProof/>
          <w:sz w:val="24"/>
          <w:szCs w:val="24"/>
          <w:lang w:val="en-AU" w:eastAsia="en-AU"/>
        </w:rPr>
        <w:lastRenderedPageBreak/>
        <mc:AlternateContent>
          <mc:Choice Requires="wps">
            <w:drawing>
              <wp:anchor distT="0" distB="0" distL="114300" distR="114300" simplePos="0" relativeHeight="251698688" behindDoc="1" locked="0" layoutInCell="1" allowOverlap="1" wp14:anchorId="08576365" wp14:editId="1B8CE047">
                <wp:simplePos x="0" y="0"/>
                <wp:positionH relativeFrom="column">
                  <wp:posOffset>-291465</wp:posOffset>
                </wp:positionH>
                <wp:positionV relativeFrom="paragraph">
                  <wp:posOffset>373702</wp:posOffset>
                </wp:positionV>
                <wp:extent cx="5339715" cy="1341755"/>
                <wp:effectExtent l="0" t="0" r="0" b="0"/>
                <wp:wrapTight wrapText="bothSides">
                  <wp:wrapPolygon edited="0">
                    <wp:start x="231" y="0"/>
                    <wp:lineTo x="231" y="21160"/>
                    <wp:lineTo x="21346" y="21160"/>
                    <wp:lineTo x="21346" y="0"/>
                    <wp:lineTo x="231" y="0"/>
                  </wp:wrapPolygon>
                </wp:wrapTight>
                <wp:docPr id="45" name="Text Box 45"/>
                <wp:cNvGraphicFramePr/>
                <a:graphic xmlns:a="http://schemas.openxmlformats.org/drawingml/2006/main">
                  <a:graphicData uri="http://schemas.microsoft.com/office/word/2010/wordprocessingShape">
                    <wps:wsp>
                      <wps:cNvSpPr txBox="1"/>
                      <wps:spPr>
                        <a:xfrm>
                          <a:off x="0" y="0"/>
                          <a:ext cx="5339715" cy="1341755"/>
                        </a:xfrm>
                        <a:prstGeom prst="rect">
                          <a:avLst/>
                        </a:prstGeom>
                        <a:noFill/>
                        <a:ln w="6350">
                          <a:noFill/>
                        </a:ln>
                      </wps:spPr>
                      <wps:txbx>
                        <w:txbxContent>
                          <w:p w14:paraId="5BB3E89E" w14:textId="77777777" w:rsidR="00762C79" w:rsidRPr="009D224D" w:rsidRDefault="00762C79" w:rsidP="00BF4F0D">
                            <w:pPr>
                              <w:pStyle w:val="ListParagraph"/>
                              <w:numPr>
                                <w:ilvl w:val="0"/>
                                <w:numId w:val="1"/>
                              </w:numPr>
                              <w:rPr>
                                <w:sz w:val="24"/>
                                <w:szCs w:val="24"/>
                                <w:lang w:val="en-US"/>
                              </w:rPr>
                            </w:pPr>
                            <w:r w:rsidRPr="009D224D">
                              <w:rPr>
                                <w:bCs/>
                                <w:sz w:val="24"/>
                                <w:szCs w:val="24"/>
                                <w:lang w:val="en-US"/>
                              </w:rPr>
                              <w:t xml:space="preserve">Of the </w:t>
                            </w:r>
                            <w:r w:rsidRPr="009D224D">
                              <w:rPr>
                                <w:b/>
                                <w:bCs/>
                                <w:sz w:val="24"/>
                                <w:szCs w:val="24"/>
                                <w:lang w:val="en-US"/>
                              </w:rPr>
                              <w:t>1</w:t>
                            </w:r>
                            <w:r>
                              <w:rPr>
                                <w:b/>
                                <w:bCs/>
                                <w:sz w:val="24"/>
                                <w:szCs w:val="24"/>
                                <w:lang w:val="en-US"/>
                              </w:rPr>
                              <w:t>9</w:t>
                            </w:r>
                            <w:r w:rsidRPr="009D224D">
                              <w:rPr>
                                <w:sz w:val="24"/>
                                <w:szCs w:val="24"/>
                                <w:lang w:val="en-US"/>
                              </w:rPr>
                              <w:t xml:space="preserve"> scaffolding incidents reported, </w:t>
                            </w:r>
                            <w:r w:rsidRPr="009D224D">
                              <w:rPr>
                                <w:b/>
                                <w:sz w:val="24"/>
                                <w:szCs w:val="24"/>
                                <w:lang w:val="en-US"/>
                              </w:rPr>
                              <w:t>6</w:t>
                            </w:r>
                            <w:r>
                              <w:rPr>
                                <w:b/>
                                <w:sz w:val="24"/>
                                <w:szCs w:val="24"/>
                                <w:lang w:val="en-US"/>
                              </w:rPr>
                              <w:t>8 per cent</w:t>
                            </w:r>
                            <w:r w:rsidRPr="009D224D">
                              <w:rPr>
                                <w:sz w:val="24"/>
                                <w:szCs w:val="24"/>
                                <w:lang w:val="en-US"/>
                              </w:rPr>
                              <w:t xml:space="preserve"> were classified as Not Severe</w:t>
                            </w:r>
                            <w:r>
                              <w:rPr>
                                <w:sz w:val="24"/>
                                <w:szCs w:val="24"/>
                                <w:lang w:val="en-US"/>
                              </w:rPr>
                              <w:t xml:space="preserve"> and</w:t>
                            </w:r>
                            <w:r w:rsidRPr="009D224D">
                              <w:rPr>
                                <w:sz w:val="24"/>
                                <w:szCs w:val="24"/>
                                <w:lang w:val="en-US"/>
                              </w:rPr>
                              <w:t xml:space="preserve"> </w:t>
                            </w:r>
                            <w:r>
                              <w:rPr>
                                <w:b/>
                                <w:sz w:val="24"/>
                                <w:szCs w:val="24"/>
                                <w:lang w:val="en-US"/>
                              </w:rPr>
                              <w:t>16 per cent</w:t>
                            </w:r>
                            <w:r w:rsidRPr="009D224D">
                              <w:rPr>
                                <w:sz w:val="24"/>
                                <w:szCs w:val="24"/>
                                <w:lang w:val="en-US"/>
                              </w:rPr>
                              <w:t xml:space="preserve"> were classified as Severe.</w:t>
                            </w:r>
                          </w:p>
                          <w:p w14:paraId="1FEFCC8B" w14:textId="77777777" w:rsidR="00762C79" w:rsidRPr="009D224D" w:rsidRDefault="00762C79" w:rsidP="00BF4F0D">
                            <w:pPr>
                              <w:pStyle w:val="ListParagraph"/>
                              <w:numPr>
                                <w:ilvl w:val="0"/>
                                <w:numId w:val="1"/>
                              </w:numPr>
                              <w:rPr>
                                <w:sz w:val="24"/>
                                <w:szCs w:val="24"/>
                                <w:lang w:val="en-US"/>
                              </w:rPr>
                            </w:pPr>
                            <w:r w:rsidRPr="009D224D">
                              <w:rPr>
                                <w:bCs/>
                                <w:sz w:val="24"/>
                                <w:szCs w:val="24"/>
                                <w:lang w:val="en-US"/>
                              </w:rPr>
                              <w:t xml:space="preserve">The largest number of scaffolding incidents classed as Not Severe were </w:t>
                            </w:r>
                            <w:r>
                              <w:rPr>
                                <w:bCs/>
                                <w:sz w:val="24"/>
                                <w:szCs w:val="24"/>
                                <w:lang w:val="en-US"/>
                              </w:rPr>
                              <w:t>L</w:t>
                            </w:r>
                            <w:r w:rsidRPr="009D224D">
                              <w:rPr>
                                <w:bCs/>
                                <w:sz w:val="24"/>
                                <w:szCs w:val="24"/>
                                <w:lang w:val="en-US"/>
                              </w:rPr>
                              <w:t xml:space="preserve">TIs </w:t>
                            </w:r>
                            <w:r w:rsidRPr="0064741B">
                              <w:rPr>
                                <w:b/>
                                <w:sz w:val="24"/>
                                <w:szCs w:val="24"/>
                                <w:lang w:val="en-US"/>
                              </w:rPr>
                              <w:t>(7</w:t>
                            </w:r>
                            <w:r w:rsidRPr="009D224D">
                              <w:rPr>
                                <w:b/>
                                <w:bCs/>
                                <w:sz w:val="24"/>
                                <w:szCs w:val="24"/>
                                <w:lang w:val="en-US"/>
                              </w:rPr>
                              <w:t>)</w:t>
                            </w:r>
                            <w:r w:rsidRPr="009D224D">
                              <w:rPr>
                                <w:bCs/>
                                <w:sz w:val="24"/>
                                <w:szCs w:val="24"/>
                                <w:lang w:val="en-US"/>
                              </w:rPr>
                              <w:t xml:space="preserve">, then </w:t>
                            </w:r>
                            <w:r>
                              <w:rPr>
                                <w:bCs/>
                                <w:sz w:val="24"/>
                                <w:szCs w:val="24"/>
                                <w:lang w:val="en-US"/>
                              </w:rPr>
                              <w:t>M</w:t>
                            </w:r>
                            <w:r w:rsidRPr="009D224D">
                              <w:rPr>
                                <w:bCs/>
                                <w:sz w:val="24"/>
                                <w:szCs w:val="24"/>
                                <w:lang w:val="en-US"/>
                              </w:rPr>
                              <w:t xml:space="preserve">TIs </w:t>
                            </w:r>
                            <w:r w:rsidRPr="0064741B">
                              <w:rPr>
                                <w:b/>
                                <w:sz w:val="24"/>
                                <w:szCs w:val="24"/>
                                <w:lang w:val="en-US"/>
                              </w:rPr>
                              <w:t>(6)</w:t>
                            </w:r>
                            <w:r w:rsidRPr="009D224D">
                              <w:rPr>
                                <w:bCs/>
                                <w:sz w:val="24"/>
                                <w:szCs w:val="24"/>
                                <w:lang w:val="en-US"/>
                              </w:rPr>
                              <w:t>.</w:t>
                            </w:r>
                          </w:p>
                          <w:p w14:paraId="4D86AD7D" w14:textId="77777777" w:rsidR="00762C79" w:rsidRPr="00BF4F0D" w:rsidRDefault="00762C79" w:rsidP="00BF4F0D">
                            <w:pPr>
                              <w:pStyle w:val="ListParagraph"/>
                              <w:numPr>
                                <w:ilvl w:val="0"/>
                                <w:numId w:val="1"/>
                              </w:numPr>
                              <w:rPr>
                                <w:sz w:val="24"/>
                                <w:szCs w:val="24"/>
                                <w:lang w:val="en-US"/>
                              </w:rPr>
                            </w:pPr>
                            <w:r>
                              <w:rPr>
                                <w:b/>
                                <w:sz w:val="24"/>
                                <w:szCs w:val="24"/>
                                <w:lang w:val="en-US"/>
                              </w:rPr>
                              <w:t>5 of the 19 reported incidents were severe or placed a worker’s life at risk – meaning 26 per cent were in this highest risk category.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76365" id="Text Box 45" o:spid="_x0000_s1048" type="#_x0000_t202" style="position:absolute;margin-left:-22.95pt;margin-top:29.45pt;width:420.45pt;height:105.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" filled="f" stroked="f" strokeweight=".5pt">
                <v:textbox>
                  <w:txbxContent>
                    <w:p w14:paraId="5BB3E89E" w14:textId="77777777" w:rsidR="00762C79" w:rsidRPr="009D224D" w:rsidRDefault="00762C79" w:rsidP="00BF4F0D">
                      <w:pPr>
                        <w:pStyle w:val="ListParagraph"/>
                        <w:numPr>
                          <w:ilvl w:val="0"/>
                          <w:numId w:val="1"/>
                        </w:numPr>
                        <w:rPr>
                          <w:sz w:val="24"/>
                          <w:szCs w:val="24"/>
                          <w:lang w:val="en-US"/>
                        </w:rPr>
                      </w:pPr>
                      <w:r w:rsidRPr="009D224D">
                        <w:rPr>
                          <w:bCs/>
                          <w:sz w:val="24"/>
                          <w:szCs w:val="24"/>
                          <w:lang w:val="en-US"/>
                        </w:rPr>
                        <w:t xml:space="preserve">Of the </w:t>
                      </w:r>
                      <w:r w:rsidRPr="009D224D">
                        <w:rPr>
                          <w:b/>
                          <w:bCs/>
                          <w:sz w:val="24"/>
                          <w:szCs w:val="24"/>
                          <w:lang w:val="en-US"/>
                        </w:rPr>
                        <w:t>1</w:t>
                      </w:r>
                      <w:r>
                        <w:rPr>
                          <w:b/>
                          <w:bCs/>
                          <w:sz w:val="24"/>
                          <w:szCs w:val="24"/>
                          <w:lang w:val="en-US"/>
                        </w:rPr>
                        <w:t>9</w:t>
                      </w:r>
                      <w:r w:rsidRPr="009D224D">
                        <w:rPr>
                          <w:sz w:val="24"/>
                          <w:szCs w:val="24"/>
                          <w:lang w:val="en-US"/>
                        </w:rPr>
                        <w:t xml:space="preserve"> scaffolding incidents reported, </w:t>
                      </w:r>
                      <w:r w:rsidRPr="009D224D">
                        <w:rPr>
                          <w:b/>
                          <w:sz w:val="24"/>
                          <w:szCs w:val="24"/>
                          <w:lang w:val="en-US"/>
                        </w:rPr>
                        <w:t>6</w:t>
                      </w:r>
                      <w:r>
                        <w:rPr>
                          <w:b/>
                          <w:sz w:val="24"/>
                          <w:szCs w:val="24"/>
                          <w:lang w:val="en-US"/>
                        </w:rPr>
                        <w:t>8 per cent</w:t>
                      </w:r>
                      <w:r w:rsidRPr="009D224D">
                        <w:rPr>
                          <w:sz w:val="24"/>
                          <w:szCs w:val="24"/>
                          <w:lang w:val="en-US"/>
                        </w:rPr>
                        <w:t xml:space="preserve"> were classified as Not Severe</w:t>
                      </w:r>
                      <w:r>
                        <w:rPr>
                          <w:sz w:val="24"/>
                          <w:szCs w:val="24"/>
                          <w:lang w:val="en-US"/>
                        </w:rPr>
                        <w:t xml:space="preserve"> and</w:t>
                      </w:r>
                      <w:r w:rsidRPr="009D224D">
                        <w:rPr>
                          <w:sz w:val="24"/>
                          <w:szCs w:val="24"/>
                          <w:lang w:val="en-US"/>
                        </w:rPr>
                        <w:t xml:space="preserve"> </w:t>
                      </w:r>
                      <w:r>
                        <w:rPr>
                          <w:b/>
                          <w:sz w:val="24"/>
                          <w:szCs w:val="24"/>
                          <w:lang w:val="en-US"/>
                        </w:rPr>
                        <w:t>16 per cent</w:t>
                      </w:r>
                      <w:r w:rsidRPr="009D224D">
                        <w:rPr>
                          <w:sz w:val="24"/>
                          <w:szCs w:val="24"/>
                          <w:lang w:val="en-US"/>
                        </w:rPr>
                        <w:t xml:space="preserve"> were classified as Severe.</w:t>
                      </w:r>
                    </w:p>
                    <w:p w14:paraId="1FEFCC8B" w14:textId="77777777" w:rsidR="00762C79" w:rsidRPr="009D224D" w:rsidRDefault="00762C79" w:rsidP="00BF4F0D">
                      <w:pPr>
                        <w:pStyle w:val="ListParagraph"/>
                        <w:numPr>
                          <w:ilvl w:val="0"/>
                          <w:numId w:val="1"/>
                        </w:numPr>
                        <w:rPr>
                          <w:sz w:val="24"/>
                          <w:szCs w:val="24"/>
                          <w:lang w:val="en-US"/>
                        </w:rPr>
                      </w:pPr>
                      <w:r w:rsidRPr="009D224D">
                        <w:rPr>
                          <w:bCs/>
                          <w:sz w:val="24"/>
                          <w:szCs w:val="24"/>
                          <w:lang w:val="en-US"/>
                        </w:rPr>
                        <w:t xml:space="preserve">The largest number of scaffolding incidents classed as Not Severe were </w:t>
                      </w:r>
                      <w:r>
                        <w:rPr>
                          <w:bCs/>
                          <w:sz w:val="24"/>
                          <w:szCs w:val="24"/>
                          <w:lang w:val="en-US"/>
                        </w:rPr>
                        <w:t>L</w:t>
                      </w:r>
                      <w:r w:rsidRPr="009D224D">
                        <w:rPr>
                          <w:bCs/>
                          <w:sz w:val="24"/>
                          <w:szCs w:val="24"/>
                          <w:lang w:val="en-US"/>
                        </w:rPr>
                        <w:t xml:space="preserve">TIs </w:t>
                      </w:r>
                      <w:r w:rsidRPr="0064741B">
                        <w:rPr>
                          <w:b/>
                          <w:sz w:val="24"/>
                          <w:szCs w:val="24"/>
                          <w:lang w:val="en-US"/>
                        </w:rPr>
                        <w:t>(7</w:t>
                      </w:r>
                      <w:r w:rsidRPr="009D224D">
                        <w:rPr>
                          <w:b/>
                          <w:bCs/>
                          <w:sz w:val="24"/>
                          <w:szCs w:val="24"/>
                          <w:lang w:val="en-US"/>
                        </w:rPr>
                        <w:t>)</w:t>
                      </w:r>
                      <w:r w:rsidRPr="009D224D">
                        <w:rPr>
                          <w:bCs/>
                          <w:sz w:val="24"/>
                          <w:szCs w:val="24"/>
                          <w:lang w:val="en-US"/>
                        </w:rPr>
                        <w:t xml:space="preserve">, then </w:t>
                      </w:r>
                      <w:r>
                        <w:rPr>
                          <w:bCs/>
                          <w:sz w:val="24"/>
                          <w:szCs w:val="24"/>
                          <w:lang w:val="en-US"/>
                        </w:rPr>
                        <w:t>M</w:t>
                      </w:r>
                      <w:r w:rsidRPr="009D224D">
                        <w:rPr>
                          <w:bCs/>
                          <w:sz w:val="24"/>
                          <w:szCs w:val="24"/>
                          <w:lang w:val="en-US"/>
                        </w:rPr>
                        <w:t xml:space="preserve">TIs </w:t>
                      </w:r>
                      <w:r w:rsidRPr="0064741B">
                        <w:rPr>
                          <w:b/>
                          <w:sz w:val="24"/>
                          <w:szCs w:val="24"/>
                          <w:lang w:val="en-US"/>
                        </w:rPr>
                        <w:t>(6)</w:t>
                      </w:r>
                      <w:r w:rsidRPr="009D224D">
                        <w:rPr>
                          <w:bCs/>
                          <w:sz w:val="24"/>
                          <w:szCs w:val="24"/>
                          <w:lang w:val="en-US"/>
                        </w:rPr>
                        <w:t>.</w:t>
                      </w:r>
                    </w:p>
                    <w:p w14:paraId="4D86AD7D" w14:textId="77777777" w:rsidR="00762C79" w:rsidRPr="00BF4F0D" w:rsidRDefault="00762C79" w:rsidP="00BF4F0D">
                      <w:pPr>
                        <w:pStyle w:val="ListParagraph"/>
                        <w:numPr>
                          <w:ilvl w:val="0"/>
                          <w:numId w:val="1"/>
                        </w:numPr>
                        <w:rPr>
                          <w:sz w:val="24"/>
                          <w:szCs w:val="24"/>
                          <w:lang w:val="en-US"/>
                        </w:rPr>
                      </w:pPr>
                      <w:r>
                        <w:rPr>
                          <w:b/>
                          <w:sz w:val="24"/>
                          <w:szCs w:val="24"/>
                          <w:lang w:val="en-US"/>
                        </w:rPr>
                        <w:t>5 of the 19 reported incidents were severe or placed a worker’s life at risk – meaning 26 per cent were in this highest risk category.</w:t>
                      </w:r>
                    </w:p>
                  </w:txbxContent>
                </v:textbox>
                <w10:wrap type="tight"/>
              </v:shape>
            </w:pict>
          </mc:Fallback>
        </mc:AlternateContent>
      </w:r>
      <w:r w:rsidR="00463924">
        <w:rPr>
          <w:noProof/>
          <w:lang w:val="en-AU" w:eastAsia="en-AU"/>
        </w:rPr>
        <w:drawing>
          <wp:anchor distT="0" distB="0" distL="114300" distR="114300" simplePos="0" relativeHeight="251729408" behindDoc="1" locked="0" layoutInCell="1" allowOverlap="1" wp14:anchorId="0684BB52" wp14:editId="2D12DCC2">
            <wp:simplePos x="0" y="0"/>
            <wp:positionH relativeFrom="column">
              <wp:posOffset>5519983</wp:posOffset>
            </wp:positionH>
            <wp:positionV relativeFrom="paragraph">
              <wp:posOffset>-129432</wp:posOffset>
            </wp:positionV>
            <wp:extent cx="4235570" cy="2743200"/>
            <wp:effectExtent l="0" t="0" r="12700" b="0"/>
            <wp:wrapNone/>
            <wp:docPr id="15" name="Chart 15">
              <a:extLst xmlns:a="http://schemas.openxmlformats.org/drawingml/2006/main">
                <a:ext uri="{FF2B5EF4-FFF2-40B4-BE49-F238E27FC236}">
                  <a16:creationId xmlns:a16="http://schemas.microsoft.com/office/drawing/2014/main" id="{90DBA83A-ED90-4699-9BAB-F7D3A7D12F3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 name="Chart 15">
                      <a:extLst>
                        <a:ext uri="{FF2B5EF4-FFF2-40B4-BE49-F238E27FC236}">
                          <a16:creationId xmlns:a16="http://schemas.microsoft.com/office/drawing/2014/main" id="{90DBA83A-ED90-4699-9BAB-F7D3A7D12F37}"/>
                        </a:ext>
                      </a:extLst>
                    </pic:cNvPr>
                    <pic:cNvPicPr>
                      <a:picLocks noGrp="1" noRot="1" noChangeAspect="1" noMove="1" noResize="1" noEditPoints="1" noAdjustHandles="1" noChangeArrowheads="1" noChangeShapeType="1"/>
                    </pic:cNvPicPr>
                  </pic:nvPicPr>
                  <pic:blipFill>
                    <a:blip r:embed="rId61"/>
                    <a:stretch>
                      <a:fillRect/>
                    </a:stretch>
                  </pic:blipFill>
                  <pic:spPr>
                    <a:xfrm>
                      <a:off x="0" y="0"/>
                      <a:ext cx="4235450" cy="2743200"/>
                    </a:xfrm>
                    <a:prstGeom prst="rect">
                      <a:avLst/>
                    </a:prstGeom>
                  </pic:spPr>
                </pic:pic>
              </a:graphicData>
            </a:graphic>
            <wp14:sizeRelH relativeFrom="page">
              <wp14:pctWidth>0</wp14:pctWidth>
            </wp14:sizeRelH>
            <wp14:sizeRelV relativeFrom="page">
              <wp14:pctHeight>0</wp14:pctHeight>
            </wp14:sizeRelV>
          </wp:anchor>
        </w:drawing>
      </w:r>
      <w:r w:rsidR="00664E1D" w:rsidRPr="00664E1D">
        <w:t>Scaffolding</w:t>
      </w:r>
      <w:r w:rsidR="006A0639">
        <w:t xml:space="preserve"> – Incident Reports</w:t>
      </w:r>
      <w:bookmarkEnd w:id="36"/>
    </w:p>
    <w:p w14:paraId="71DB96CC" w14:textId="77777777" w:rsidR="009D224D" w:rsidRPr="009D224D" w:rsidRDefault="009D224D" w:rsidP="00664E1D">
      <w:pPr>
        <w:tabs>
          <w:tab w:val="left" w:pos="12420"/>
          <w:tab w:val="left" w:pos="14074"/>
        </w:tabs>
        <w:rPr>
          <w:sz w:val="24"/>
          <w:szCs w:val="24"/>
          <w:lang w:val="en-US"/>
        </w:rPr>
      </w:pPr>
    </w:p>
    <w:p w14:paraId="1034F7E3" w14:textId="77777777" w:rsidR="000B61C5" w:rsidRPr="000B61C5" w:rsidRDefault="000B61C5" w:rsidP="000B61C5">
      <w:pPr>
        <w:rPr>
          <w:lang w:val="en-US"/>
        </w:rPr>
      </w:pPr>
    </w:p>
    <w:p w14:paraId="5B1688F8" w14:textId="34D9951D" w:rsidR="00AE455B" w:rsidRDefault="00C02F30" w:rsidP="006A0639">
      <w:pPr>
        <w:pStyle w:val="Heading1"/>
        <w:rPr>
          <w:b w:val="0"/>
          <w:bCs w:val="0"/>
        </w:rPr>
      </w:pPr>
      <w:bookmarkStart w:id="37" w:name="_Toc81917116"/>
      <w:bookmarkStart w:id="38" w:name="_Toc81917935"/>
      <w:r>
        <w:rPr>
          <w:noProof/>
          <w:lang w:val="en-AU" w:eastAsia="en-AU"/>
        </w:rPr>
        <w:drawing>
          <wp:anchor distT="0" distB="0" distL="114300" distR="114300" simplePos="0" relativeHeight="251697664" behindDoc="1" locked="0" layoutInCell="1" allowOverlap="1" wp14:anchorId="4CEA8653" wp14:editId="61636BC7">
            <wp:simplePos x="0" y="0"/>
            <wp:positionH relativeFrom="column">
              <wp:posOffset>419100</wp:posOffset>
            </wp:positionH>
            <wp:positionV relativeFrom="paragraph">
              <wp:posOffset>991870</wp:posOffset>
            </wp:positionV>
            <wp:extent cx="4433570" cy="4562475"/>
            <wp:effectExtent l="0" t="0" r="5080" b="0"/>
            <wp:wrapNone/>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A42F35">
        <w:rPr>
          <w:noProof/>
          <w:lang w:val="en-AU" w:eastAsia="en-AU"/>
        </w:rPr>
        <w:drawing>
          <wp:anchor distT="0" distB="0" distL="114300" distR="114300" simplePos="0" relativeHeight="251731456" behindDoc="1" locked="0" layoutInCell="1" allowOverlap="1" wp14:anchorId="41781EF5" wp14:editId="10748A6C">
            <wp:simplePos x="0" y="0"/>
            <wp:positionH relativeFrom="column">
              <wp:posOffset>5719445</wp:posOffset>
            </wp:positionH>
            <wp:positionV relativeFrom="paragraph">
              <wp:posOffset>2203450</wp:posOffset>
            </wp:positionV>
            <wp:extent cx="3740785" cy="349504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40785" cy="349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EEB" w:rsidRPr="0083500F">
        <w:rPr>
          <w:b w:val="0"/>
          <w:bCs w:val="0"/>
          <w:noProof/>
          <w:sz w:val="24"/>
          <w:szCs w:val="24"/>
          <w:lang w:val="en-AU" w:eastAsia="en-AU"/>
        </w:rPr>
        <mc:AlternateContent>
          <mc:Choice Requires="wps">
            <w:drawing>
              <wp:anchor distT="0" distB="0" distL="114300" distR="114300" simplePos="0" relativeHeight="251778560" behindDoc="0" locked="0" layoutInCell="1" allowOverlap="1" wp14:anchorId="47ABB925" wp14:editId="6AFD0228">
                <wp:simplePos x="0" y="0"/>
                <wp:positionH relativeFrom="margin">
                  <wp:posOffset>5401945</wp:posOffset>
                </wp:positionH>
                <wp:positionV relativeFrom="paragraph">
                  <wp:posOffset>1875790</wp:posOffset>
                </wp:positionV>
                <wp:extent cx="4492831" cy="6553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492831" cy="655320"/>
                        </a:xfrm>
                        <a:prstGeom prst="rect">
                          <a:avLst/>
                        </a:prstGeom>
                        <a:noFill/>
                        <a:ln w="6350">
                          <a:noFill/>
                        </a:ln>
                      </wps:spPr>
                      <wps:txbx>
                        <w:txbxContent>
                          <w:p w14:paraId="044FA87F" w14:textId="77777777" w:rsidR="00762C79" w:rsidRPr="00F42F23" w:rsidRDefault="00762C79" w:rsidP="00333EEB">
                            <w:pPr>
                              <w:rPr>
                                <w:b/>
                                <w:bCs/>
                                <w:sz w:val="28"/>
                                <w:szCs w:val="28"/>
                                <w:lang w:val="en-US"/>
                              </w:rPr>
                            </w:pPr>
                            <w:r>
                              <w:rPr>
                                <w:b/>
                                <w:bCs/>
                                <w:sz w:val="28"/>
                                <w:szCs w:val="28"/>
                                <w:lang w:val="en-US"/>
                              </w:rPr>
                              <w:t>Number of Incidents Reported in Each State or Territory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BB925" id="Text Box 19" o:spid="_x0000_s1049" type="#_x0000_t202" style="position:absolute;margin-left:425.35pt;margin-top:147.7pt;width:353.75pt;height:51.6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" filled="f" stroked="f" strokeweight=".5pt">
                <v:textbox>
                  <w:txbxContent>
                    <w:p w14:paraId="044FA87F" w14:textId="77777777" w:rsidR="00762C79" w:rsidRPr="00F42F23" w:rsidRDefault="00762C79" w:rsidP="00333EEB">
                      <w:pPr>
                        <w:rPr>
                          <w:b/>
                          <w:bCs/>
                          <w:sz w:val="28"/>
                          <w:szCs w:val="28"/>
                          <w:lang w:val="en-US"/>
                        </w:rPr>
                      </w:pPr>
                      <w:r>
                        <w:rPr>
                          <w:b/>
                          <w:bCs/>
                          <w:sz w:val="28"/>
                          <w:szCs w:val="28"/>
                          <w:lang w:val="en-US"/>
                        </w:rPr>
                        <w:t>Number of Incidents Reported in Each State or Territory</w:t>
                      </w:r>
                    </w:p>
                  </w:txbxContent>
                </v:textbox>
                <w10:wrap anchorx="margin"/>
              </v:shape>
            </w:pict>
          </mc:Fallback>
        </mc:AlternateContent>
      </w:r>
      <w:bookmarkEnd w:id="37"/>
      <w:bookmarkEnd w:id="38"/>
      <w:r w:rsidR="007A42C5">
        <w:br w:type="page"/>
      </w:r>
    </w:p>
    <w:p w14:paraId="0A917334" w14:textId="77777777" w:rsidR="004478AD" w:rsidRDefault="004478AD" w:rsidP="004478AD">
      <w:pPr>
        <w:pStyle w:val="Heading1"/>
      </w:pPr>
      <w:bookmarkStart w:id="39" w:name="_Toc81917936"/>
      <w:r>
        <w:lastRenderedPageBreak/>
        <w:t>Scaffolding</w:t>
      </w:r>
      <w:r w:rsidR="006A0639">
        <w:t xml:space="preserve"> – Incident Reports Analysis of</w:t>
      </w:r>
      <w:r>
        <w:t xml:space="preserve"> Trends</w:t>
      </w:r>
      <w:bookmarkEnd w:id="39"/>
    </w:p>
    <w:p w14:paraId="08FD54F5" w14:textId="77777777" w:rsidR="00ED26FA" w:rsidRPr="009D224D" w:rsidRDefault="00ED26FA" w:rsidP="00ED26FA">
      <w:pPr>
        <w:pStyle w:val="ListParagraph"/>
        <w:numPr>
          <w:ilvl w:val="0"/>
          <w:numId w:val="10"/>
        </w:numPr>
        <w:rPr>
          <w:sz w:val="24"/>
          <w:szCs w:val="24"/>
        </w:rPr>
      </w:pPr>
      <w:r w:rsidRPr="009D224D">
        <w:rPr>
          <w:sz w:val="24"/>
          <w:szCs w:val="24"/>
        </w:rPr>
        <w:t xml:space="preserve">The most frequent </w:t>
      </w:r>
      <w:r>
        <w:rPr>
          <w:sz w:val="24"/>
          <w:szCs w:val="24"/>
        </w:rPr>
        <w:t>scaffolding</w:t>
      </w:r>
      <w:r w:rsidRPr="009D224D">
        <w:rPr>
          <w:sz w:val="24"/>
          <w:szCs w:val="24"/>
        </w:rPr>
        <w:t xml:space="preserve"> related injury </w:t>
      </w:r>
      <w:r>
        <w:rPr>
          <w:sz w:val="24"/>
          <w:szCs w:val="24"/>
        </w:rPr>
        <w:t>was caused by workers being struck by objects falling from scaffold</w:t>
      </w:r>
      <w:r w:rsidR="002F7262">
        <w:rPr>
          <w:sz w:val="24"/>
          <w:szCs w:val="24"/>
        </w:rPr>
        <w:t>ing</w:t>
      </w:r>
      <w:r>
        <w:rPr>
          <w:sz w:val="24"/>
          <w:szCs w:val="24"/>
        </w:rPr>
        <w:t xml:space="preserve"> or protruding objects striking a worker.</w:t>
      </w:r>
    </w:p>
    <w:p w14:paraId="79B0DDEB" w14:textId="77777777" w:rsidR="00ED26FA" w:rsidRDefault="00ED26FA" w:rsidP="00ED26FA">
      <w:pPr>
        <w:pStyle w:val="ListParagraph"/>
        <w:numPr>
          <w:ilvl w:val="0"/>
          <w:numId w:val="10"/>
        </w:numPr>
        <w:rPr>
          <w:sz w:val="24"/>
          <w:szCs w:val="24"/>
        </w:rPr>
      </w:pPr>
      <w:r>
        <w:rPr>
          <w:sz w:val="24"/>
          <w:szCs w:val="24"/>
        </w:rPr>
        <w:t>The second most frequent scaffolding related injury was falls from or involving scaffold</w:t>
      </w:r>
      <w:r w:rsidR="002F7262">
        <w:rPr>
          <w:sz w:val="24"/>
          <w:szCs w:val="24"/>
        </w:rPr>
        <w:t>ing</w:t>
      </w:r>
      <w:r>
        <w:rPr>
          <w:sz w:val="24"/>
          <w:szCs w:val="24"/>
        </w:rPr>
        <w:t>.</w:t>
      </w:r>
    </w:p>
    <w:p w14:paraId="113E72F1" w14:textId="77777777" w:rsidR="00ED26FA" w:rsidRPr="009D224D" w:rsidRDefault="00ED26FA" w:rsidP="00ED26FA">
      <w:pPr>
        <w:pStyle w:val="ListParagraph"/>
        <w:numPr>
          <w:ilvl w:val="0"/>
          <w:numId w:val="10"/>
        </w:numPr>
        <w:rPr>
          <w:sz w:val="24"/>
          <w:szCs w:val="24"/>
        </w:rPr>
      </w:pPr>
      <w:r>
        <w:rPr>
          <w:sz w:val="24"/>
          <w:szCs w:val="24"/>
        </w:rPr>
        <w:t>The other scaffolding injuries were all hand injuries/lacerations on scaffolding.</w:t>
      </w:r>
    </w:p>
    <w:p w14:paraId="23CC30B0" w14:textId="77777777" w:rsidR="009D2E1B" w:rsidRDefault="00ED26FA">
      <w:r>
        <w:rPr>
          <w:noProof/>
          <w:lang w:eastAsia="en-AU"/>
        </w:rPr>
        <w:drawing>
          <wp:anchor distT="0" distB="0" distL="114300" distR="114300" simplePos="0" relativeHeight="251734528" behindDoc="1" locked="0" layoutInCell="1" allowOverlap="1" wp14:anchorId="37B9B7E7" wp14:editId="6AD0EB09">
            <wp:simplePos x="0" y="0"/>
            <wp:positionH relativeFrom="column">
              <wp:posOffset>0</wp:posOffset>
            </wp:positionH>
            <wp:positionV relativeFrom="paragraph">
              <wp:posOffset>148590</wp:posOffset>
            </wp:positionV>
            <wp:extent cx="9477375" cy="4876800"/>
            <wp:effectExtent l="0" t="0" r="0" b="0"/>
            <wp:wrapNone/>
            <wp:docPr id="50" name="Chart 50">
              <a:extLst xmlns:a="http://schemas.openxmlformats.org/drawingml/2006/main">
                <a:ext uri="{FF2B5EF4-FFF2-40B4-BE49-F238E27FC236}">
                  <a16:creationId xmlns:a16="http://schemas.microsoft.com/office/drawing/2014/main" id="{74F4E876-9C4B-4C6B-BDC6-AE002B087A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r w:rsidR="00AE455B">
        <w:br w:type="page"/>
      </w:r>
    </w:p>
    <w:p w14:paraId="6B749F0F" w14:textId="77777777" w:rsidR="009D2E1B" w:rsidRDefault="009D2E1B">
      <w:r>
        <w:rPr>
          <w:noProof/>
          <w:lang w:eastAsia="en-AU"/>
        </w:rPr>
        <w:lastRenderedPageBreak/>
        <mc:AlternateContent>
          <mc:Choice Requires="wps">
            <w:drawing>
              <wp:anchor distT="45720" distB="45720" distL="114300" distR="114300" simplePos="0" relativeHeight="251776512" behindDoc="0" locked="0" layoutInCell="1" allowOverlap="1" wp14:anchorId="6BD5BB77" wp14:editId="0185C689">
                <wp:simplePos x="0" y="0"/>
                <wp:positionH relativeFrom="margin">
                  <wp:align>right</wp:align>
                </wp:positionH>
                <wp:positionV relativeFrom="paragraph">
                  <wp:posOffset>3163982</wp:posOffset>
                </wp:positionV>
                <wp:extent cx="8718550" cy="982345"/>
                <wp:effectExtent l="0" t="0" r="0" b="0"/>
                <wp:wrapSquare wrapText="bothSides"/>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0" cy="982345"/>
                        </a:xfrm>
                        <a:prstGeom prst="rect">
                          <a:avLst/>
                        </a:prstGeom>
                        <a:noFill/>
                        <a:ln w="9525">
                          <a:noFill/>
                          <a:miter lim="800000"/>
                          <a:headEnd/>
                          <a:tailEnd/>
                        </a:ln>
                      </wps:spPr>
                      <wps:txbx>
                        <w:txbxContent>
                          <w:p w14:paraId="34A433D9" w14:textId="77777777" w:rsidR="00762C79" w:rsidRPr="008122C1" w:rsidRDefault="00762C79" w:rsidP="008122C1">
                            <w:pPr>
                              <w:pStyle w:val="Heading1"/>
                              <w:jc w:val="right"/>
                              <w:rPr>
                                <w:color w:val="FFFFFF" w:themeColor="background1"/>
                                <w:sz w:val="72"/>
                                <w:szCs w:val="72"/>
                              </w:rPr>
                            </w:pPr>
                            <w:bookmarkStart w:id="40" w:name="_Toc81917937"/>
                            <w:r w:rsidRPr="008122C1">
                              <w:rPr>
                                <w:color w:val="FFFFFF" w:themeColor="background1"/>
                                <w:sz w:val="72"/>
                                <w:szCs w:val="72"/>
                              </w:rPr>
                              <w:t>Additional Resources</w:t>
                            </w:r>
                            <w:bookmarkEnd w:id="40"/>
                            <w:r w:rsidRPr="008122C1">
                              <w:rPr>
                                <w:color w:val="FFFFFF" w:themeColor="background1"/>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5BB77" id="_x0000_s1050" type="#_x0000_t202" style="position:absolute;margin-left:635.3pt;margin-top:249.15pt;width:686.5pt;height:77.35pt;z-index:251776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" filled="f" stroked="f">
                <v:textbox>
                  <w:txbxContent>
                    <w:p w14:paraId="34A433D9" w14:textId="77777777" w:rsidR="00762C79" w:rsidRPr="008122C1" w:rsidRDefault="00762C79" w:rsidP="008122C1">
                      <w:pPr>
                        <w:pStyle w:val="Heading1"/>
                        <w:jc w:val="right"/>
                        <w:rPr>
                          <w:color w:val="FFFFFF" w:themeColor="background1"/>
                          <w:sz w:val="72"/>
                          <w:szCs w:val="72"/>
                        </w:rPr>
                      </w:pPr>
                      <w:bookmarkStart w:id="41" w:name="_Toc81917937"/>
                      <w:r w:rsidRPr="008122C1">
                        <w:rPr>
                          <w:color w:val="FFFFFF" w:themeColor="background1"/>
                          <w:sz w:val="72"/>
                          <w:szCs w:val="72"/>
                        </w:rPr>
                        <w:t>Additional Resources</w:t>
                      </w:r>
                      <w:bookmarkEnd w:id="41"/>
                      <w:r w:rsidRPr="008122C1">
                        <w:rPr>
                          <w:color w:val="FFFFFF" w:themeColor="background1"/>
                          <w:sz w:val="72"/>
                          <w:szCs w:val="72"/>
                        </w:rPr>
                        <w:t xml:space="preserve"> </w:t>
                      </w:r>
                    </w:p>
                  </w:txbxContent>
                </v:textbox>
                <w10:wrap type="square" anchorx="margin"/>
              </v:shape>
            </w:pict>
          </mc:Fallback>
        </mc:AlternateContent>
      </w:r>
      <w:r>
        <w:rPr>
          <w:noProof/>
          <w:lang w:eastAsia="en-AU"/>
        </w:rPr>
        <w:drawing>
          <wp:anchor distT="0" distB="0" distL="114300" distR="114300" simplePos="0" relativeHeight="251774464" behindDoc="1" locked="0" layoutInCell="1" allowOverlap="1" wp14:anchorId="041E2474" wp14:editId="13692FD7">
            <wp:simplePos x="0" y="0"/>
            <wp:positionH relativeFrom="margin">
              <wp:align>right</wp:align>
            </wp:positionH>
            <wp:positionV relativeFrom="paragraph">
              <wp:posOffset>-791</wp:posOffset>
            </wp:positionV>
            <wp:extent cx="1615440" cy="1615440"/>
            <wp:effectExtent l="0" t="0" r="3810" b="3810"/>
            <wp:wrapNone/>
            <wp:docPr id="141" name="Picture 141" descr="OFSC Symbol Red &amp; White opaque surround"/>
            <wp:cNvGraphicFramePr/>
            <a:graphic xmlns:a="http://schemas.openxmlformats.org/drawingml/2006/main">
              <a:graphicData uri="http://schemas.openxmlformats.org/drawingml/2006/picture">
                <pic:pic xmlns:pic="http://schemas.openxmlformats.org/drawingml/2006/picture">
                  <pic:nvPicPr>
                    <pic:cNvPr id="7" name="Picture 7" descr="OFSC Symbol Red &amp; White opaque surround"/>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pic:spPr>
                </pic:pic>
              </a:graphicData>
            </a:graphic>
            <wp14:sizeRelH relativeFrom="page">
              <wp14:pctWidth>0</wp14:pctWidth>
            </wp14:sizeRelH>
            <wp14:sizeRelV relativeFrom="page">
              <wp14:pctHeight>0</wp14:pctHeight>
            </wp14:sizeRelV>
          </wp:anchor>
        </w:drawing>
      </w:r>
      <w:r w:rsidRPr="004C1825">
        <w:rPr>
          <w:noProof/>
          <w:sz w:val="56"/>
          <w:szCs w:val="56"/>
          <w:lang w:eastAsia="en-AU"/>
        </w:rPr>
        <w:drawing>
          <wp:anchor distT="0" distB="0" distL="114300" distR="114300" simplePos="0" relativeHeight="251772416" behindDoc="1" locked="0" layoutInCell="1" allowOverlap="1" wp14:anchorId="455D04D5" wp14:editId="1C8F4304">
            <wp:simplePos x="0" y="0"/>
            <wp:positionH relativeFrom="page">
              <wp:align>right</wp:align>
            </wp:positionH>
            <wp:positionV relativeFrom="paragraph">
              <wp:posOffset>-1396365</wp:posOffset>
            </wp:positionV>
            <wp:extent cx="11296650" cy="8474710"/>
            <wp:effectExtent l="0" t="0" r="0" b="2540"/>
            <wp:wrapNone/>
            <wp:docPr id="140" name="Picture 140" descr="Decorative"/>
            <wp:cNvGraphicFramePr/>
            <a:graphic xmlns:a="http://schemas.openxmlformats.org/drawingml/2006/main">
              <a:graphicData uri="http://schemas.openxmlformats.org/drawingml/2006/picture">
                <pic:pic xmlns:pic="http://schemas.openxmlformats.org/drawingml/2006/picture">
                  <pic:nvPicPr>
                    <pic:cNvPr id="3" name="Picture 3" descr="Decorative"/>
                    <pic:cNvPicPr/>
                  </pic:nvPicPr>
                  <pic:blipFill>
                    <a:blip r:embed="rId10">
                      <a:extLst>
                        <a:ext uri="{28A0092B-C50C-407E-A947-70E740481C1C}">
                          <a14:useLocalDpi xmlns:a14="http://schemas.microsoft.com/office/drawing/2010/main" val="0"/>
                        </a:ext>
                      </a:extLst>
                    </a:blip>
                    <a:stretch>
                      <a:fillRect/>
                    </a:stretch>
                  </pic:blipFill>
                  <pic:spPr bwMode="auto">
                    <a:xfrm>
                      <a:off x="0" y="0"/>
                      <a:ext cx="11296650" cy="847471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406FB75" w14:textId="77777777" w:rsidR="006D3FD3" w:rsidRPr="008B4EB6" w:rsidRDefault="006D3FD3" w:rsidP="00333EEB">
      <w:pPr>
        <w:pStyle w:val="Heading1"/>
        <w:spacing w:after="0"/>
      </w:pPr>
      <w:bookmarkStart w:id="42" w:name="_Toc81917938"/>
      <w:r>
        <w:lastRenderedPageBreak/>
        <w:t>Education</w:t>
      </w:r>
      <w:bookmarkEnd w:id="42"/>
    </w:p>
    <w:p w14:paraId="4AE99ED4" w14:textId="77777777" w:rsidR="006D3FD3" w:rsidRPr="0055321C" w:rsidRDefault="008A3AD6" w:rsidP="006D3FD3">
      <w:pPr>
        <w:pStyle w:val="Heading2"/>
      </w:pPr>
      <w:bookmarkStart w:id="43" w:name="_Toc81812407"/>
      <w:bookmarkStart w:id="44" w:name="_Toc81917119"/>
      <w:bookmarkStart w:id="45" w:name="_Toc81917939"/>
      <w:r>
        <w:t>Fact</w:t>
      </w:r>
      <w:r w:rsidR="006D3FD3">
        <w:t xml:space="preserve"> Sheets</w:t>
      </w:r>
      <w:bookmarkEnd w:id="43"/>
      <w:bookmarkEnd w:id="44"/>
      <w:bookmarkEnd w:id="45"/>
    </w:p>
    <w:p w14:paraId="7F7F176F" w14:textId="77777777" w:rsidR="006D3FD3" w:rsidRPr="006B717E" w:rsidRDefault="006D3FD3" w:rsidP="00B91702">
      <w:pPr>
        <w:rPr>
          <w:sz w:val="24"/>
          <w:szCs w:val="24"/>
        </w:rPr>
      </w:pPr>
      <w:r w:rsidRPr="006B717E">
        <w:rPr>
          <w:sz w:val="24"/>
          <w:szCs w:val="24"/>
        </w:rPr>
        <w:t xml:space="preserve">Mobile plant and scaffolding hazard management fact sheets were published on </w:t>
      </w:r>
      <w:hyperlink r:id="rId65" w:history="1">
        <w:r w:rsidRPr="006B717E">
          <w:rPr>
            <w:rStyle w:val="Hyperlink"/>
            <w:sz w:val="24"/>
            <w:szCs w:val="24"/>
          </w:rPr>
          <w:t>www.fsc.gov.au</w:t>
        </w:r>
      </w:hyperlink>
      <w:r w:rsidRPr="006B717E">
        <w:rPr>
          <w:sz w:val="24"/>
          <w:szCs w:val="24"/>
        </w:rPr>
        <w:t xml:space="preserve"> at the launch of the campaign. The fact sheets cover onsite risks, company requirements, key focus areas, principles of hazard management and an overview of all Scheme audit criteria.</w:t>
      </w:r>
      <w:r w:rsidR="009A4829">
        <w:rPr>
          <w:sz w:val="24"/>
          <w:szCs w:val="24"/>
        </w:rPr>
        <w:t xml:space="preserve"> Additional resources and guides have been published throughout the </w:t>
      </w:r>
      <w:hyperlink r:id="rId66" w:history="1">
        <w:r w:rsidR="009A4829" w:rsidRPr="00B94371">
          <w:rPr>
            <w:rStyle w:val="Hyperlink"/>
            <w:sz w:val="24"/>
            <w:szCs w:val="24"/>
          </w:rPr>
          <w:t>Hazard 2020 safety campaign</w:t>
        </w:r>
      </w:hyperlink>
      <w:r w:rsidR="009A4829">
        <w:rPr>
          <w:sz w:val="24"/>
          <w:szCs w:val="24"/>
        </w:rPr>
        <w:t>.</w:t>
      </w:r>
    </w:p>
    <w:p w14:paraId="49B2F728" w14:textId="77777777" w:rsidR="006D3FD3" w:rsidRPr="0055321C" w:rsidRDefault="006D3FD3" w:rsidP="000B0A83">
      <w:pPr>
        <w:pStyle w:val="Heading2"/>
        <w:spacing w:before="120"/>
      </w:pPr>
      <w:bookmarkStart w:id="46" w:name="_Toc81812408"/>
      <w:bookmarkStart w:id="47" w:name="_Toc81917120"/>
      <w:bookmarkStart w:id="48" w:name="_Toc81917940"/>
      <w:r w:rsidRPr="0055321C">
        <w:t>Webinars</w:t>
      </w:r>
      <w:bookmarkEnd w:id="46"/>
      <w:bookmarkEnd w:id="47"/>
      <w:bookmarkEnd w:id="48"/>
    </w:p>
    <w:p w14:paraId="71C0A0DB" w14:textId="77777777" w:rsidR="006D3FD3" w:rsidRPr="006B717E" w:rsidRDefault="006D3FD3" w:rsidP="003E5D52">
      <w:pPr>
        <w:rPr>
          <w:sz w:val="24"/>
          <w:szCs w:val="24"/>
        </w:rPr>
      </w:pPr>
      <w:r w:rsidRPr="006B717E">
        <w:rPr>
          <w:sz w:val="24"/>
          <w:szCs w:val="24"/>
        </w:rPr>
        <w:t xml:space="preserve">The </w:t>
      </w:r>
      <w:r w:rsidR="00B94371">
        <w:rPr>
          <w:sz w:val="24"/>
          <w:szCs w:val="24"/>
        </w:rPr>
        <w:t xml:space="preserve">OFSC’s Hazard 2020 </w:t>
      </w:r>
      <w:r w:rsidRPr="006B717E">
        <w:rPr>
          <w:sz w:val="24"/>
          <w:szCs w:val="24"/>
        </w:rPr>
        <w:t>webinar series brings together speakers from industry, technical experts</w:t>
      </w:r>
      <w:r w:rsidR="009A4829">
        <w:rPr>
          <w:sz w:val="24"/>
          <w:szCs w:val="24"/>
        </w:rPr>
        <w:t xml:space="preserve"> </w:t>
      </w:r>
      <w:r w:rsidRPr="006B717E">
        <w:rPr>
          <w:sz w:val="24"/>
          <w:szCs w:val="24"/>
        </w:rPr>
        <w:t>and associations to foster learning and collaboration on WHS issues. The webinars are not an endorsement of companies, products or methods, but an opportunity to share the experiences of industry in dealing with WHS challenges</w:t>
      </w:r>
      <w:r w:rsidR="00B94371">
        <w:rPr>
          <w:sz w:val="24"/>
          <w:szCs w:val="24"/>
        </w:rPr>
        <w:t xml:space="preserve"> relating to scaffolding and mobile plant</w:t>
      </w:r>
      <w:r w:rsidRPr="006B717E">
        <w:rPr>
          <w:sz w:val="24"/>
          <w:szCs w:val="24"/>
        </w:rPr>
        <w:t>.</w:t>
      </w:r>
    </w:p>
    <w:p w14:paraId="05E7DDE9" w14:textId="77777777" w:rsidR="006D3FD3" w:rsidRPr="003E5D52" w:rsidRDefault="006D3FD3" w:rsidP="000B0A83">
      <w:pPr>
        <w:pStyle w:val="Heading3"/>
        <w:spacing w:before="120"/>
        <w:rPr>
          <w:b w:val="0"/>
          <w:u w:val="single"/>
        </w:rPr>
      </w:pPr>
      <w:bookmarkStart w:id="49" w:name="_Toc81812409"/>
      <w:bookmarkStart w:id="50" w:name="_Toc81917121"/>
      <w:bookmarkStart w:id="51" w:name="_Toc81917941"/>
      <w:r w:rsidRPr="003E5D52">
        <w:rPr>
          <w:b w:val="0"/>
          <w:u w:val="single"/>
        </w:rPr>
        <w:t>Webinar One: Mobile Elevated Work Platforms</w:t>
      </w:r>
      <w:bookmarkEnd w:id="49"/>
      <w:bookmarkEnd w:id="50"/>
      <w:bookmarkEnd w:id="51"/>
    </w:p>
    <w:p w14:paraId="2B38D9EF" w14:textId="77777777" w:rsidR="006D3FD3" w:rsidRPr="006B717E" w:rsidRDefault="006D3FD3" w:rsidP="006D3FD3">
      <w:pPr>
        <w:rPr>
          <w:sz w:val="24"/>
          <w:szCs w:val="24"/>
        </w:rPr>
      </w:pPr>
      <w:r w:rsidRPr="006B717E">
        <w:rPr>
          <w:sz w:val="24"/>
          <w:szCs w:val="24"/>
        </w:rPr>
        <w:t xml:space="preserve">The first Hazard 2020 online educative forum was held on 18 February 2021. Scheme accredited company CPB Contractors presented on </w:t>
      </w:r>
      <w:r w:rsidR="00CD0D3D">
        <w:rPr>
          <w:sz w:val="24"/>
          <w:szCs w:val="24"/>
        </w:rPr>
        <w:t xml:space="preserve">its use of secondary guarding systems on </w:t>
      </w:r>
      <w:r w:rsidRPr="006B717E">
        <w:rPr>
          <w:sz w:val="24"/>
          <w:szCs w:val="24"/>
        </w:rPr>
        <w:t>Mobile Elevated Work Platforms (MEWP)</w:t>
      </w:r>
      <w:r w:rsidR="007D30AF">
        <w:rPr>
          <w:sz w:val="24"/>
          <w:szCs w:val="24"/>
        </w:rPr>
        <w:t>, one of the most common pieces of mobile plant on construction sites</w:t>
      </w:r>
      <w:r w:rsidRPr="006B717E">
        <w:rPr>
          <w:sz w:val="24"/>
          <w:szCs w:val="24"/>
        </w:rPr>
        <w:t xml:space="preserve">. The Elevating Work Platform Association (EWPA) presented an outline on EWPA guidance and on the functions of the EWPA. Federal Safety Officer (FSO) Brett Jones provided information on how the Scheme audit criteria applies to MEWPs. The webinar closed with an engaging Q&amp;A with significant interest from attendees. </w:t>
      </w:r>
    </w:p>
    <w:p w14:paraId="3F0D78B2" w14:textId="77777777" w:rsidR="006D3FD3" w:rsidRPr="003E5D52" w:rsidRDefault="006D3FD3" w:rsidP="000B0A83">
      <w:pPr>
        <w:pStyle w:val="Heading3"/>
        <w:spacing w:before="120"/>
        <w:rPr>
          <w:b w:val="0"/>
          <w:u w:val="single"/>
        </w:rPr>
      </w:pPr>
      <w:bookmarkStart w:id="52" w:name="_Toc81812410"/>
      <w:bookmarkStart w:id="53" w:name="_Toc81917122"/>
      <w:bookmarkStart w:id="54" w:name="_Toc81917942"/>
      <w:r w:rsidRPr="003E5D52">
        <w:rPr>
          <w:b w:val="0"/>
          <w:u w:val="single"/>
        </w:rPr>
        <w:t>Webinar Two: Scaffolding Risk Management</w:t>
      </w:r>
      <w:bookmarkEnd w:id="52"/>
      <w:bookmarkEnd w:id="53"/>
      <w:bookmarkEnd w:id="54"/>
    </w:p>
    <w:p w14:paraId="02DC1A76" w14:textId="77777777" w:rsidR="006D3FD3" w:rsidRPr="006B717E" w:rsidRDefault="006D3FD3" w:rsidP="006D3FD3">
      <w:pPr>
        <w:rPr>
          <w:sz w:val="24"/>
          <w:szCs w:val="24"/>
        </w:rPr>
      </w:pPr>
      <w:r w:rsidRPr="006B717E">
        <w:rPr>
          <w:sz w:val="24"/>
          <w:szCs w:val="24"/>
        </w:rPr>
        <w:t>On 29 April 2021 the OFSC held the second of the Hazard 2020 webinar series, with a focus on Scaffolding Risk Management. Probuild Constructions presented on anti-tampering scaffold options available through the new technology Scaffshield. FSO Ralph Willson gave a presentation on scaffolding management from a Scheme audit criteria perspective, and the webinar closed with a Q&amp;A session.</w:t>
      </w:r>
    </w:p>
    <w:p w14:paraId="50EFD385" w14:textId="77777777" w:rsidR="006D3FD3" w:rsidRPr="003E5D52" w:rsidRDefault="006D3FD3" w:rsidP="000B0A83">
      <w:pPr>
        <w:pStyle w:val="Heading3"/>
        <w:spacing w:before="120"/>
        <w:rPr>
          <w:b w:val="0"/>
          <w:u w:val="single"/>
        </w:rPr>
      </w:pPr>
      <w:bookmarkStart w:id="55" w:name="_Toc81812411"/>
      <w:bookmarkStart w:id="56" w:name="_Toc81917123"/>
      <w:bookmarkStart w:id="57" w:name="_Toc81917943"/>
      <w:r w:rsidRPr="003E5D52">
        <w:rPr>
          <w:b w:val="0"/>
          <w:u w:val="single"/>
        </w:rPr>
        <w:t>Webinar Three: Articulated Mobile Crane Risk Management</w:t>
      </w:r>
      <w:bookmarkEnd w:id="55"/>
      <w:bookmarkEnd w:id="56"/>
      <w:bookmarkEnd w:id="57"/>
    </w:p>
    <w:p w14:paraId="1B926711" w14:textId="77777777" w:rsidR="00B718A9" w:rsidRDefault="00B718A9" w:rsidP="007D30AF">
      <w:pPr>
        <w:rPr>
          <w:sz w:val="24"/>
          <w:szCs w:val="24"/>
        </w:rPr>
      </w:pPr>
      <w:r>
        <w:rPr>
          <w:sz w:val="24"/>
          <w:szCs w:val="24"/>
        </w:rPr>
        <w:t xml:space="preserve">The third Hazard 2020 webinar was held on Thursday 15 July 2021. </w:t>
      </w:r>
      <w:r w:rsidR="00BD5A3A">
        <w:rPr>
          <w:sz w:val="24"/>
          <w:szCs w:val="24"/>
        </w:rPr>
        <w:t>With a feature presentation by Rory Bracken and Tom Clarke from Fulton Hogan, and Brandon Hitch from the Crane Industry Council of Australia, this webinar provided practical guidance on use of articulated mobile cranes. FSO Julian Bedford also presented on the subject of mobile crane risk management in relation to Accreditation Scheme criteria. A Q&amp;A session with all presenters closed the webinar.</w:t>
      </w:r>
    </w:p>
    <w:p w14:paraId="5A88C82C" w14:textId="77777777" w:rsidR="00B718A9" w:rsidRDefault="00B718A9" w:rsidP="000B0A83">
      <w:pPr>
        <w:pStyle w:val="Heading2"/>
        <w:spacing w:before="120"/>
      </w:pPr>
      <w:r>
        <w:t>Case Studies</w:t>
      </w:r>
    </w:p>
    <w:p w14:paraId="4C742763" w14:textId="77777777" w:rsidR="00B718A9" w:rsidRPr="00BB03B5" w:rsidRDefault="009A4829" w:rsidP="00B718A9">
      <w:pPr>
        <w:rPr>
          <w:sz w:val="24"/>
          <w:szCs w:val="24"/>
          <w:lang w:val="en-US"/>
        </w:rPr>
      </w:pPr>
      <w:r w:rsidRPr="00BB03B5">
        <w:rPr>
          <w:sz w:val="24"/>
          <w:szCs w:val="24"/>
        </w:rPr>
        <w:t>C</w:t>
      </w:r>
      <w:r w:rsidR="00333EEB" w:rsidRPr="00BB03B5">
        <w:rPr>
          <w:sz w:val="24"/>
          <w:szCs w:val="24"/>
        </w:rPr>
        <w:t xml:space="preserve">ase studies developed by the OFSC highlight innovative risk management approaches </w:t>
      </w:r>
      <w:r w:rsidRPr="00BB03B5">
        <w:rPr>
          <w:sz w:val="24"/>
          <w:szCs w:val="24"/>
        </w:rPr>
        <w:t>being used by accredited companies</w:t>
      </w:r>
      <w:r w:rsidR="00333EEB" w:rsidRPr="00BB03B5">
        <w:rPr>
          <w:sz w:val="24"/>
          <w:szCs w:val="24"/>
        </w:rPr>
        <w:t>. The first video showcases Scheme accredited company COLAS’ use of halo lighting and other technology to eliminate mobile plant incidents on-site, and has been published to</w:t>
      </w:r>
      <w:r w:rsidR="00B94371">
        <w:rPr>
          <w:sz w:val="24"/>
          <w:szCs w:val="24"/>
        </w:rPr>
        <w:t xml:space="preserve"> www.fsc.gov.au</w:t>
      </w:r>
      <w:r w:rsidR="00333EEB" w:rsidRPr="00BB03B5">
        <w:rPr>
          <w:sz w:val="24"/>
          <w:szCs w:val="24"/>
        </w:rPr>
        <w:t>. Additional video case studies will be published in the coming months</w:t>
      </w:r>
      <w:r w:rsidR="00333EEB" w:rsidRPr="00BB03B5">
        <w:rPr>
          <w:sz w:val="24"/>
          <w:szCs w:val="24"/>
          <w:lang w:val="en-US"/>
        </w:rPr>
        <w:t>.</w:t>
      </w:r>
    </w:p>
    <w:p w14:paraId="1F17CDEB" w14:textId="77777777" w:rsidR="000B0A83" w:rsidRDefault="000B0A83" w:rsidP="009078DC">
      <w:pPr>
        <w:pStyle w:val="Heading1"/>
      </w:pPr>
      <w:bookmarkStart w:id="58" w:name="_Toc81917944"/>
    </w:p>
    <w:p w14:paraId="6F4378C0" w14:textId="77777777" w:rsidR="00E9251F" w:rsidRPr="009B7C34" w:rsidRDefault="00E9251F" w:rsidP="009078DC">
      <w:pPr>
        <w:pStyle w:val="Heading1"/>
      </w:pPr>
      <w:r>
        <w:lastRenderedPageBreak/>
        <w:t>Glossary</w:t>
      </w:r>
      <w:bookmarkEnd w:id="58"/>
    </w:p>
    <w:p w14:paraId="0A7C496D" w14:textId="77777777" w:rsidR="00B94371" w:rsidRPr="00B94371" w:rsidRDefault="00B94371" w:rsidP="00B94371">
      <w:pPr>
        <w:pStyle w:val="Heading2"/>
      </w:pPr>
      <w:bookmarkStart w:id="59" w:name="_Toc79423118"/>
      <w:bookmarkStart w:id="60" w:name="_Toc81812413"/>
      <w:bookmarkStart w:id="61" w:name="_Toc81917125"/>
      <w:bookmarkStart w:id="62" w:name="_Toc81917945"/>
      <w:r w:rsidRPr="00B94371">
        <w:t>Federal Safety Officer (FSO)</w:t>
      </w:r>
    </w:p>
    <w:p w14:paraId="5D198ED2" w14:textId="77777777" w:rsidR="00B94371" w:rsidRPr="00B94371" w:rsidRDefault="00B94371" w:rsidP="00B94371">
      <w:pPr>
        <w:rPr>
          <w:sz w:val="24"/>
          <w:szCs w:val="24"/>
          <w:lang w:val="en-US"/>
        </w:rPr>
      </w:pPr>
      <w:r w:rsidRPr="00B94371">
        <w:rPr>
          <w:sz w:val="24"/>
          <w:szCs w:val="24"/>
          <w:lang w:val="en-US"/>
        </w:rPr>
        <w:t>Federal Safety Officers (FSOs) are consultants engaged by the OFSC to conduct audits under the Scheme. FSOs are selected through a tender process run periodically by the OFSC. Once they have been selected through the tender process, FSOs undergo a two-stage engagement process. Firstly, they are engaged as consultants to the Attorney-General's Department and by way of a Deed of Standing Offer (as set out in the tender). Following this, they are appointed as FSOs by the FSC under a legislative instrument, giving them the legal authority to enter sites and conduct audits on behalf of the FSC.</w:t>
      </w:r>
    </w:p>
    <w:p w14:paraId="3888FF48" w14:textId="77777777" w:rsidR="00B94371" w:rsidRPr="00BB03B5" w:rsidRDefault="00B94371" w:rsidP="00BB03B5">
      <w:pPr>
        <w:pStyle w:val="Heading2"/>
        <w:spacing w:before="0"/>
        <w:rPr>
          <w:sz w:val="22"/>
          <w:szCs w:val="22"/>
        </w:rPr>
      </w:pPr>
    </w:p>
    <w:p w14:paraId="7AB643B2" w14:textId="77777777" w:rsidR="003B6523" w:rsidRDefault="00B94371" w:rsidP="003B6523">
      <w:pPr>
        <w:pStyle w:val="Heading2"/>
      </w:pPr>
      <w:r>
        <w:t>S</w:t>
      </w:r>
      <w:r w:rsidR="003B6523">
        <w:t>cheme Audits</w:t>
      </w:r>
      <w:bookmarkEnd w:id="59"/>
      <w:bookmarkEnd w:id="60"/>
      <w:bookmarkEnd w:id="61"/>
      <w:bookmarkEnd w:id="62"/>
    </w:p>
    <w:p w14:paraId="3D4FFC00" w14:textId="77777777" w:rsidR="003B6523" w:rsidRPr="007B2D2F" w:rsidRDefault="003B6523" w:rsidP="003B6523">
      <w:pPr>
        <w:rPr>
          <w:sz w:val="24"/>
          <w:szCs w:val="24"/>
          <w:lang w:val="en-US"/>
        </w:rPr>
      </w:pPr>
      <w:r w:rsidRPr="007B2D2F">
        <w:rPr>
          <w:sz w:val="24"/>
          <w:szCs w:val="24"/>
          <w:lang w:val="en-US"/>
        </w:rPr>
        <w:t xml:space="preserve">As part of the Work Health and Safety Accreditation Scheme, companies are required to undergo onsite audits to both become accredited and maintain accreditation. At any onsite audit, a </w:t>
      </w:r>
      <w:r w:rsidR="00B94371">
        <w:rPr>
          <w:sz w:val="24"/>
          <w:szCs w:val="24"/>
          <w:lang w:val="en-US"/>
        </w:rPr>
        <w:t>C</w:t>
      </w:r>
      <w:r w:rsidRPr="007B2D2F">
        <w:rPr>
          <w:sz w:val="24"/>
          <w:szCs w:val="24"/>
          <w:lang w:val="en-US"/>
        </w:rPr>
        <w:t xml:space="preserve">orrective </w:t>
      </w:r>
      <w:r w:rsidR="00B94371">
        <w:rPr>
          <w:sz w:val="24"/>
          <w:szCs w:val="24"/>
          <w:lang w:val="en-US"/>
        </w:rPr>
        <w:t>A</w:t>
      </w:r>
      <w:r w:rsidRPr="007B2D2F">
        <w:rPr>
          <w:sz w:val="24"/>
          <w:szCs w:val="24"/>
          <w:lang w:val="en-US"/>
        </w:rPr>
        <w:t xml:space="preserve">ction </w:t>
      </w:r>
      <w:r w:rsidR="00B94371">
        <w:rPr>
          <w:sz w:val="24"/>
          <w:szCs w:val="24"/>
          <w:lang w:val="en-US"/>
        </w:rPr>
        <w:t xml:space="preserve">Report </w:t>
      </w:r>
      <w:r w:rsidRPr="007B2D2F">
        <w:rPr>
          <w:sz w:val="24"/>
          <w:szCs w:val="24"/>
          <w:lang w:val="en-US"/>
        </w:rPr>
        <w:t>(CAR) can be raised.</w:t>
      </w:r>
    </w:p>
    <w:p w14:paraId="40835B0D" w14:textId="77777777" w:rsidR="003B6523" w:rsidRPr="0069601E" w:rsidRDefault="003B6523" w:rsidP="003B6523">
      <w:pPr>
        <w:rPr>
          <w:lang w:val="en-US"/>
        </w:rPr>
      </w:pPr>
    </w:p>
    <w:p w14:paraId="0A48CD67" w14:textId="77777777" w:rsidR="003B6523" w:rsidRPr="001D18B0" w:rsidRDefault="003B6523" w:rsidP="003B6523">
      <w:pPr>
        <w:pStyle w:val="Heading2"/>
      </w:pPr>
      <w:bookmarkStart w:id="63" w:name="_Toc79423119"/>
      <w:bookmarkStart w:id="64" w:name="_Toc81812414"/>
      <w:bookmarkStart w:id="65" w:name="_Toc81917126"/>
      <w:bookmarkStart w:id="66" w:name="_Toc81917946"/>
      <w:r>
        <w:t>Corrective Action Report (CAR)</w:t>
      </w:r>
      <w:bookmarkEnd w:id="63"/>
      <w:bookmarkEnd w:id="64"/>
      <w:bookmarkEnd w:id="65"/>
      <w:bookmarkEnd w:id="66"/>
    </w:p>
    <w:p w14:paraId="25FCAD6E" w14:textId="77777777" w:rsidR="003B6523" w:rsidRPr="007B2D2F" w:rsidRDefault="003B6523" w:rsidP="003B6523">
      <w:pPr>
        <w:rPr>
          <w:sz w:val="24"/>
          <w:szCs w:val="24"/>
          <w:lang w:val="en-US"/>
        </w:rPr>
      </w:pPr>
      <w:r w:rsidRPr="007B2D2F">
        <w:rPr>
          <w:sz w:val="24"/>
          <w:szCs w:val="24"/>
          <w:lang w:val="en-US"/>
        </w:rPr>
        <w:t xml:space="preserve">A Corrective Action Report (CAR) is a formal finding made by FSOs during the </w:t>
      </w:r>
      <w:r w:rsidR="0069601E">
        <w:rPr>
          <w:sz w:val="24"/>
          <w:szCs w:val="24"/>
          <w:lang w:val="en-US"/>
        </w:rPr>
        <w:t xml:space="preserve">Scheme </w:t>
      </w:r>
      <w:r w:rsidRPr="007B2D2F">
        <w:rPr>
          <w:sz w:val="24"/>
          <w:szCs w:val="24"/>
          <w:lang w:val="en-US"/>
        </w:rPr>
        <w:t>auditing process to identify where companies need to take further action. An FSO raises a CAR when they determine that a certain aspect of the system being audited does not conform to the OFSC audit criteria. This assessment is based on their review of documentary evidence and observation of onsite activities.</w:t>
      </w:r>
    </w:p>
    <w:p w14:paraId="69961399" w14:textId="77777777" w:rsidR="003B6523" w:rsidRDefault="003B6523" w:rsidP="003B6523">
      <w:pPr>
        <w:rPr>
          <w:lang w:val="en-US"/>
        </w:rPr>
      </w:pPr>
    </w:p>
    <w:p w14:paraId="3D7ACF17" w14:textId="77777777" w:rsidR="003B6523" w:rsidRDefault="003B6523" w:rsidP="003B6523">
      <w:pPr>
        <w:pStyle w:val="Heading2"/>
      </w:pPr>
      <w:bookmarkStart w:id="67" w:name="_Toc79423121"/>
      <w:bookmarkStart w:id="68" w:name="_Toc81812416"/>
      <w:bookmarkStart w:id="69" w:name="_Toc81917128"/>
      <w:bookmarkStart w:id="70" w:name="_Toc81917948"/>
      <w:r>
        <w:t>Incident Reports</w:t>
      </w:r>
      <w:bookmarkEnd w:id="67"/>
      <w:bookmarkEnd w:id="68"/>
      <w:bookmarkEnd w:id="69"/>
      <w:bookmarkEnd w:id="70"/>
    </w:p>
    <w:p w14:paraId="2B677E86" w14:textId="77777777" w:rsidR="003B6523" w:rsidRPr="00287BD7" w:rsidRDefault="003B6523" w:rsidP="00287BD7">
      <w:pPr>
        <w:pStyle w:val="ListParagraph"/>
        <w:numPr>
          <w:ilvl w:val="0"/>
          <w:numId w:val="11"/>
        </w:numPr>
        <w:rPr>
          <w:sz w:val="24"/>
          <w:szCs w:val="24"/>
        </w:rPr>
      </w:pPr>
      <w:r w:rsidRPr="00287BD7">
        <w:rPr>
          <w:bCs/>
          <w:sz w:val="24"/>
          <w:szCs w:val="24"/>
        </w:rPr>
        <w:t>Dangerous occurrence</w:t>
      </w:r>
      <w:r w:rsidRPr="00287BD7">
        <w:rPr>
          <w:sz w:val="24"/>
          <w:szCs w:val="24"/>
        </w:rPr>
        <w:t xml:space="preserve"> - An incident where no person is injured, but could have been injured, resulting in Serious Personal Injury, Incapacity or Death. Also commonly called a “near miss.”</w:t>
      </w:r>
    </w:p>
    <w:p w14:paraId="3C6D9400" w14:textId="77777777" w:rsidR="003B6523" w:rsidRPr="00287BD7" w:rsidRDefault="003B6523" w:rsidP="00287BD7">
      <w:pPr>
        <w:pStyle w:val="ListParagraph"/>
        <w:numPr>
          <w:ilvl w:val="0"/>
          <w:numId w:val="11"/>
        </w:numPr>
        <w:rPr>
          <w:sz w:val="24"/>
          <w:szCs w:val="24"/>
          <w:lang w:val="en"/>
        </w:rPr>
      </w:pPr>
      <w:bookmarkStart w:id="71" w:name="_Toc485810680"/>
      <w:bookmarkStart w:id="72" w:name="_Toc485813531"/>
      <w:bookmarkStart w:id="73" w:name="_Toc488673286"/>
      <w:r w:rsidRPr="00287BD7">
        <w:rPr>
          <w:sz w:val="24"/>
          <w:szCs w:val="24"/>
        </w:rPr>
        <w:t>MTI (Medically Treated Injury)</w:t>
      </w:r>
      <w:bookmarkEnd w:id="71"/>
      <w:bookmarkEnd w:id="72"/>
      <w:bookmarkEnd w:id="73"/>
      <w:r w:rsidRPr="00287BD7">
        <w:rPr>
          <w:sz w:val="24"/>
          <w:szCs w:val="24"/>
        </w:rPr>
        <w:t xml:space="preserve"> - </w:t>
      </w:r>
      <w:r w:rsidRPr="00287BD7">
        <w:rPr>
          <w:sz w:val="24"/>
          <w:szCs w:val="24"/>
          <w:lang w:val="en"/>
        </w:rPr>
        <w:t>An MTI is a work-related occurrence that results in treatment by, or under the order of, a qualified medical practitioner, or any injury that could be considered as being one that would normally be treated by a medical practitioner but does not result in the loss of a full day/shift.</w:t>
      </w:r>
    </w:p>
    <w:p w14:paraId="52D39C1D" w14:textId="77777777" w:rsidR="003B6523" w:rsidRPr="00287BD7" w:rsidRDefault="003B6523" w:rsidP="00287BD7">
      <w:pPr>
        <w:pStyle w:val="ListParagraph"/>
        <w:numPr>
          <w:ilvl w:val="0"/>
          <w:numId w:val="11"/>
        </w:numPr>
        <w:rPr>
          <w:sz w:val="24"/>
          <w:szCs w:val="24"/>
        </w:rPr>
      </w:pPr>
      <w:r w:rsidRPr="00287BD7">
        <w:rPr>
          <w:sz w:val="24"/>
          <w:szCs w:val="24"/>
        </w:rPr>
        <w:t>LTI (Lost Time Injury) - An LTI is a work-related occurrence that results in a permanent disability or injury resulting in time lost from work of one day/shift or more.</w:t>
      </w:r>
    </w:p>
    <w:p w14:paraId="1B18F5C1" w14:textId="77777777" w:rsidR="003B6523" w:rsidRPr="00287BD7" w:rsidRDefault="003B6523" w:rsidP="0027338C">
      <w:pPr>
        <w:pStyle w:val="ListParagraph"/>
        <w:numPr>
          <w:ilvl w:val="0"/>
          <w:numId w:val="11"/>
        </w:numPr>
        <w:rPr>
          <w:sz w:val="24"/>
          <w:szCs w:val="24"/>
          <w:lang w:val="en"/>
        </w:rPr>
      </w:pPr>
      <w:r w:rsidRPr="00287BD7">
        <w:rPr>
          <w:sz w:val="24"/>
          <w:szCs w:val="24"/>
        </w:rPr>
        <w:t xml:space="preserve">Fatality - </w:t>
      </w:r>
      <w:r w:rsidRPr="00287BD7">
        <w:rPr>
          <w:sz w:val="24"/>
          <w:szCs w:val="24"/>
          <w:lang w:val="en"/>
        </w:rPr>
        <w:t xml:space="preserve">A work-related occurrence that results directly or indirectly in the death of a person onsite (including deaths due to natural causes which occur on the project site). </w:t>
      </w:r>
    </w:p>
    <w:p w14:paraId="2798B233" w14:textId="77777777" w:rsidR="00C15309" w:rsidRPr="007B2D2F" w:rsidRDefault="00C15309" w:rsidP="00C15309">
      <w:pPr>
        <w:pBdr>
          <w:bottom w:val="single" w:sz="6" w:space="1" w:color="auto"/>
        </w:pBdr>
        <w:spacing w:after="240"/>
        <w:rPr>
          <w:sz w:val="24"/>
          <w:szCs w:val="24"/>
          <w:lang w:val="en"/>
        </w:rPr>
      </w:pPr>
    </w:p>
    <w:p w14:paraId="27F91423" w14:textId="77777777" w:rsidR="007B2D2F" w:rsidRPr="009D24E0" w:rsidRDefault="007B2D2F" w:rsidP="00C15309">
      <w:pPr>
        <w:spacing w:before="360"/>
        <w:rPr>
          <w:lang w:val="en-US"/>
        </w:rPr>
      </w:pPr>
      <w:r>
        <w:rPr>
          <w:lang w:val="en-US"/>
        </w:rPr>
        <w:t xml:space="preserve">For more information visit </w:t>
      </w:r>
      <w:hyperlink r:id="rId67" w:history="1">
        <w:r w:rsidR="00C15309" w:rsidRPr="00DB25B1">
          <w:rPr>
            <w:rStyle w:val="Hyperlink"/>
            <w:lang w:val="en-US"/>
          </w:rPr>
          <w:t>www.fsc.gov.au/hazard-2020</w:t>
        </w:r>
      </w:hyperlink>
      <w:r w:rsidR="00C15309">
        <w:rPr>
          <w:lang w:val="en-US"/>
        </w:rPr>
        <w:t xml:space="preserve"> or</w:t>
      </w:r>
      <w:r>
        <w:rPr>
          <w:lang w:val="en-US"/>
        </w:rPr>
        <w:t xml:space="preserve"> call</w:t>
      </w:r>
      <w:r w:rsidR="00C15309">
        <w:rPr>
          <w:lang w:val="en-US"/>
        </w:rPr>
        <w:t xml:space="preserve"> FSC Assist on</w:t>
      </w:r>
      <w:r>
        <w:rPr>
          <w:lang w:val="en-US"/>
        </w:rPr>
        <w:t xml:space="preserve"> </w:t>
      </w:r>
      <w:r w:rsidRPr="00C15309">
        <w:rPr>
          <w:lang w:val="en-US"/>
        </w:rPr>
        <w:t>1800 652 500</w:t>
      </w:r>
      <w:r>
        <w:rPr>
          <w:lang w:val="en-US"/>
        </w:rPr>
        <w:t xml:space="preserve"> </w:t>
      </w:r>
      <w:r w:rsidR="00C15309">
        <w:rPr>
          <w:lang w:val="en-US"/>
        </w:rPr>
        <w:t>/</w:t>
      </w:r>
      <w:r>
        <w:rPr>
          <w:lang w:val="en-US"/>
        </w:rPr>
        <w:t xml:space="preserve"> email </w:t>
      </w:r>
      <w:hyperlink r:id="rId68" w:history="1">
        <w:r w:rsidRPr="00DB25B1">
          <w:rPr>
            <w:rStyle w:val="Hyperlink"/>
            <w:lang w:val="en-US"/>
          </w:rPr>
          <w:t>ofsc@jobs.gov.au</w:t>
        </w:r>
      </w:hyperlink>
      <w:r>
        <w:rPr>
          <w:lang w:val="en-US"/>
        </w:rPr>
        <w:t xml:space="preserve"> </w:t>
      </w:r>
    </w:p>
    <w:sectPr w:rsidR="007B2D2F" w:rsidRPr="009D24E0" w:rsidSect="00B270DE">
      <w:type w:val="continuous"/>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5EE8BD" w14:textId="77777777" w:rsidR="00762C79" w:rsidRDefault="00762C79" w:rsidP="008B4EB6">
      <w:r>
        <w:separator/>
      </w:r>
    </w:p>
  </w:endnote>
  <w:endnote w:type="continuationSeparator" w:id="0">
    <w:p w14:paraId="38086DA1" w14:textId="77777777" w:rsidR="00762C79" w:rsidRDefault="00762C79" w:rsidP="008B4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950499"/>
      <w:docPartObj>
        <w:docPartGallery w:val="Page Numbers (Bottom of Page)"/>
        <w:docPartUnique/>
      </w:docPartObj>
    </w:sdtPr>
    <w:sdtEndPr>
      <w:rPr>
        <w:noProof/>
      </w:rPr>
    </w:sdtEndPr>
    <w:sdtContent>
      <w:p w14:paraId="7EC08EED" w14:textId="77777777" w:rsidR="00762C79" w:rsidRDefault="00762C7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38119C" w14:textId="77777777" w:rsidR="00762C79" w:rsidRDefault="00762C79">
    <w:pPr>
      <w:pStyle w:val="Footer"/>
    </w:pPr>
    <w:r>
      <w:rPr>
        <w:noProof/>
        <w:lang w:eastAsia="en-AU"/>
      </w:rPr>
      <w:drawing>
        <wp:anchor distT="0" distB="0" distL="114300" distR="114300" simplePos="0" relativeHeight="251659264" behindDoc="1" locked="0" layoutInCell="1" allowOverlap="1" wp14:anchorId="2BAC5AC2" wp14:editId="0E227DF3">
          <wp:simplePos x="0" y="0"/>
          <wp:positionH relativeFrom="page">
            <wp:align>right</wp:align>
          </wp:positionH>
          <wp:positionV relativeFrom="paragraph">
            <wp:posOffset>161529</wp:posOffset>
          </wp:positionV>
          <wp:extent cx="10711543" cy="445135"/>
          <wp:effectExtent l="0" t="0" r="0" b="0"/>
          <wp:wrapNone/>
          <wp:docPr id="12" name="Picture 12" descr="Decorative"/>
          <wp:cNvGraphicFramePr/>
          <a:graphic xmlns:a="http://schemas.openxmlformats.org/drawingml/2006/main">
            <a:graphicData uri="http://schemas.openxmlformats.org/drawingml/2006/picture">
              <pic:pic xmlns:pic="http://schemas.openxmlformats.org/drawingml/2006/picture">
                <pic:nvPicPr>
                  <pic:cNvPr id="5" name="Picture 5" descr="Decorative"/>
                  <pic:cNvPicPr/>
                </pic:nvPicPr>
                <pic:blipFill>
                  <a:blip r:embed="rId1">
                    <a:extLst>
                      <a:ext uri="{28A0092B-C50C-407E-A947-70E740481C1C}">
                        <a14:useLocalDpi xmlns:a14="http://schemas.microsoft.com/office/drawing/2010/main" val="0"/>
                      </a:ext>
                    </a:extLst>
                  </a:blip>
                  <a:stretch>
                    <a:fillRect/>
                  </a:stretch>
                </pic:blipFill>
                <pic:spPr>
                  <a:xfrm>
                    <a:off x="0" y="0"/>
                    <a:ext cx="10711543" cy="44513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9F0E3" w14:textId="77777777" w:rsidR="00762C79" w:rsidRDefault="00762C79" w:rsidP="006A09DC">
    <w:pPr>
      <w:pStyle w:val="Footer"/>
      <w:jc w:val="right"/>
    </w:pPr>
    <w:r>
      <w:t>4</w:t>
    </w:r>
  </w:p>
  <w:p w14:paraId="10FAF97A" w14:textId="7D4AD6B1" w:rsidR="00762C79" w:rsidRDefault="00762C79" w:rsidP="006A09DC">
    <w:pPr>
      <w:pStyle w:val="Footer"/>
      <w:jc w:val="right"/>
    </w:pPr>
    <w:r>
      <w:rPr>
        <w:noProof/>
        <w:lang w:eastAsia="en-AU"/>
      </w:rPr>
      <w:drawing>
        <wp:anchor distT="0" distB="0" distL="114300" distR="114300" simplePos="0" relativeHeight="251661312" behindDoc="1" locked="0" layoutInCell="1" allowOverlap="1" wp14:anchorId="5C4692F7" wp14:editId="1A80F6B5">
          <wp:simplePos x="0" y="0"/>
          <wp:positionH relativeFrom="page">
            <wp:align>right</wp:align>
          </wp:positionH>
          <wp:positionV relativeFrom="paragraph">
            <wp:posOffset>144145</wp:posOffset>
          </wp:positionV>
          <wp:extent cx="10687050" cy="457200"/>
          <wp:effectExtent l="0" t="0" r="0" b="0"/>
          <wp:wrapNone/>
          <wp:docPr id="28" name="Picture 28" descr="Decorative"/>
          <wp:cNvGraphicFramePr/>
          <a:graphic xmlns:a="http://schemas.openxmlformats.org/drawingml/2006/main">
            <a:graphicData uri="http://schemas.openxmlformats.org/drawingml/2006/picture">
              <pic:pic xmlns:pic="http://schemas.openxmlformats.org/drawingml/2006/picture">
                <pic:nvPicPr>
                  <pic:cNvPr id="5" name="Picture 5" descr="Decorative"/>
                  <pic:cNvPicPr/>
                </pic:nvPicPr>
                <pic:blipFill>
                  <a:blip r:embed="rId1">
                    <a:extLst>
                      <a:ext uri="{28A0092B-C50C-407E-A947-70E740481C1C}">
                        <a14:useLocalDpi xmlns:a14="http://schemas.microsoft.com/office/drawing/2010/main" val="0"/>
                      </a:ext>
                    </a:extLst>
                  </a:blip>
                  <a:stretch>
                    <a:fillRect/>
                  </a:stretch>
                </pic:blipFill>
                <pic:spPr>
                  <a:xfrm>
                    <a:off x="0" y="0"/>
                    <a:ext cx="10687050" cy="457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A0AAAE" w14:textId="77777777" w:rsidR="00762C79" w:rsidRDefault="00762C79" w:rsidP="008B4EB6">
      <w:r>
        <w:separator/>
      </w:r>
    </w:p>
  </w:footnote>
  <w:footnote w:type="continuationSeparator" w:id="0">
    <w:p w14:paraId="13EBEFB6" w14:textId="77777777" w:rsidR="00762C79" w:rsidRDefault="00762C79" w:rsidP="008B4E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5BA89" w14:textId="13FCE030" w:rsidR="00762C79" w:rsidRDefault="00762C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7A0B7" w14:textId="67314536" w:rsidR="00762C79" w:rsidRDefault="00762C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426E9" w14:textId="70E172C5" w:rsidR="00762C79" w:rsidRPr="00762C79" w:rsidRDefault="00762C79" w:rsidP="00C32A94">
    <w:pPr>
      <w:pStyle w:val="Header"/>
      <w:tabs>
        <w:tab w:val="left" w:pos="851"/>
      </w:tabs>
      <w:rPr>
        <w:rFonts w:ascii="Arial" w:hAnsi="Arial" w:cs="Arial"/>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148ED"/>
    <w:multiLevelType w:val="hybridMultilevel"/>
    <w:tmpl w:val="BC8E2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8B531E"/>
    <w:multiLevelType w:val="hybridMultilevel"/>
    <w:tmpl w:val="19E60108"/>
    <w:lvl w:ilvl="0" w:tplc="003EC9FA">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7F4133"/>
    <w:multiLevelType w:val="hybridMultilevel"/>
    <w:tmpl w:val="98E2AECA"/>
    <w:lvl w:ilvl="0" w:tplc="F758AB5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D70E6D"/>
    <w:multiLevelType w:val="hybridMultilevel"/>
    <w:tmpl w:val="56C06A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9A4A22"/>
    <w:multiLevelType w:val="hybridMultilevel"/>
    <w:tmpl w:val="7C8477AA"/>
    <w:lvl w:ilvl="0" w:tplc="C492C81C">
      <w:start w:val="1"/>
      <w:numFmt w:val="bullet"/>
      <w:lvlText w:val=""/>
      <w:lvlJc w:val="left"/>
      <w:pPr>
        <w:ind w:left="720" w:hanging="360"/>
      </w:pPr>
      <w:rPr>
        <w:rFonts w:ascii="Symbol" w:hAnsi="Symbol" w:hint="default"/>
        <w:sz w:val="22"/>
        <w:szCs w:val="22"/>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8B288F"/>
    <w:multiLevelType w:val="hybridMultilevel"/>
    <w:tmpl w:val="4764156C"/>
    <w:lvl w:ilvl="0" w:tplc="4D1210D2">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B162CE"/>
    <w:multiLevelType w:val="hybridMultilevel"/>
    <w:tmpl w:val="A1CC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DD05B5"/>
    <w:multiLevelType w:val="hybridMultilevel"/>
    <w:tmpl w:val="36026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CD00FE"/>
    <w:multiLevelType w:val="hybridMultilevel"/>
    <w:tmpl w:val="E4D67092"/>
    <w:lvl w:ilvl="0" w:tplc="01B4A960">
      <w:start w:val="1"/>
      <w:numFmt w:val="bullet"/>
      <w:lvlText w:val=""/>
      <w:lvlJc w:val="left"/>
      <w:pPr>
        <w:ind w:left="720" w:hanging="360"/>
      </w:pPr>
      <w:rPr>
        <w:rFonts w:ascii="Symbol" w:hAnsi="Symbol" w:hint="default"/>
        <w:sz w:val="24"/>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49590DAB"/>
    <w:multiLevelType w:val="hybridMultilevel"/>
    <w:tmpl w:val="F6BAEC26"/>
    <w:lvl w:ilvl="0" w:tplc="4E80D67C">
      <w:start w:val="29"/>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EC0DAC"/>
    <w:multiLevelType w:val="hybridMultilevel"/>
    <w:tmpl w:val="81867572"/>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08F42D2"/>
    <w:multiLevelType w:val="hybridMultilevel"/>
    <w:tmpl w:val="51688F40"/>
    <w:lvl w:ilvl="0" w:tplc="47F039A0">
      <w:start w:val="29"/>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9A9022C"/>
    <w:multiLevelType w:val="hybridMultilevel"/>
    <w:tmpl w:val="03F87AD6"/>
    <w:lvl w:ilvl="0" w:tplc="47F039A0">
      <w:start w:val="29"/>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290152"/>
    <w:multiLevelType w:val="hybridMultilevel"/>
    <w:tmpl w:val="7B3ADD9E"/>
    <w:lvl w:ilvl="0" w:tplc="33B0769A">
      <w:start w:val="29"/>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B67A0B"/>
    <w:multiLevelType w:val="hybridMultilevel"/>
    <w:tmpl w:val="3F9A602E"/>
    <w:lvl w:ilvl="0" w:tplc="0C09000F">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DB47034"/>
    <w:multiLevelType w:val="hybridMultilevel"/>
    <w:tmpl w:val="7C3A5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BD5F6B"/>
    <w:multiLevelType w:val="hybridMultilevel"/>
    <w:tmpl w:val="68D41D4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1DF5B73"/>
    <w:multiLevelType w:val="hybridMultilevel"/>
    <w:tmpl w:val="F8F2F2E0"/>
    <w:lvl w:ilvl="0" w:tplc="C29A205A">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15"/>
  </w:num>
  <w:num w:numId="4">
    <w:abstractNumId w:val="2"/>
  </w:num>
  <w:num w:numId="5">
    <w:abstractNumId w:val="0"/>
  </w:num>
  <w:num w:numId="6">
    <w:abstractNumId w:val="10"/>
  </w:num>
  <w:num w:numId="7">
    <w:abstractNumId w:val="14"/>
  </w:num>
  <w:num w:numId="8">
    <w:abstractNumId w:val="16"/>
  </w:num>
  <w:num w:numId="9">
    <w:abstractNumId w:val="5"/>
  </w:num>
  <w:num w:numId="10">
    <w:abstractNumId w:val="1"/>
  </w:num>
  <w:num w:numId="11">
    <w:abstractNumId w:val="7"/>
  </w:num>
  <w:num w:numId="12">
    <w:abstractNumId w:val="5"/>
  </w:num>
  <w:num w:numId="13">
    <w:abstractNumId w:val="9"/>
  </w:num>
  <w:num w:numId="14">
    <w:abstractNumId w:val="13"/>
  </w:num>
  <w:num w:numId="15">
    <w:abstractNumId w:val="12"/>
  </w:num>
  <w:num w:numId="16">
    <w:abstractNumId w:val="11"/>
  </w:num>
  <w:num w:numId="17">
    <w:abstractNumId w:val="6"/>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671"/>
    <w:rsid w:val="0000150A"/>
    <w:rsid w:val="00003AD5"/>
    <w:rsid w:val="00005306"/>
    <w:rsid w:val="00005B60"/>
    <w:rsid w:val="0000623F"/>
    <w:rsid w:val="00010D4D"/>
    <w:rsid w:val="00010F89"/>
    <w:rsid w:val="00021DDE"/>
    <w:rsid w:val="000262F2"/>
    <w:rsid w:val="00035E16"/>
    <w:rsid w:val="00043B86"/>
    <w:rsid w:val="00043D80"/>
    <w:rsid w:val="0005587D"/>
    <w:rsid w:val="000605F1"/>
    <w:rsid w:val="00061A32"/>
    <w:rsid w:val="00062B3B"/>
    <w:rsid w:val="00066CAB"/>
    <w:rsid w:val="00070FF5"/>
    <w:rsid w:val="000716BA"/>
    <w:rsid w:val="000744AD"/>
    <w:rsid w:val="00080AFE"/>
    <w:rsid w:val="00081162"/>
    <w:rsid w:val="00081A54"/>
    <w:rsid w:val="00081C9C"/>
    <w:rsid w:val="000836DC"/>
    <w:rsid w:val="0008410E"/>
    <w:rsid w:val="00094CD1"/>
    <w:rsid w:val="000A22DD"/>
    <w:rsid w:val="000A2D13"/>
    <w:rsid w:val="000B0A83"/>
    <w:rsid w:val="000B61C5"/>
    <w:rsid w:val="000C0DF6"/>
    <w:rsid w:val="000C178C"/>
    <w:rsid w:val="000D629F"/>
    <w:rsid w:val="000D68C4"/>
    <w:rsid w:val="000E461D"/>
    <w:rsid w:val="000E6953"/>
    <w:rsid w:val="000F03C9"/>
    <w:rsid w:val="0010082D"/>
    <w:rsid w:val="00111305"/>
    <w:rsid w:val="0011207A"/>
    <w:rsid w:val="00120124"/>
    <w:rsid w:val="001259D6"/>
    <w:rsid w:val="00132A20"/>
    <w:rsid w:val="0013333E"/>
    <w:rsid w:val="00133AC8"/>
    <w:rsid w:val="001377C4"/>
    <w:rsid w:val="00142FE9"/>
    <w:rsid w:val="001430B2"/>
    <w:rsid w:val="00144A45"/>
    <w:rsid w:val="00150B5C"/>
    <w:rsid w:val="00155E1D"/>
    <w:rsid w:val="00161508"/>
    <w:rsid w:val="00164C35"/>
    <w:rsid w:val="00167554"/>
    <w:rsid w:val="00171EB4"/>
    <w:rsid w:val="00172AC6"/>
    <w:rsid w:val="00176407"/>
    <w:rsid w:val="00177586"/>
    <w:rsid w:val="0018130C"/>
    <w:rsid w:val="00181F63"/>
    <w:rsid w:val="00181F66"/>
    <w:rsid w:val="00181F76"/>
    <w:rsid w:val="001839C9"/>
    <w:rsid w:val="00194841"/>
    <w:rsid w:val="00196C82"/>
    <w:rsid w:val="00196EB6"/>
    <w:rsid w:val="00197026"/>
    <w:rsid w:val="001A0965"/>
    <w:rsid w:val="001A5FE1"/>
    <w:rsid w:val="001A7A3A"/>
    <w:rsid w:val="001B0021"/>
    <w:rsid w:val="001B2FF8"/>
    <w:rsid w:val="001B5FC3"/>
    <w:rsid w:val="001B6CE0"/>
    <w:rsid w:val="001C462E"/>
    <w:rsid w:val="001D18B0"/>
    <w:rsid w:val="001D365A"/>
    <w:rsid w:val="001D4DF1"/>
    <w:rsid w:val="001E03AA"/>
    <w:rsid w:val="001E26A8"/>
    <w:rsid w:val="001E6C2B"/>
    <w:rsid w:val="00202116"/>
    <w:rsid w:val="002111CC"/>
    <w:rsid w:val="0021480B"/>
    <w:rsid w:val="00215E33"/>
    <w:rsid w:val="00216158"/>
    <w:rsid w:val="00216B0A"/>
    <w:rsid w:val="00217E25"/>
    <w:rsid w:val="002235CF"/>
    <w:rsid w:val="00230085"/>
    <w:rsid w:val="002302D4"/>
    <w:rsid w:val="00231FAF"/>
    <w:rsid w:val="00232AE4"/>
    <w:rsid w:val="00235335"/>
    <w:rsid w:val="00237607"/>
    <w:rsid w:val="00241100"/>
    <w:rsid w:val="002432C1"/>
    <w:rsid w:val="002509C3"/>
    <w:rsid w:val="00251A6D"/>
    <w:rsid w:val="00265DEE"/>
    <w:rsid w:val="00270474"/>
    <w:rsid w:val="0027338C"/>
    <w:rsid w:val="00275C17"/>
    <w:rsid w:val="00287BD7"/>
    <w:rsid w:val="0029104D"/>
    <w:rsid w:val="0029403F"/>
    <w:rsid w:val="00294448"/>
    <w:rsid w:val="0029787C"/>
    <w:rsid w:val="002A0728"/>
    <w:rsid w:val="002A5092"/>
    <w:rsid w:val="002A7F3D"/>
    <w:rsid w:val="002C068B"/>
    <w:rsid w:val="002C5BC1"/>
    <w:rsid w:val="002C6C93"/>
    <w:rsid w:val="002D21AB"/>
    <w:rsid w:val="002D3F23"/>
    <w:rsid w:val="002D6BA9"/>
    <w:rsid w:val="002E3877"/>
    <w:rsid w:val="002F7262"/>
    <w:rsid w:val="00303D88"/>
    <w:rsid w:val="00310519"/>
    <w:rsid w:val="003144D9"/>
    <w:rsid w:val="003166A7"/>
    <w:rsid w:val="00321CB3"/>
    <w:rsid w:val="003230B8"/>
    <w:rsid w:val="00324A54"/>
    <w:rsid w:val="00333EEB"/>
    <w:rsid w:val="003349A3"/>
    <w:rsid w:val="00346A4C"/>
    <w:rsid w:val="003508D0"/>
    <w:rsid w:val="00351ABA"/>
    <w:rsid w:val="003619F7"/>
    <w:rsid w:val="003625D3"/>
    <w:rsid w:val="00364A55"/>
    <w:rsid w:val="00365124"/>
    <w:rsid w:val="00367DAD"/>
    <w:rsid w:val="0038050A"/>
    <w:rsid w:val="00383F67"/>
    <w:rsid w:val="00385BFA"/>
    <w:rsid w:val="00396329"/>
    <w:rsid w:val="003A31B9"/>
    <w:rsid w:val="003A57E1"/>
    <w:rsid w:val="003B12EE"/>
    <w:rsid w:val="003B5D6A"/>
    <w:rsid w:val="003B6523"/>
    <w:rsid w:val="003B7D38"/>
    <w:rsid w:val="003C03ED"/>
    <w:rsid w:val="003C0520"/>
    <w:rsid w:val="003C1F9A"/>
    <w:rsid w:val="003C2297"/>
    <w:rsid w:val="003C3C66"/>
    <w:rsid w:val="003D41E6"/>
    <w:rsid w:val="003E3A6F"/>
    <w:rsid w:val="003E5D52"/>
    <w:rsid w:val="003F0363"/>
    <w:rsid w:val="003F0487"/>
    <w:rsid w:val="003F5EF6"/>
    <w:rsid w:val="003F7953"/>
    <w:rsid w:val="0040466C"/>
    <w:rsid w:val="004047AE"/>
    <w:rsid w:val="004112A0"/>
    <w:rsid w:val="00413A1E"/>
    <w:rsid w:val="00416054"/>
    <w:rsid w:val="00420204"/>
    <w:rsid w:val="00434F6F"/>
    <w:rsid w:val="00441307"/>
    <w:rsid w:val="00444B1F"/>
    <w:rsid w:val="004478AD"/>
    <w:rsid w:val="00450DA8"/>
    <w:rsid w:val="0045758E"/>
    <w:rsid w:val="0046215B"/>
    <w:rsid w:val="004631B0"/>
    <w:rsid w:val="00463924"/>
    <w:rsid w:val="0046400A"/>
    <w:rsid w:val="00467AD4"/>
    <w:rsid w:val="00473200"/>
    <w:rsid w:val="00476140"/>
    <w:rsid w:val="00486303"/>
    <w:rsid w:val="004874D5"/>
    <w:rsid w:val="004A144A"/>
    <w:rsid w:val="004A3FE0"/>
    <w:rsid w:val="004B0E67"/>
    <w:rsid w:val="004C1825"/>
    <w:rsid w:val="004D3306"/>
    <w:rsid w:val="004E1D3C"/>
    <w:rsid w:val="004E40FC"/>
    <w:rsid w:val="004E79E4"/>
    <w:rsid w:val="0050195D"/>
    <w:rsid w:val="00502840"/>
    <w:rsid w:val="005129B3"/>
    <w:rsid w:val="00515D24"/>
    <w:rsid w:val="00523047"/>
    <w:rsid w:val="0053101D"/>
    <w:rsid w:val="00532BE0"/>
    <w:rsid w:val="00532F8E"/>
    <w:rsid w:val="00550D82"/>
    <w:rsid w:val="00551442"/>
    <w:rsid w:val="0055321C"/>
    <w:rsid w:val="00553238"/>
    <w:rsid w:val="005543D4"/>
    <w:rsid w:val="005562C0"/>
    <w:rsid w:val="0056240C"/>
    <w:rsid w:val="005643CC"/>
    <w:rsid w:val="00566FAA"/>
    <w:rsid w:val="00587123"/>
    <w:rsid w:val="00587C0D"/>
    <w:rsid w:val="00593235"/>
    <w:rsid w:val="005A21F2"/>
    <w:rsid w:val="005A4726"/>
    <w:rsid w:val="005A5512"/>
    <w:rsid w:val="005A7B48"/>
    <w:rsid w:val="005B5A23"/>
    <w:rsid w:val="005B77CD"/>
    <w:rsid w:val="005C330B"/>
    <w:rsid w:val="005D11C2"/>
    <w:rsid w:val="005D42A9"/>
    <w:rsid w:val="005D4878"/>
    <w:rsid w:val="005D5EEC"/>
    <w:rsid w:val="005E0CF3"/>
    <w:rsid w:val="005F2105"/>
    <w:rsid w:val="005F406E"/>
    <w:rsid w:val="006055DD"/>
    <w:rsid w:val="006126B8"/>
    <w:rsid w:val="00612EDC"/>
    <w:rsid w:val="0061353C"/>
    <w:rsid w:val="00614D7E"/>
    <w:rsid w:val="00622552"/>
    <w:rsid w:val="0062789F"/>
    <w:rsid w:val="006328A1"/>
    <w:rsid w:val="006447A4"/>
    <w:rsid w:val="0064741B"/>
    <w:rsid w:val="00652B59"/>
    <w:rsid w:val="006537C8"/>
    <w:rsid w:val="00663863"/>
    <w:rsid w:val="006638E4"/>
    <w:rsid w:val="00664E1D"/>
    <w:rsid w:val="0066606A"/>
    <w:rsid w:val="006702C0"/>
    <w:rsid w:val="00671148"/>
    <w:rsid w:val="00671E16"/>
    <w:rsid w:val="006769A1"/>
    <w:rsid w:val="00680E4C"/>
    <w:rsid w:val="00681D2C"/>
    <w:rsid w:val="00685CBE"/>
    <w:rsid w:val="0068781D"/>
    <w:rsid w:val="006915D8"/>
    <w:rsid w:val="0069601E"/>
    <w:rsid w:val="00696E23"/>
    <w:rsid w:val="006A0639"/>
    <w:rsid w:val="006A09DC"/>
    <w:rsid w:val="006A65DF"/>
    <w:rsid w:val="006B3545"/>
    <w:rsid w:val="006B717E"/>
    <w:rsid w:val="006C2A5B"/>
    <w:rsid w:val="006C7AC4"/>
    <w:rsid w:val="006D3FD3"/>
    <w:rsid w:val="006D5601"/>
    <w:rsid w:val="006E13F4"/>
    <w:rsid w:val="006E29F8"/>
    <w:rsid w:val="006E3AC9"/>
    <w:rsid w:val="006E40B1"/>
    <w:rsid w:val="006F1522"/>
    <w:rsid w:val="006F1B21"/>
    <w:rsid w:val="006F5C67"/>
    <w:rsid w:val="006F7ACA"/>
    <w:rsid w:val="00704070"/>
    <w:rsid w:val="007050B7"/>
    <w:rsid w:val="00710EF2"/>
    <w:rsid w:val="00713490"/>
    <w:rsid w:val="00716BCA"/>
    <w:rsid w:val="00723486"/>
    <w:rsid w:val="007235F6"/>
    <w:rsid w:val="007303F6"/>
    <w:rsid w:val="0073266F"/>
    <w:rsid w:val="00737D38"/>
    <w:rsid w:val="0074376F"/>
    <w:rsid w:val="00743BF4"/>
    <w:rsid w:val="00743C92"/>
    <w:rsid w:val="00743D71"/>
    <w:rsid w:val="00745304"/>
    <w:rsid w:val="00751BF6"/>
    <w:rsid w:val="0075364D"/>
    <w:rsid w:val="00762B78"/>
    <w:rsid w:val="00762C79"/>
    <w:rsid w:val="00765A4D"/>
    <w:rsid w:val="00765F7B"/>
    <w:rsid w:val="00766A6D"/>
    <w:rsid w:val="00767A18"/>
    <w:rsid w:val="007738B2"/>
    <w:rsid w:val="007739CC"/>
    <w:rsid w:val="00775954"/>
    <w:rsid w:val="007762B0"/>
    <w:rsid w:val="007A1900"/>
    <w:rsid w:val="007A42C5"/>
    <w:rsid w:val="007B179A"/>
    <w:rsid w:val="007B2D2F"/>
    <w:rsid w:val="007B39A1"/>
    <w:rsid w:val="007B3EE9"/>
    <w:rsid w:val="007C18EF"/>
    <w:rsid w:val="007C2ABA"/>
    <w:rsid w:val="007C4146"/>
    <w:rsid w:val="007D208B"/>
    <w:rsid w:val="007D30AF"/>
    <w:rsid w:val="007E1DE3"/>
    <w:rsid w:val="007E2A61"/>
    <w:rsid w:val="007E513D"/>
    <w:rsid w:val="007F03A9"/>
    <w:rsid w:val="007F6F34"/>
    <w:rsid w:val="007F7731"/>
    <w:rsid w:val="008020A8"/>
    <w:rsid w:val="00804A00"/>
    <w:rsid w:val="008122C1"/>
    <w:rsid w:val="00820F09"/>
    <w:rsid w:val="008223EF"/>
    <w:rsid w:val="0083096E"/>
    <w:rsid w:val="00831D40"/>
    <w:rsid w:val="00832800"/>
    <w:rsid w:val="008329DE"/>
    <w:rsid w:val="0083500F"/>
    <w:rsid w:val="00836FEB"/>
    <w:rsid w:val="00843FFB"/>
    <w:rsid w:val="0084747E"/>
    <w:rsid w:val="008507CB"/>
    <w:rsid w:val="008609A7"/>
    <w:rsid w:val="00860ABF"/>
    <w:rsid w:val="0086781C"/>
    <w:rsid w:val="00882517"/>
    <w:rsid w:val="00890239"/>
    <w:rsid w:val="00894D8A"/>
    <w:rsid w:val="00897832"/>
    <w:rsid w:val="008A3AD6"/>
    <w:rsid w:val="008A672F"/>
    <w:rsid w:val="008B087D"/>
    <w:rsid w:val="008B4EB6"/>
    <w:rsid w:val="008C0826"/>
    <w:rsid w:val="008C3201"/>
    <w:rsid w:val="008C76E1"/>
    <w:rsid w:val="008C7749"/>
    <w:rsid w:val="008D2968"/>
    <w:rsid w:val="008D7B8C"/>
    <w:rsid w:val="008E3BF5"/>
    <w:rsid w:val="008E6671"/>
    <w:rsid w:val="009078DC"/>
    <w:rsid w:val="009145C3"/>
    <w:rsid w:val="00915A40"/>
    <w:rsid w:val="0092087A"/>
    <w:rsid w:val="00922D29"/>
    <w:rsid w:val="009327F1"/>
    <w:rsid w:val="00932C0B"/>
    <w:rsid w:val="009373FD"/>
    <w:rsid w:val="009456A9"/>
    <w:rsid w:val="00945CAF"/>
    <w:rsid w:val="009519AB"/>
    <w:rsid w:val="0095441A"/>
    <w:rsid w:val="00954A27"/>
    <w:rsid w:val="0096077B"/>
    <w:rsid w:val="00964873"/>
    <w:rsid w:val="009660A2"/>
    <w:rsid w:val="00967850"/>
    <w:rsid w:val="00967951"/>
    <w:rsid w:val="0097365F"/>
    <w:rsid w:val="009800E4"/>
    <w:rsid w:val="00980A2D"/>
    <w:rsid w:val="009842CC"/>
    <w:rsid w:val="00992B13"/>
    <w:rsid w:val="009A0BD1"/>
    <w:rsid w:val="009A21F0"/>
    <w:rsid w:val="009A4815"/>
    <w:rsid w:val="009A4829"/>
    <w:rsid w:val="009A5671"/>
    <w:rsid w:val="009A700A"/>
    <w:rsid w:val="009B12B2"/>
    <w:rsid w:val="009B7C34"/>
    <w:rsid w:val="009C0D71"/>
    <w:rsid w:val="009C4191"/>
    <w:rsid w:val="009C7275"/>
    <w:rsid w:val="009D206C"/>
    <w:rsid w:val="009D224D"/>
    <w:rsid w:val="009D24E0"/>
    <w:rsid w:val="009D2A77"/>
    <w:rsid w:val="009D2E1B"/>
    <w:rsid w:val="009D6377"/>
    <w:rsid w:val="009E4282"/>
    <w:rsid w:val="009F126D"/>
    <w:rsid w:val="009F44AE"/>
    <w:rsid w:val="009F46B7"/>
    <w:rsid w:val="00A15448"/>
    <w:rsid w:val="00A158A1"/>
    <w:rsid w:val="00A168EF"/>
    <w:rsid w:val="00A1720F"/>
    <w:rsid w:val="00A274C7"/>
    <w:rsid w:val="00A31247"/>
    <w:rsid w:val="00A356C9"/>
    <w:rsid w:val="00A414A9"/>
    <w:rsid w:val="00A42F35"/>
    <w:rsid w:val="00A4573A"/>
    <w:rsid w:val="00A47021"/>
    <w:rsid w:val="00A63631"/>
    <w:rsid w:val="00A63AE1"/>
    <w:rsid w:val="00A67522"/>
    <w:rsid w:val="00A71682"/>
    <w:rsid w:val="00A72FB3"/>
    <w:rsid w:val="00A828CE"/>
    <w:rsid w:val="00A86C89"/>
    <w:rsid w:val="00AA0578"/>
    <w:rsid w:val="00AA0D43"/>
    <w:rsid w:val="00AB0CC9"/>
    <w:rsid w:val="00AB102F"/>
    <w:rsid w:val="00AB1768"/>
    <w:rsid w:val="00AB1E76"/>
    <w:rsid w:val="00AB5AE7"/>
    <w:rsid w:val="00AC2F51"/>
    <w:rsid w:val="00AD5AD6"/>
    <w:rsid w:val="00AE18D1"/>
    <w:rsid w:val="00AE3BB1"/>
    <w:rsid w:val="00AE455B"/>
    <w:rsid w:val="00AE71D2"/>
    <w:rsid w:val="00AF4CB3"/>
    <w:rsid w:val="00AF569B"/>
    <w:rsid w:val="00AF69D4"/>
    <w:rsid w:val="00B0659A"/>
    <w:rsid w:val="00B13A4B"/>
    <w:rsid w:val="00B14D0E"/>
    <w:rsid w:val="00B209CB"/>
    <w:rsid w:val="00B21CBA"/>
    <w:rsid w:val="00B2317B"/>
    <w:rsid w:val="00B23ADC"/>
    <w:rsid w:val="00B270DE"/>
    <w:rsid w:val="00B36F88"/>
    <w:rsid w:val="00B42777"/>
    <w:rsid w:val="00B468C6"/>
    <w:rsid w:val="00B47193"/>
    <w:rsid w:val="00B5352A"/>
    <w:rsid w:val="00B5381A"/>
    <w:rsid w:val="00B6190F"/>
    <w:rsid w:val="00B65C0A"/>
    <w:rsid w:val="00B703B5"/>
    <w:rsid w:val="00B718A9"/>
    <w:rsid w:val="00B72A4A"/>
    <w:rsid w:val="00B72C77"/>
    <w:rsid w:val="00B7591E"/>
    <w:rsid w:val="00B80E40"/>
    <w:rsid w:val="00B91175"/>
    <w:rsid w:val="00B911B1"/>
    <w:rsid w:val="00B91702"/>
    <w:rsid w:val="00B927BB"/>
    <w:rsid w:val="00B94371"/>
    <w:rsid w:val="00B94764"/>
    <w:rsid w:val="00B9528E"/>
    <w:rsid w:val="00B95BB2"/>
    <w:rsid w:val="00B96B61"/>
    <w:rsid w:val="00BB03B5"/>
    <w:rsid w:val="00BC0BA4"/>
    <w:rsid w:val="00BC7ABD"/>
    <w:rsid w:val="00BD5A3A"/>
    <w:rsid w:val="00BE11A4"/>
    <w:rsid w:val="00BE192F"/>
    <w:rsid w:val="00BF298D"/>
    <w:rsid w:val="00BF4F0D"/>
    <w:rsid w:val="00C02F30"/>
    <w:rsid w:val="00C03935"/>
    <w:rsid w:val="00C1062D"/>
    <w:rsid w:val="00C137F0"/>
    <w:rsid w:val="00C15309"/>
    <w:rsid w:val="00C218D5"/>
    <w:rsid w:val="00C2388C"/>
    <w:rsid w:val="00C23FFF"/>
    <w:rsid w:val="00C24DC2"/>
    <w:rsid w:val="00C26FF5"/>
    <w:rsid w:val="00C32A94"/>
    <w:rsid w:val="00C37A38"/>
    <w:rsid w:val="00C64DBE"/>
    <w:rsid w:val="00C6642F"/>
    <w:rsid w:val="00C66B50"/>
    <w:rsid w:val="00C767D5"/>
    <w:rsid w:val="00C82BE8"/>
    <w:rsid w:val="00C842D0"/>
    <w:rsid w:val="00C9398B"/>
    <w:rsid w:val="00C94C93"/>
    <w:rsid w:val="00CA0A6F"/>
    <w:rsid w:val="00CA4BF6"/>
    <w:rsid w:val="00CA5AF6"/>
    <w:rsid w:val="00CB11F2"/>
    <w:rsid w:val="00CB19E9"/>
    <w:rsid w:val="00CB2330"/>
    <w:rsid w:val="00CB3DFC"/>
    <w:rsid w:val="00CB5DEC"/>
    <w:rsid w:val="00CC2287"/>
    <w:rsid w:val="00CD0D3D"/>
    <w:rsid w:val="00CD44E8"/>
    <w:rsid w:val="00CD48FA"/>
    <w:rsid w:val="00CD500C"/>
    <w:rsid w:val="00CD5267"/>
    <w:rsid w:val="00CD6402"/>
    <w:rsid w:val="00CE11C0"/>
    <w:rsid w:val="00CE32E0"/>
    <w:rsid w:val="00CE3B1B"/>
    <w:rsid w:val="00CE4026"/>
    <w:rsid w:val="00D00335"/>
    <w:rsid w:val="00D051BF"/>
    <w:rsid w:val="00D05714"/>
    <w:rsid w:val="00D132A1"/>
    <w:rsid w:val="00D1394B"/>
    <w:rsid w:val="00D30730"/>
    <w:rsid w:val="00D32399"/>
    <w:rsid w:val="00D3410F"/>
    <w:rsid w:val="00D367B4"/>
    <w:rsid w:val="00D4013E"/>
    <w:rsid w:val="00D41AC2"/>
    <w:rsid w:val="00D510E3"/>
    <w:rsid w:val="00D52498"/>
    <w:rsid w:val="00D54AB3"/>
    <w:rsid w:val="00D578E5"/>
    <w:rsid w:val="00D60CAF"/>
    <w:rsid w:val="00D62104"/>
    <w:rsid w:val="00D62167"/>
    <w:rsid w:val="00D62FF6"/>
    <w:rsid w:val="00D71C4E"/>
    <w:rsid w:val="00D80EA4"/>
    <w:rsid w:val="00D8419E"/>
    <w:rsid w:val="00D86344"/>
    <w:rsid w:val="00D955CF"/>
    <w:rsid w:val="00D95C0C"/>
    <w:rsid w:val="00D95F85"/>
    <w:rsid w:val="00D97A3F"/>
    <w:rsid w:val="00DA087F"/>
    <w:rsid w:val="00DA37AF"/>
    <w:rsid w:val="00DB2C49"/>
    <w:rsid w:val="00DB3E44"/>
    <w:rsid w:val="00DC27CF"/>
    <w:rsid w:val="00DC3473"/>
    <w:rsid w:val="00DC4E38"/>
    <w:rsid w:val="00DC55D9"/>
    <w:rsid w:val="00DD59C8"/>
    <w:rsid w:val="00DD6B9C"/>
    <w:rsid w:val="00DE0883"/>
    <w:rsid w:val="00DE0FA0"/>
    <w:rsid w:val="00DE7742"/>
    <w:rsid w:val="00DE7FF9"/>
    <w:rsid w:val="00DF1339"/>
    <w:rsid w:val="00DF7CA9"/>
    <w:rsid w:val="00DF7DA4"/>
    <w:rsid w:val="00E00B3E"/>
    <w:rsid w:val="00E019A4"/>
    <w:rsid w:val="00E03EBD"/>
    <w:rsid w:val="00E07AD3"/>
    <w:rsid w:val="00E140E3"/>
    <w:rsid w:val="00E153E7"/>
    <w:rsid w:val="00E1684E"/>
    <w:rsid w:val="00E42C59"/>
    <w:rsid w:val="00E459C0"/>
    <w:rsid w:val="00E50F64"/>
    <w:rsid w:val="00E57CD3"/>
    <w:rsid w:val="00E605E2"/>
    <w:rsid w:val="00E615EB"/>
    <w:rsid w:val="00E672CA"/>
    <w:rsid w:val="00E67524"/>
    <w:rsid w:val="00E707E9"/>
    <w:rsid w:val="00E70832"/>
    <w:rsid w:val="00E832BE"/>
    <w:rsid w:val="00E87D32"/>
    <w:rsid w:val="00E9251F"/>
    <w:rsid w:val="00E97188"/>
    <w:rsid w:val="00EA0379"/>
    <w:rsid w:val="00EA1197"/>
    <w:rsid w:val="00EA4AE3"/>
    <w:rsid w:val="00EA5ADA"/>
    <w:rsid w:val="00EB4C7C"/>
    <w:rsid w:val="00EB54EE"/>
    <w:rsid w:val="00EC1C7E"/>
    <w:rsid w:val="00EC495D"/>
    <w:rsid w:val="00ED26FA"/>
    <w:rsid w:val="00EE41F9"/>
    <w:rsid w:val="00EE6A31"/>
    <w:rsid w:val="00EF5DAB"/>
    <w:rsid w:val="00EF7867"/>
    <w:rsid w:val="00F06556"/>
    <w:rsid w:val="00F13756"/>
    <w:rsid w:val="00F14FE0"/>
    <w:rsid w:val="00F2036B"/>
    <w:rsid w:val="00F2277E"/>
    <w:rsid w:val="00F234AA"/>
    <w:rsid w:val="00F252E1"/>
    <w:rsid w:val="00F26962"/>
    <w:rsid w:val="00F3795B"/>
    <w:rsid w:val="00F42F23"/>
    <w:rsid w:val="00F43313"/>
    <w:rsid w:val="00F523C1"/>
    <w:rsid w:val="00F56536"/>
    <w:rsid w:val="00F5719E"/>
    <w:rsid w:val="00F63595"/>
    <w:rsid w:val="00F912B4"/>
    <w:rsid w:val="00F95DC5"/>
    <w:rsid w:val="00F96A77"/>
    <w:rsid w:val="00FA03D9"/>
    <w:rsid w:val="00FA1341"/>
    <w:rsid w:val="00FA1AC8"/>
    <w:rsid w:val="00FA47BF"/>
    <w:rsid w:val="00FB37DE"/>
    <w:rsid w:val="00FC0CC9"/>
    <w:rsid w:val="00FC40B3"/>
    <w:rsid w:val="00FC4899"/>
    <w:rsid w:val="00FC639C"/>
    <w:rsid w:val="00FC6955"/>
    <w:rsid w:val="00FD1D91"/>
    <w:rsid w:val="00FD7A97"/>
    <w:rsid w:val="00FE4145"/>
    <w:rsid w:val="00FE4171"/>
    <w:rsid w:val="00FE59AA"/>
    <w:rsid w:val="00FF3BF8"/>
    <w:rsid w:val="00FF49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42D4FD"/>
  <w15:chartTrackingRefBased/>
  <w15:docId w15:val="{E90FAE62-15E1-4ABC-9BB1-4F1E054E5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175"/>
  </w:style>
  <w:style w:type="paragraph" w:styleId="Heading1">
    <w:name w:val="heading 1"/>
    <w:basedOn w:val="Normal"/>
    <w:next w:val="Normal"/>
    <w:link w:val="Heading1Char"/>
    <w:uiPriority w:val="9"/>
    <w:qFormat/>
    <w:rsid w:val="009078DC"/>
    <w:pPr>
      <w:spacing w:after="240"/>
      <w:outlineLvl w:val="0"/>
    </w:pPr>
    <w:rPr>
      <w:b/>
      <w:bCs/>
      <w:sz w:val="36"/>
      <w:szCs w:val="36"/>
      <w:lang w:val="en-US"/>
    </w:rPr>
  </w:style>
  <w:style w:type="paragraph" w:styleId="Heading2">
    <w:name w:val="heading 2"/>
    <w:basedOn w:val="Normal"/>
    <w:next w:val="Normal"/>
    <w:link w:val="Heading2Char"/>
    <w:uiPriority w:val="9"/>
    <w:unhideWhenUsed/>
    <w:qFormat/>
    <w:rsid w:val="0055321C"/>
    <w:pPr>
      <w:keepNext/>
      <w:keepLines/>
      <w:spacing w:before="40"/>
      <w:outlineLvl w:val="1"/>
    </w:pPr>
    <w:rPr>
      <w:rFonts w:eastAsiaTheme="majorEastAsia" w:cstheme="majorBidi"/>
      <w:color w:val="000000" w:themeColor="text1"/>
      <w:sz w:val="28"/>
      <w:szCs w:val="28"/>
      <w:lang w:val="en-US"/>
    </w:rPr>
  </w:style>
  <w:style w:type="paragraph" w:styleId="Heading3">
    <w:name w:val="heading 3"/>
    <w:basedOn w:val="Normal"/>
    <w:next w:val="Normal"/>
    <w:link w:val="Heading3Char"/>
    <w:uiPriority w:val="9"/>
    <w:unhideWhenUsed/>
    <w:qFormat/>
    <w:rsid w:val="00D8419E"/>
    <w:pPr>
      <w:keepNext/>
      <w:keepLines/>
      <w:spacing w:before="40"/>
      <w:outlineLvl w:val="2"/>
    </w:pPr>
    <w:rPr>
      <w:rFonts w:eastAsiaTheme="majorEastAsia" w:cstheme="majorBidi"/>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45C3"/>
    <w:pPr>
      <w:ind w:left="720"/>
      <w:contextualSpacing/>
    </w:pPr>
  </w:style>
  <w:style w:type="paragraph" w:styleId="Header">
    <w:name w:val="header"/>
    <w:basedOn w:val="Normal"/>
    <w:link w:val="HeaderChar"/>
    <w:uiPriority w:val="99"/>
    <w:unhideWhenUsed/>
    <w:rsid w:val="008B4EB6"/>
    <w:pPr>
      <w:tabs>
        <w:tab w:val="center" w:pos="4513"/>
        <w:tab w:val="right" w:pos="9026"/>
      </w:tabs>
    </w:pPr>
  </w:style>
  <w:style w:type="character" w:customStyle="1" w:styleId="HeaderChar">
    <w:name w:val="Header Char"/>
    <w:basedOn w:val="DefaultParagraphFont"/>
    <w:link w:val="Header"/>
    <w:uiPriority w:val="99"/>
    <w:rsid w:val="008B4EB6"/>
  </w:style>
  <w:style w:type="paragraph" w:styleId="Footer">
    <w:name w:val="footer"/>
    <w:basedOn w:val="Normal"/>
    <w:link w:val="FooterChar"/>
    <w:uiPriority w:val="99"/>
    <w:unhideWhenUsed/>
    <w:rsid w:val="008B4EB6"/>
    <w:pPr>
      <w:tabs>
        <w:tab w:val="center" w:pos="4513"/>
        <w:tab w:val="right" w:pos="9026"/>
      </w:tabs>
    </w:pPr>
  </w:style>
  <w:style w:type="character" w:customStyle="1" w:styleId="FooterChar">
    <w:name w:val="Footer Char"/>
    <w:basedOn w:val="DefaultParagraphFont"/>
    <w:link w:val="Footer"/>
    <w:uiPriority w:val="99"/>
    <w:rsid w:val="008B4EB6"/>
  </w:style>
  <w:style w:type="character" w:customStyle="1" w:styleId="Heading1Char">
    <w:name w:val="Heading 1 Char"/>
    <w:basedOn w:val="DefaultParagraphFont"/>
    <w:link w:val="Heading1"/>
    <w:uiPriority w:val="9"/>
    <w:rsid w:val="009078DC"/>
    <w:rPr>
      <w:b/>
      <w:bCs/>
      <w:sz w:val="36"/>
      <w:szCs w:val="36"/>
      <w:lang w:val="en-US"/>
    </w:rPr>
  </w:style>
  <w:style w:type="paragraph" w:styleId="TOCHeading">
    <w:name w:val="TOC Heading"/>
    <w:basedOn w:val="Heading1"/>
    <w:next w:val="Normal"/>
    <w:uiPriority w:val="39"/>
    <w:unhideWhenUsed/>
    <w:qFormat/>
    <w:rsid w:val="008B4EB6"/>
    <w:pPr>
      <w:spacing w:line="259" w:lineRule="auto"/>
      <w:outlineLvl w:val="9"/>
    </w:pPr>
  </w:style>
  <w:style w:type="paragraph" w:styleId="TOC1">
    <w:name w:val="toc 1"/>
    <w:basedOn w:val="Normal"/>
    <w:next w:val="Normal"/>
    <w:autoRedefine/>
    <w:uiPriority w:val="39"/>
    <w:unhideWhenUsed/>
    <w:rsid w:val="00C9398B"/>
    <w:pPr>
      <w:tabs>
        <w:tab w:val="left" w:pos="10490"/>
      </w:tabs>
    </w:pPr>
  </w:style>
  <w:style w:type="character" w:styleId="Hyperlink">
    <w:name w:val="Hyperlink"/>
    <w:basedOn w:val="DefaultParagraphFont"/>
    <w:uiPriority w:val="99"/>
    <w:unhideWhenUsed/>
    <w:rsid w:val="006A65DF"/>
    <w:rPr>
      <w:color w:val="0000FF" w:themeColor="hyperlink"/>
      <w:u w:val="single"/>
    </w:rPr>
  </w:style>
  <w:style w:type="character" w:customStyle="1" w:styleId="Heading2Char">
    <w:name w:val="Heading 2 Char"/>
    <w:basedOn w:val="DefaultParagraphFont"/>
    <w:link w:val="Heading2"/>
    <w:uiPriority w:val="9"/>
    <w:rsid w:val="0055321C"/>
    <w:rPr>
      <w:rFonts w:eastAsiaTheme="majorEastAsia" w:cstheme="majorBidi"/>
      <w:color w:val="000000" w:themeColor="text1"/>
      <w:sz w:val="28"/>
      <w:szCs w:val="28"/>
      <w:lang w:val="en-US"/>
    </w:rPr>
  </w:style>
  <w:style w:type="character" w:customStyle="1" w:styleId="Heading3Char">
    <w:name w:val="Heading 3 Char"/>
    <w:basedOn w:val="DefaultParagraphFont"/>
    <w:link w:val="Heading3"/>
    <w:uiPriority w:val="9"/>
    <w:rsid w:val="00D8419E"/>
    <w:rPr>
      <w:rFonts w:eastAsiaTheme="majorEastAsia" w:cstheme="majorBidi"/>
      <w:b/>
      <w:bCs/>
      <w:color w:val="000000" w:themeColor="text1"/>
      <w:sz w:val="24"/>
      <w:szCs w:val="24"/>
    </w:rPr>
  </w:style>
  <w:style w:type="paragraph" w:styleId="TOC2">
    <w:name w:val="toc 2"/>
    <w:basedOn w:val="Normal"/>
    <w:next w:val="Normal"/>
    <w:autoRedefine/>
    <w:uiPriority w:val="39"/>
    <w:unhideWhenUsed/>
    <w:rsid w:val="00FC0CC9"/>
    <w:pPr>
      <w:spacing w:after="100"/>
      <w:ind w:left="220"/>
    </w:pPr>
  </w:style>
  <w:style w:type="paragraph" w:styleId="TOC3">
    <w:name w:val="toc 3"/>
    <w:basedOn w:val="Normal"/>
    <w:next w:val="Normal"/>
    <w:autoRedefine/>
    <w:uiPriority w:val="39"/>
    <w:unhideWhenUsed/>
    <w:rsid w:val="00FC0CC9"/>
    <w:pPr>
      <w:spacing w:after="100"/>
      <w:ind w:left="440"/>
    </w:pPr>
  </w:style>
  <w:style w:type="character" w:customStyle="1" w:styleId="UnresolvedMention1">
    <w:name w:val="Unresolved Mention1"/>
    <w:basedOn w:val="DefaultParagraphFont"/>
    <w:uiPriority w:val="99"/>
    <w:semiHidden/>
    <w:unhideWhenUsed/>
    <w:rsid w:val="000E461D"/>
    <w:rPr>
      <w:color w:val="605E5C"/>
      <w:shd w:val="clear" w:color="auto" w:fill="E1DFDD"/>
    </w:rPr>
  </w:style>
  <w:style w:type="character" w:styleId="CommentReference">
    <w:name w:val="annotation reference"/>
    <w:basedOn w:val="DefaultParagraphFont"/>
    <w:uiPriority w:val="99"/>
    <w:semiHidden/>
    <w:unhideWhenUsed/>
    <w:rsid w:val="00251A6D"/>
    <w:rPr>
      <w:sz w:val="16"/>
      <w:szCs w:val="16"/>
    </w:rPr>
  </w:style>
  <w:style w:type="paragraph" w:styleId="CommentText">
    <w:name w:val="annotation text"/>
    <w:basedOn w:val="Normal"/>
    <w:link w:val="CommentTextChar"/>
    <w:uiPriority w:val="99"/>
    <w:semiHidden/>
    <w:unhideWhenUsed/>
    <w:rsid w:val="00251A6D"/>
    <w:rPr>
      <w:sz w:val="20"/>
      <w:szCs w:val="20"/>
    </w:rPr>
  </w:style>
  <w:style w:type="character" w:customStyle="1" w:styleId="CommentTextChar">
    <w:name w:val="Comment Text Char"/>
    <w:basedOn w:val="DefaultParagraphFont"/>
    <w:link w:val="CommentText"/>
    <w:uiPriority w:val="99"/>
    <w:semiHidden/>
    <w:rsid w:val="00251A6D"/>
    <w:rPr>
      <w:sz w:val="20"/>
      <w:szCs w:val="20"/>
    </w:rPr>
  </w:style>
  <w:style w:type="paragraph" w:styleId="CommentSubject">
    <w:name w:val="annotation subject"/>
    <w:basedOn w:val="CommentText"/>
    <w:next w:val="CommentText"/>
    <w:link w:val="CommentSubjectChar"/>
    <w:uiPriority w:val="99"/>
    <w:semiHidden/>
    <w:unhideWhenUsed/>
    <w:rsid w:val="00251A6D"/>
    <w:rPr>
      <w:b/>
      <w:bCs/>
    </w:rPr>
  </w:style>
  <w:style w:type="character" w:customStyle="1" w:styleId="CommentSubjectChar">
    <w:name w:val="Comment Subject Char"/>
    <w:basedOn w:val="CommentTextChar"/>
    <w:link w:val="CommentSubject"/>
    <w:uiPriority w:val="99"/>
    <w:semiHidden/>
    <w:rsid w:val="00251A6D"/>
    <w:rPr>
      <w:b/>
      <w:bCs/>
      <w:sz w:val="20"/>
      <w:szCs w:val="20"/>
    </w:rPr>
  </w:style>
  <w:style w:type="paragraph" w:styleId="BalloonText">
    <w:name w:val="Balloon Text"/>
    <w:basedOn w:val="Normal"/>
    <w:link w:val="BalloonTextChar"/>
    <w:uiPriority w:val="99"/>
    <w:semiHidden/>
    <w:unhideWhenUsed/>
    <w:rsid w:val="00251A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A6D"/>
    <w:rPr>
      <w:rFonts w:ascii="Segoe UI" w:hAnsi="Segoe UI" w:cs="Segoe UI"/>
      <w:sz w:val="18"/>
      <w:szCs w:val="18"/>
    </w:rPr>
  </w:style>
  <w:style w:type="table" w:styleId="TableGrid">
    <w:name w:val="Table Grid"/>
    <w:basedOn w:val="TableNormal"/>
    <w:uiPriority w:val="39"/>
    <w:rsid w:val="00C23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D18B0"/>
    <w:pPr>
      <w:spacing w:after="150"/>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semiHidden/>
    <w:unhideWhenUsed/>
    <w:rsid w:val="00FD1D91"/>
    <w:rPr>
      <w:sz w:val="20"/>
      <w:szCs w:val="20"/>
    </w:rPr>
  </w:style>
  <w:style w:type="character" w:customStyle="1" w:styleId="FootnoteTextChar">
    <w:name w:val="Footnote Text Char"/>
    <w:basedOn w:val="DefaultParagraphFont"/>
    <w:link w:val="FootnoteText"/>
    <w:uiPriority w:val="99"/>
    <w:semiHidden/>
    <w:rsid w:val="00FD1D91"/>
    <w:rPr>
      <w:sz w:val="20"/>
      <w:szCs w:val="20"/>
    </w:rPr>
  </w:style>
  <w:style w:type="character" w:styleId="FootnoteReference">
    <w:name w:val="footnote reference"/>
    <w:basedOn w:val="DefaultParagraphFont"/>
    <w:uiPriority w:val="99"/>
    <w:semiHidden/>
    <w:unhideWhenUsed/>
    <w:rsid w:val="00FD1D91"/>
    <w:rPr>
      <w:vertAlign w:val="superscript"/>
    </w:rPr>
  </w:style>
  <w:style w:type="character" w:customStyle="1" w:styleId="UnresolvedMention2">
    <w:name w:val="Unresolved Mention2"/>
    <w:basedOn w:val="DefaultParagraphFont"/>
    <w:uiPriority w:val="99"/>
    <w:semiHidden/>
    <w:unhideWhenUsed/>
    <w:rsid w:val="00B72C77"/>
    <w:rPr>
      <w:color w:val="605E5C"/>
      <w:shd w:val="clear" w:color="auto" w:fill="E1DFDD"/>
    </w:rPr>
  </w:style>
  <w:style w:type="character" w:customStyle="1" w:styleId="UnresolvedMention3">
    <w:name w:val="Unresolved Mention3"/>
    <w:basedOn w:val="DefaultParagraphFont"/>
    <w:uiPriority w:val="99"/>
    <w:semiHidden/>
    <w:unhideWhenUsed/>
    <w:rsid w:val="007B2D2F"/>
    <w:rPr>
      <w:color w:val="605E5C"/>
      <w:shd w:val="clear" w:color="auto" w:fill="E1DFDD"/>
    </w:rPr>
  </w:style>
  <w:style w:type="paragraph" w:styleId="NoSpacing">
    <w:name w:val="No Spacing"/>
    <w:basedOn w:val="Normal"/>
    <w:link w:val="NoSpacingChar"/>
    <w:uiPriority w:val="1"/>
    <w:qFormat/>
    <w:rsid w:val="0083500F"/>
    <w:rPr>
      <w:rFonts w:eastAsiaTheme="minorEastAsia"/>
      <w:sz w:val="20"/>
    </w:rPr>
  </w:style>
  <w:style w:type="character" w:customStyle="1" w:styleId="NoSpacingChar">
    <w:name w:val="No Spacing Char"/>
    <w:basedOn w:val="DefaultParagraphFont"/>
    <w:link w:val="NoSpacing"/>
    <w:uiPriority w:val="1"/>
    <w:rsid w:val="0083500F"/>
    <w:rPr>
      <w:rFonts w:eastAsiaTheme="minorEastAsia"/>
      <w:sz w:val="20"/>
    </w:rPr>
  </w:style>
  <w:style w:type="character" w:customStyle="1" w:styleId="UnresolvedMention4">
    <w:name w:val="Unresolved Mention4"/>
    <w:basedOn w:val="DefaultParagraphFont"/>
    <w:uiPriority w:val="99"/>
    <w:semiHidden/>
    <w:unhideWhenUsed/>
    <w:rsid w:val="00333EEB"/>
    <w:rPr>
      <w:color w:val="605E5C"/>
      <w:shd w:val="clear" w:color="auto" w:fill="E1DFDD"/>
    </w:rPr>
  </w:style>
  <w:style w:type="character" w:customStyle="1" w:styleId="UnresolvedMention5">
    <w:name w:val="Unresolved Mention5"/>
    <w:basedOn w:val="DefaultParagraphFont"/>
    <w:uiPriority w:val="99"/>
    <w:semiHidden/>
    <w:unhideWhenUsed/>
    <w:rsid w:val="00B943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435963">
      <w:bodyDiv w:val="1"/>
      <w:marLeft w:val="0"/>
      <w:marRight w:val="0"/>
      <w:marTop w:val="0"/>
      <w:marBottom w:val="0"/>
      <w:divBdr>
        <w:top w:val="none" w:sz="0" w:space="0" w:color="auto"/>
        <w:left w:val="none" w:sz="0" w:space="0" w:color="auto"/>
        <w:bottom w:val="none" w:sz="0" w:space="0" w:color="auto"/>
        <w:right w:val="none" w:sz="0" w:space="0" w:color="auto"/>
      </w:divBdr>
    </w:div>
    <w:div w:id="300230056">
      <w:bodyDiv w:val="1"/>
      <w:marLeft w:val="0"/>
      <w:marRight w:val="0"/>
      <w:marTop w:val="0"/>
      <w:marBottom w:val="0"/>
      <w:divBdr>
        <w:top w:val="none" w:sz="0" w:space="0" w:color="auto"/>
        <w:left w:val="none" w:sz="0" w:space="0" w:color="auto"/>
        <w:bottom w:val="none" w:sz="0" w:space="0" w:color="auto"/>
        <w:right w:val="none" w:sz="0" w:space="0" w:color="auto"/>
      </w:divBdr>
    </w:div>
    <w:div w:id="460343440">
      <w:bodyDiv w:val="1"/>
      <w:marLeft w:val="0"/>
      <w:marRight w:val="0"/>
      <w:marTop w:val="0"/>
      <w:marBottom w:val="0"/>
      <w:divBdr>
        <w:top w:val="none" w:sz="0" w:space="0" w:color="auto"/>
        <w:left w:val="none" w:sz="0" w:space="0" w:color="auto"/>
        <w:bottom w:val="none" w:sz="0" w:space="0" w:color="auto"/>
        <w:right w:val="none" w:sz="0" w:space="0" w:color="auto"/>
      </w:divBdr>
    </w:div>
    <w:div w:id="559367807">
      <w:bodyDiv w:val="1"/>
      <w:marLeft w:val="0"/>
      <w:marRight w:val="0"/>
      <w:marTop w:val="0"/>
      <w:marBottom w:val="0"/>
      <w:divBdr>
        <w:top w:val="none" w:sz="0" w:space="0" w:color="auto"/>
        <w:left w:val="none" w:sz="0" w:space="0" w:color="auto"/>
        <w:bottom w:val="none" w:sz="0" w:space="0" w:color="auto"/>
        <w:right w:val="none" w:sz="0" w:space="0" w:color="auto"/>
      </w:divBdr>
    </w:div>
    <w:div w:id="953825934">
      <w:bodyDiv w:val="1"/>
      <w:marLeft w:val="0"/>
      <w:marRight w:val="0"/>
      <w:marTop w:val="0"/>
      <w:marBottom w:val="0"/>
      <w:divBdr>
        <w:top w:val="none" w:sz="0" w:space="0" w:color="auto"/>
        <w:left w:val="none" w:sz="0" w:space="0" w:color="auto"/>
        <w:bottom w:val="none" w:sz="0" w:space="0" w:color="auto"/>
        <w:right w:val="none" w:sz="0" w:space="0" w:color="auto"/>
      </w:divBdr>
    </w:div>
    <w:div w:id="1023672782">
      <w:bodyDiv w:val="1"/>
      <w:marLeft w:val="0"/>
      <w:marRight w:val="0"/>
      <w:marTop w:val="0"/>
      <w:marBottom w:val="0"/>
      <w:divBdr>
        <w:top w:val="none" w:sz="0" w:space="0" w:color="auto"/>
        <w:left w:val="none" w:sz="0" w:space="0" w:color="auto"/>
        <w:bottom w:val="none" w:sz="0" w:space="0" w:color="auto"/>
        <w:right w:val="none" w:sz="0" w:space="0" w:color="auto"/>
      </w:divBdr>
    </w:div>
    <w:div w:id="1219509694">
      <w:bodyDiv w:val="1"/>
      <w:marLeft w:val="0"/>
      <w:marRight w:val="0"/>
      <w:marTop w:val="0"/>
      <w:marBottom w:val="0"/>
      <w:divBdr>
        <w:top w:val="none" w:sz="0" w:space="0" w:color="auto"/>
        <w:left w:val="none" w:sz="0" w:space="0" w:color="auto"/>
        <w:bottom w:val="none" w:sz="0" w:space="0" w:color="auto"/>
        <w:right w:val="none" w:sz="0" w:space="0" w:color="auto"/>
      </w:divBdr>
    </w:div>
    <w:div w:id="1257329632">
      <w:bodyDiv w:val="1"/>
      <w:marLeft w:val="0"/>
      <w:marRight w:val="0"/>
      <w:marTop w:val="0"/>
      <w:marBottom w:val="0"/>
      <w:divBdr>
        <w:top w:val="none" w:sz="0" w:space="0" w:color="auto"/>
        <w:left w:val="none" w:sz="0" w:space="0" w:color="auto"/>
        <w:bottom w:val="none" w:sz="0" w:space="0" w:color="auto"/>
        <w:right w:val="none" w:sz="0" w:space="0" w:color="auto"/>
      </w:divBdr>
    </w:div>
    <w:div w:id="1441728898">
      <w:bodyDiv w:val="1"/>
      <w:marLeft w:val="0"/>
      <w:marRight w:val="0"/>
      <w:marTop w:val="0"/>
      <w:marBottom w:val="0"/>
      <w:divBdr>
        <w:top w:val="none" w:sz="0" w:space="0" w:color="auto"/>
        <w:left w:val="none" w:sz="0" w:space="0" w:color="auto"/>
        <w:bottom w:val="none" w:sz="0" w:space="0" w:color="auto"/>
        <w:right w:val="none" w:sz="0" w:space="0" w:color="auto"/>
      </w:divBdr>
    </w:div>
    <w:div w:id="1460683510">
      <w:bodyDiv w:val="1"/>
      <w:marLeft w:val="0"/>
      <w:marRight w:val="0"/>
      <w:marTop w:val="0"/>
      <w:marBottom w:val="0"/>
      <w:divBdr>
        <w:top w:val="none" w:sz="0" w:space="0" w:color="auto"/>
        <w:left w:val="none" w:sz="0" w:space="0" w:color="auto"/>
        <w:bottom w:val="none" w:sz="0" w:space="0" w:color="auto"/>
        <w:right w:val="none" w:sz="0" w:space="0" w:color="auto"/>
      </w:divBdr>
    </w:div>
    <w:div w:id="1741754648">
      <w:bodyDiv w:val="1"/>
      <w:marLeft w:val="0"/>
      <w:marRight w:val="0"/>
      <w:marTop w:val="0"/>
      <w:marBottom w:val="0"/>
      <w:divBdr>
        <w:top w:val="none" w:sz="0" w:space="0" w:color="auto"/>
        <w:left w:val="none" w:sz="0" w:space="0" w:color="auto"/>
        <w:bottom w:val="none" w:sz="0" w:space="0" w:color="auto"/>
        <w:right w:val="none" w:sz="0" w:space="0" w:color="auto"/>
      </w:divBdr>
    </w:div>
    <w:div w:id="1893032246">
      <w:bodyDiv w:val="1"/>
      <w:marLeft w:val="0"/>
      <w:marRight w:val="0"/>
      <w:marTop w:val="0"/>
      <w:marBottom w:val="0"/>
      <w:divBdr>
        <w:top w:val="none" w:sz="0" w:space="0" w:color="auto"/>
        <w:left w:val="none" w:sz="0" w:space="0" w:color="auto"/>
        <w:bottom w:val="none" w:sz="0" w:space="0" w:color="auto"/>
        <w:right w:val="none" w:sz="0" w:space="0" w:color="auto"/>
      </w:divBdr>
    </w:div>
    <w:div w:id="1946645630">
      <w:bodyDiv w:val="1"/>
      <w:marLeft w:val="0"/>
      <w:marRight w:val="0"/>
      <w:marTop w:val="0"/>
      <w:marBottom w:val="0"/>
      <w:divBdr>
        <w:top w:val="none" w:sz="0" w:space="0" w:color="auto"/>
        <w:left w:val="none" w:sz="0" w:space="0" w:color="auto"/>
        <w:bottom w:val="none" w:sz="0" w:space="0" w:color="auto"/>
        <w:right w:val="none" w:sz="0" w:space="0" w:color="auto"/>
      </w:divBdr>
    </w:div>
    <w:div w:id="1970277071">
      <w:bodyDiv w:val="1"/>
      <w:marLeft w:val="0"/>
      <w:marRight w:val="0"/>
      <w:marTop w:val="0"/>
      <w:marBottom w:val="0"/>
      <w:divBdr>
        <w:top w:val="none" w:sz="0" w:space="0" w:color="auto"/>
        <w:left w:val="none" w:sz="0" w:space="0" w:color="auto"/>
        <w:bottom w:val="none" w:sz="0" w:space="0" w:color="auto"/>
        <w:right w:val="none" w:sz="0" w:space="0" w:color="auto"/>
      </w:divBdr>
    </w:div>
    <w:div w:id="2028100045">
      <w:bodyDiv w:val="1"/>
      <w:marLeft w:val="0"/>
      <w:marRight w:val="0"/>
      <w:marTop w:val="0"/>
      <w:marBottom w:val="0"/>
      <w:divBdr>
        <w:top w:val="none" w:sz="0" w:space="0" w:color="auto"/>
        <w:left w:val="none" w:sz="0" w:space="0" w:color="auto"/>
        <w:bottom w:val="none" w:sz="0" w:space="0" w:color="auto"/>
        <w:right w:val="none" w:sz="0" w:space="0" w:color="auto"/>
      </w:divBdr>
    </w:div>
    <w:div w:id="2071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hyperlink" Target="http://www.fsc.gov.au" TargetMode="External"/><Relationship Id="rId42" Type="http://schemas.openxmlformats.org/officeDocument/2006/relationships/image" Target="media/image13.png"/><Relationship Id="rId47" Type="http://schemas.openxmlformats.org/officeDocument/2006/relationships/chart" Target="charts/chart14.xml"/><Relationship Id="rId63" Type="http://schemas.openxmlformats.org/officeDocument/2006/relationships/image" Target="media/image24.png"/><Relationship Id="rId68" Type="http://schemas.openxmlformats.org/officeDocument/2006/relationships/hyperlink" Target="mailto:ofsc@jobs.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7.xml"/><Relationship Id="rId11" Type="http://schemas.openxmlformats.org/officeDocument/2006/relationships/hyperlink" Target="file:///I:\OFSC\New%20folder\H2020%20-%20Midpoint%20Review%20-%2007-09-21%20-%20Copy.docx" TargetMode="External"/><Relationship Id="rId24" Type="http://schemas.openxmlformats.org/officeDocument/2006/relationships/chart" Target="charts/chart2.xm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5.png"/><Relationship Id="rId53" Type="http://schemas.openxmlformats.org/officeDocument/2006/relationships/chart" Target="charts/chart20.xml"/><Relationship Id="rId58" Type="http://schemas.openxmlformats.org/officeDocument/2006/relationships/image" Target="media/image20.png"/><Relationship Id="rId66" Type="http://schemas.openxmlformats.org/officeDocument/2006/relationships/hyperlink" Target="https://www.fsc.gov.au/hazard-2020" TargetMode="External"/><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header" Target="header3.xml"/><Relationship Id="rId14" Type="http://schemas.openxmlformats.org/officeDocument/2006/relationships/hyperlink" Target="file:///I:\OFSC\New%20folder\H2020%20-%20Midpoint%20Review%20-%2007-09-21%20-%20Copy.docx" TargetMode="External"/><Relationship Id="rId22" Type="http://schemas.openxmlformats.org/officeDocument/2006/relationships/hyperlink" Target="http://www.fsc.gov.au"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chart" Target="charts/chart15.xml"/><Relationship Id="rId56" Type="http://schemas.openxmlformats.org/officeDocument/2006/relationships/image" Target="media/image18.png"/><Relationship Id="rId64" Type="http://schemas.openxmlformats.org/officeDocument/2006/relationships/chart" Target="charts/chart22.xml"/><Relationship Id="rId69"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chart" Target="charts/chart18.xml"/><Relationship Id="rId3" Type="http://schemas.openxmlformats.org/officeDocument/2006/relationships/styles" Target="styles.xml"/><Relationship Id="rId12" Type="http://schemas.openxmlformats.org/officeDocument/2006/relationships/hyperlink" Target="file:///I:\OFSC\New%20folder\H2020%20-%20Midpoint%20Review%20-%2007-09-21%20-%20Copy.docx" TargetMode="External"/><Relationship Id="rId17" Type="http://schemas.openxmlformats.org/officeDocument/2006/relationships/header" Target="header2.xml"/><Relationship Id="rId25" Type="http://schemas.openxmlformats.org/officeDocument/2006/relationships/chart" Target="charts/chart3.xml"/><Relationship Id="rId33" Type="http://schemas.openxmlformats.org/officeDocument/2006/relationships/chart" Target="charts/chart10.xml"/><Relationship Id="rId38" Type="http://schemas.openxmlformats.org/officeDocument/2006/relationships/image" Target="media/image9.png"/><Relationship Id="rId46" Type="http://schemas.openxmlformats.org/officeDocument/2006/relationships/chart" Target="charts/chart13.xml"/><Relationship Id="rId59" Type="http://schemas.openxmlformats.org/officeDocument/2006/relationships/image" Target="media/image21.png"/><Relationship Id="rId67" Type="http://schemas.openxmlformats.org/officeDocument/2006/relationships/hyperlink" Target="http://www.fsc.gov.au/hazard-2020" TargetMode="External"/><Relationship Id="rId20" Type="http://schemas.openxmlformats.org/officeDocument/2006/relationships/footer" Target="footer2.xml"/><Relationship Id="rId41" Type="http://schemas.openxmlformats.org/officeDocument/2006/relationships/image" Target="media/image12.png"/><Relationship Id="rId54" Type="http://schemas.openxmlformats.org/officeDocument/2006/relationships/image" Target="media/image16.png"/><Relationship Id="rId62" Type="http://schemas.openxmlformats.org/officeDocument/2006/relationships/chart" Target="charts/chart21.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I:\OFSC\New%20folder\H2020%20-%20Midpoint%20Review%20-%2007-09-21%20-%20Copy.docx" TargetMode="Externa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7.png"/><Relationship Id="rId49" Type="http://schemas.openxmlformats.org/officeDocument/2006/relationships/chart" Target="charts/chart16.xml"/><Relationship Id="rId57" Type="http://schemas.openxmlformats.org/officeDocument/2006/relationships/image" Target="media/image19.png"/><Relationship Id="rId10" Type="http://schemas.openxmlformats.org/officeDocument/2006/relationships/image" Target="media/image3.jpg"/><Relationship Id="rId31" Type="http://schemas.openxmlformats.org/officeDocument/2006/relationships/chart" Target="charts/chart9.xml"/><Relationship Id="rId44" Type="http://schemas.openxmlformats.org/officeDocument/2006/relationships/chart" Target="charts/chart12.xml"/><Relationship Id="rId52" Type="http://schemas.openxmlformats.org/officeDocument/2006/relationships/chart" Target="charts/chart19.xml"/><Relationship Id="rId60" Type="http://schemas.openxmlformats.org/officeDocument/2006/relationships/image" Target="media/image22.png"/><Relationship Id="rId65" Type="http://schemas.openxmlformats.org/officeDocument/2006/relationships/hyperlink" Target="http://www.fsc.gov.a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file:///I:\OFSC\New%20folder\H2020%20-%20Midpoint%20Review%20-%2007-09-21%20-%20Copy.docx" TargetMode="External"/><Relationship Id="rId18" Type="http://schemas.openxmlformats.org/officeDocument/2006/relationships/footer" Target="footer1.xml"/><Relationship Id="rId39" Type="http://schemas.openxmlformats.org/officeDocument/2006/relationships/image" Target="media/image10.png"/><Relationship Id="rId34" Type="http://schemas.openxmlformats.org/officeDocument/2006/relationships/chart" Target="charts/chart11.xml"/><Relationship Id="rId50" Type="http://schemas.openxmlformats.org/officeDocument/2006/relationships/chart" Target="charts/chart17.xml"/><Relationship Id="rId55"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oleObject" Target="file:///\\ACCESS.application.enet\SPECIAL$\OFSC\ARCHIVED%20DRIVE\ISE\Education%20and%20Engagement\Hazard%202020\H2020%20-%20Data%20Reports\H2020%20-%20Midpoint%20Review\H2020%20-%20Midpoint%20Review%20data%20-%20BB%20updat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CCESS.application.enet\SPECIAL$\OFSC\ARCHIVED%20DRIVE\ISE\Education%20and%20Engagement\Hazard%202020\H2020%20-%20Data%20Reports\H2020%20-%20Midpoint%20Review\H2020%20-%20Analysis%20for%20CEO%20letter%20July%202021\Hazard2020%20CAR%20trend%20analysis%20by%20CAR%20typ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ACCESS.application.enet\SPECIAL$\OFSC\ARCHIVED%20DRIVE\ISE\Education%20and%20Engagement\Hazard%202020\H2020%20-%20Data%20Reports\H2020%20-%20Midpoint%20Review\H2020%20-%20Analysis%20for%20CEO%20letter%20July%202021\Hazard2020%20CAR%20trend%20analysis%20by%20CAR%20typ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ACCESS.application.enet\SPECIAL$\OFSC\ARCHIVED%20DRIVE\ISE\Education%20and%20Engagement\Hazard%202020\H2020%20-%20Data%20Reports\H2020%20-%20Midpoint%20Review\Hazard%202020%20-%20Data%20Wave%20Analysis%20-%20incidents%20working.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ACCESS.application.enet\SPECIAL$\OFSC\ARCHIVED%20DRIVE\ISE\Education%20and%20Engagement\Hazard%202020\H2020%20-%20Data%20Reports\H2020%20-%20Midpoint%20Review\H2020%20-%20Midpoint%20Review%20data%20-%20BB%20updat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ACCESS.application.enet\SPECIAL$\OFSC\ARCHIVED%20DRIVE\ISE\Education%20and%20Engagement\Hazard%202020\H2020%20-%20Data%20Reports\H2020%20-%20Midpoint%20Review\H2020%20-%20Midpoint%20Review%20data%20-%20BB%20updat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1" Type="http://schemas.openxmlformats.org/officeDocument/2006/relationships/oleObject" Target="file:///\\ACCESS.application.enet\SPECIAL$\OFSC\ARCHIVED%20DRIVE\ISE\Education%20and%20Engagement\Hazard%202020\H2020%20-%20Data%20Reports\H2020%20-%20Midpoint%20Review\H2020%20-%20Midpoint%20Review%20data%20-%20BB%20update.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ACCESS.application.enet\SPECIAL$\OFSC\ARCHIVED%20DRIVE\ISE\Education%20and%20Engagement\Hazard%202020\H2020%20-%20Data%20Reports\H2020%20-%20Midpoint%20Review\H2020%20-%20Analysis%20for%20CEO%20letter%20July%202021\Hazard2020%20CAR%20trend%20analysis%20by%20CAR%20type.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ACCESS.application.enet\SPECIAL$\OFSC\ARCHIVED%20DRIVE\ISE\Education%20and%20Engagement\Hazard%202020\H2020%20-%20Data%20Reports\H2020%20-%20Midpoint%20Review\H2020%20-%20Analysis%20for%20CEO%20letter%20July%202021\Hazard2020%20CAR%20trend%20analysis%20by%20CAR%20type.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ACCESS.application.enet\SPECIAL$\OFSC\ARCHIVED%20DRIVE\ISE\Education%20and%20Engagement\Hazard%202020\H2020%20-%20Data%20Reports\H2020%20-%20Midpoint%20Review\H2020%20-%20Analysis%20for%20CEO%20letter%20July%202021\Hazard2020%20CAR%20trend%20analysis%20by%20CAR%20type.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ACCESS.application.enet\SPECIAL$\OFSC\ARCHIVED%20DRIVE\ISE\Education%20and%20Engagement\Hazard%202020\H2020%20-%20Data%20Reports\H2020%20-%20Midpoint%20Review\H2020%20-%20Analysis%20for%20CEO%20letter%20July%202021\Hazard2020%20CAR%20trend%20analysis%20by%20CAR%20type.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ACCESS.application.enet\SPECIAL$\OFSC\ARCHIVED%20DRIVE\ISE\Education%20and%20Engagement\Hazard%202020\H2020%20-%20Data%20Reports\H2020%20-%20Midpoint%20Review\Hazard%202020%20-%20Data%20Wave%20Analysis%20-%20incidents%20working.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ACCESS.application.enet\SPECIAL$\OFSC\ARCHIVED%20DRIVE\ISE\Education%20and%20Engagement\Hazard%202020\H2020%20-%20Data%20Reports\H2020%20-%20Midpoint%20Review\H2020%20-%20Analysis%20for%20CEO%20letter%20July%202021\Hazard2020%20CAR%20trend%20analysis%20by%20CAR%20type.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ACCESS.application.enet\SPECIAL$\OFSC\ARCHIVED%20DRIVE\ISE\Education%20and%20Engagement\Hazard%202020\H2020%20-%20Data%20Reports\H2020%20-%20Midpoint%20Review\Hazard%202020%20-%20Data%20Wave%20Analysis%20-%20incidents%20working.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ACCESS.application.enet\SPECIAL$\OFSC\ARCHIVED%20DRIVE\ISE\Education%20and%20Engagement\Hazard%202020\H2020%20-%20Data%20Reports\H2020%20-%20Midpoint%20Review\H2020%20-%20Midpoint%20Review%20data%20-%20BB%20update.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ACCESS.application.enet\SPECIAL$\OFSC\ARCHIVED%20DRIVE\ISE\Education%20and%20Engagement\Hazard%202020\H2020%20-%20Data%20Reports\H2020%20-%20Midpoint%20Review\Incident%20review\Incidents%20during%20H2020%20period%20(to%20May%2031%202021)%20-%20Natalie%20Edi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CCESS.application.enet\SPECIAL$\OFSC\ARCHIVED%20DRIVE\ISE\Education%20and%20Engagement\Hazard%202020\H2020%20-%20Data%20Reports\H2020%20-%20Midpoint%20Review\Hazard%202020%20-%20Data%20Wave%20Analysis%20-%20incidents%20working.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CCESS.application.enet\SPECIAL$\OFSC\ARCHIVED%20DRIVE\ISE\Education%20and%20Engagement\Hazard%202020\H2020%20-%20Data%20Reports\H2020%20-%20Midpoint%20Review\H2020%20-%20Midpoint%20Review%20data%20-%20BB%20updat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CCESS.application.enet\SPECIAL$\OFSC\ARCHIVED%20DRIVE\ISE\Education%20and%20Engagement\Hazard%202020\H2020%20-%20Data%20Reports\H2020%20-%20Midpoint%20Review\H2020%20-%20Midpoint%20Review%20data%20-%20BB%20updat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CCESS.application.enet\SPECIAL$\OFSC\ARCHIVED%20DRIVE\ISE\Education%20and%20Engagement\Hazard%202020\H2020%20-%20Data%20Reports\H2020%20-%20Midpoint%20Review\H2020%20-%20Analysis%20for%20CEO%20letter%20July%202021\Hazard2020%20CAR%20trend%20analysis%20by%20CAR%20typ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CCESS.application.enet\SPECIAL$\OFSC\ARCHIVED%20DRIVE\ISE\Education%20and%20Engagement\Hazard%202020\H2020%20-%20Data%20Reports\H2020%20-%20Midpoint%20Review\H2020%20-%20Analysis%20for%20CEO%20letter%20July%202021\Hazard2020%20CAR%20trend%20analysis%20by%20CAR%20typ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CCESS.application.enet\SPECIAL$\OFSC\ARCHIVED%20DRIVE\ISE\Education%20and%20Engagement\Hazard%202020\H2020%20-%20Data%20Reports\H2020%20-%20Midpoint%20Review\H2020%20-%20Analysis%20for%20CEO%20letter%20July%202021\Hazard2020%20CAR%20trend%20analysis%20by%20CAR%20typ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solidFill>
                <a:latin typeface="+mn-lt"/>
                <a:ea typeface="+mn-ea"/>
                <a:cs typeface="+mn-cs"/>
              </a:defRPr>
            </a:pPr>
            <a:r>
              <a:rPr lang="en-AU" sz="1400"/>
              <a:t>Hazard 2020 Audits Completed</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'Audits over time'!$A$34</c:f>
              <c:strCache>
                <c:ptCount val="1"/>
                <c:pt idx="0">
                  <c:v>Mobile Plant</c:v>
                </c:pt>
              </c:strCache>
            </c:strRef>
          </c:tx>
          <c:spPr>
            <a:ln w="101600" cap="rnd">
              <a:solidFill>
                <a:schemeClr val="bg2">
                  <a:lumMod val="25000"/>
                </a:schemeClr>
              </a:solidFill>
              <a:round/>
            </a:ln>
            <a:effectLst/>
          </c:spPr>
          <c:marker>
            <c:symbol val="none"/>
          </c:marker>
          <c:cat>
            <c:strRef>
              <c:f>'Audits over time'!$B$33:$I$33</c:f>
              <c:strCache>
                <c:ptCount val="8"/>
                <c:pt idx="0">
                  <c:v>November</c:v>
                </c:pt>
                <c:pt idx="1">
                  <c:v>December</c:v>
                </c:pt>
                <c:pt idx="2">
                  <c:v>January</c:v>
                </c:pt>
                <c:pt idx="3">
                  <c:v>February</c:v>
                </c:pt>
                <c:pt idx="4">
                  <c:v>March</c:v>
                </c:pt>
                <c:pt idx="5">
                  <c:v>April</c:v>
                </c:pt>
                <c:pt idx="6">
                  <c:v>May</c:v>
                </c:pt>
                <c:pt idx="7">
                  <c:v>June</c:v>
                </c:pt>
              </c:strCache>
            </c:strRef>
          </c:cat>
          <c:val>
            <c:numRef>
              <c:f>'Audits over time'!$B$34:$I$34</c:f>
              <c:numCache>
                <c:formatCode>General</c:formatCode>
                <c:ptCount val="8"/>
                <c:pt idx="0">
                  <c:v>6</c:v>
                </c:pt>
                <c:pt idx="1">
                  <c:v>18</c:v>
                </c:pt>
                <c:pt idx="2">
                  <c:v>35</c:v>
                </c:pt>
                <c:pt idx="3">
                  <c:v>56</c:v>
                </c:pt>
                <c:pt idx="4">
                  <c:v>76</c:v>
                </c:pt>
                <c:pt idx="5">
                  <c:v>103</c:v>
                </c:pt>
                <c:pt idx="6">
                  <c:v>142</c:v>
                </c:pt>
                <c:pt idx="7">
                  <c:v>169</c:v>
                </c:pt>
              </c:numCache>
            </c:numRef>
          </c:val>
          <c:smooth val="0"/>
          <c:extLst>
            <c:ext xmlns:c16="http://schemas.microsoft.com/office/drawing/2014/chart" uri="{C3380CC4-5D6E-409C-BE32-E72D297353CC}">
              <c16:uniqueId val="{00000000-6418-49DE-A867-E532508D2B9A}"/>
            </c:ext>
          </c:extLst>
        </c:ser>
        <c:ser>
          <c:idx val="1"/>
          <c:order val="1"/>
          <c:tx>
            <c:strRef>
              <c:f>'Audits over time'!$A$35</c:f>
              <c:strCache>
                <c:ptCount val="1"/>
                <c:pt idx="0">
                  <c:v>Scaffolding</c:v>
                </c:pt>
              </c:strCache>
            </c:strRef>
          </c:tx>
          <c:spPr>
            <a:ln w="101600" cap="rnd">
              <a:solidFill>
                <a:schemeClr val="bg2">
                  <a:lumMod val="50000"/>
                </a:schemeClr>
              </a:solidFill>
              <a:round/>
            </a:ln>
            <a:effectLst/>
          </c:spPr>
          <c:marker>
            <c:symbol val="none"/>
          </c:marker>
          <c:cat>
            <c:strRef>
              <c:f>'Audits over time'!$B$33:$I$33</c:f>
              <c:strCache>
                <c:ptCount val="8"/>
                <c:pt idx="0">
                  <c:v>November</c:v>
                </c:pt>
                <c:pt idx="1">
                  <c:v>December</c:v>
                </c:pt>
                <c:pt idx="2">
                  <c:v>January</c:v>
                </c:pt>
                <c:pt idx="3">
                  <c:v>February</c:v>
                </c:pt>
                <c:pt idx="4">
                  <c:v>March</c:v>
                </c:pt>
                <c:pt idx="5">
                  <c:v>April</c:v>
                </c:pt>
                <c:pt idx="6">
                  <c:v>May</c:v>
                </c:pt>
                <c:pt idx="7">
                  <c:v>June</c:v>
                </c:pt>
              </c:strCache>
            </c:strRef>
          </c:cat>
          <c:val>
            <c:numRef>
              <c:f>'Audits over time'!$B$35:$I$35</c:f>
              <c:numCache>
                <c:formatCode>General</c:formatCode>
                <c:ptCount val="8"/>
                <c:pt idx="0">
                  <c:v>1</c:v>
                </c:pt>
                <c:pt idx="1">
                  <c:v>2</c:v>
                </c:pt>
                <c:pt idx="2">
                  <c:v>7</c:v>
                </c:pt>
                <c:pt idx="3">
                  <c:v>16</c:v>
                </c:pt>
                <c:pt idx="4">
                  <c:v>23</c:v>
                </c:pt>
                <c:pt idx="5">
                  <c:v>33</c:v>
                </c:pt>
                <c:pt idx="6">
                  <c:v>58</c:v>
                </c:pt>
                <c:pt idx="7">
                  <c:v>61</c:v>
                </c:pt>
              </c:numCache>
            </c:numRef>
          </c:val>
          <c:smooth val="0"/>
          <c:extLst>
            <c:ext xmlns:c16="http://schemas.microsoft.com/office/drawing/2014/chart" uri="{C3380CC4-5D6E-409C-BE32-E72D297353CC}">
              <c16:uniqueId val="{00000001-6418-49DE-A867-E532508D2B9A}"/>
            </c:ext>
          </c:extLst>
        </c:ser>
        <c:ser>
          <c:idx val="2"/>
          <c:order val="2"/>
          <c:tx>
            <c:strRef>
              <c:f>'Audits over time'!$A$36</c:f>
              <c:strCache>
                <c:ptCount val="1"/>
                <c:pt idx="0">
                  <c:v>Total</c:v>
                </c:pt>
              </c:strCache>
            </c:strRef>
          </c:tx>
          <c:spPr>
            <a:ln w="101600" cap="rnd">
              <a:solidFill>
                <a:srgbClr val="C00000"/>
              </a:solidFill>
              <a:round/>
            </a:ln>
            <a:effectLst/>
          </c:spPr>
          <c:marker>
            <c:symbol val="none"/>
          </c:marker>
          <c:cat>
            <c:strRef>
              <c:f>'Audits over time'!$B$33:$I$33</c:f>
              <c:strCache>
                <c:ptCount val="8"/>
                <c:pt idx="0">
                  <c:v>November</c:v>
                </c:pt>
                <c:pt idx="1">
                  <c:v>December</c:v>
                </c:pt>
                <c:pt idx="2">
                  <c:v>January</c:v>
                </c:pt>
                <c:pt idx="3">
                  <c:v>February</c:v>
                </c:pt>
                <c:pt idx="4">
                  <c:v>March</c:v>
                </c:pt>
                <c:pt idx="5">
                  <c:v>April</c:v>
                </c:pt>
                <c:pt idx="6">
                  <c:v>May</c:v>
                </c:pt>
                <c:pt idx="7">
                  <c:v>June</c:v>
                </c:pt>
              </c:strCache>
            </c:strRef>
          </c:cat>
          <c:val>
            <c:numRef>
              <c:f>'Audits over time'!$B$36:$I$36</c:f>
              <c:numCache>
                <c:formatCode>General</c:formatCode>
                <c:ptCount val="8"/>
                <c:pt idx="0">
                  <c:v>6</c:v>
                </c:pt>
                <c:pt idx="1">
                  <c:v>18</c:v>
                </c:pt>
                <c:pt idx="2">
                  <c:v>39</c:v>
                </c:pt>
                <c:pt idx="3">
                  <c:v>64</c:v>
                </c:pt>
                <c:pt idx="4">
                  <c:v>85</c:v>
                </c:pt>
                <c:pt idx="5">
                  <c:v>113</c:v>
                </c:pt>
                <c:pt idx="6">
                  <c:v>154</c:v>
                </c:pt>
                <c:pt idx="7">
                  <c:v>183</c:v>
                </c:pt>
              </c:numCache>
            </c:numRef>
          </c:val>
          <c:smooth val="0"/>
          <c:extLst>
            <c:ext xmlns:c16="http://schemas.microsoft.com/office/drawing/2014/chart" uri="{C3380CC4-5D6E-409C-BE32-E72D297353CC}">
              <c16:uniqueId val="{00000002-6418-49DE-A867-E532508D2B9A}"/>
            </c:ext>
          </c:extLst>
        </c:ser>
        <c:dLbls>
          <c:showLegendKey val="0"/>
          <c:showVal val="0"/>
          <c:showCatName val="0"/>
          <c:showSerName val="0"/>
          <c:showPercent val="0"/>
          <c:showBubbleSize val="0"/>
        </c:dLbls>
        <c:smooth val="0"/>
        <c:axId val="827764792"/>
        <c:axId val="827769888"/>
      </c:lineChart>
      <c:catAx>
        <c:axId val="827764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827769888"/>
        <c:crosses val="autoZero"/>
        <c:auto val="1"/>
        <c:lblAlgn val="ctr"/>
        <c:lblOffset val="100"/>
        <c:noMultiLvlLbl val="0"/>
      </c:catAx>
      <c:valAx>
        <c:axId val="82776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827764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b="1">
          <a:solidFill>
            <a:schemeClr val="tx1"/>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a:t>H16.9</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Work!$B$30</c:f>
              <c:strCache>
                <c:ptCount val="1"/>
                <c:pt idx="0">
                  <c:v>H16.9 Minor</c:v>
                </c:pt>
              </c:strCache>
            </c:strRef>
          </c:tx>
          <c:spPr>
            <a:solidFill>
              <a:schemeClr val="bg2">
                <a:lumMod val="50000"/>
              </a:schemeClr>
            </a:solidFill>
            <a:ln>
              <a:noFill/>
            </a:ln>
            <a:effectLst/>
          </c:spPr>
          <c:invertIfNegative val="0"/>
          <c:cat>
            <c:strRef>
              <c:f>Work!$C$29:$F$29</c:f>
              <c:strCache>
                <c:ptCount val="4"/>
                <c:pt idx="0">
                  <c:v>2017</c:v>
                </c:pt>
                <c:pt idx="1">
                  <c:v>2018</c:v>
                </c:pt>
                <c:pt idx="2">
                  <c:v>2019</c:v>
                </c:pt>
                <c:pt idx="3">
                  <c:v>H2020</c:v>
                </c:pt>
              </c:strCache>
            </c:strRef>
          </c:cat>
          <c:val>
            <c:numRef>
              <c:f>Work!$C$30:$F$30</c:f>
              <c:numCache>
                <c:formatCode>0.0%</c:formatCode>
                <c:ptCount val="4"/>
                <c:pt idx="0">
                  <c:v>0.28499999999999998</c:v>
                </c:pt>
                <c:pt idx="1">
                  <c:v>0.28799999999999998</c:v>
                </c:pt>
                <c:pt idx="2">
                  <c:v>0.30399999999999999</c:v>
                </c:pt>
                <c:pt idx="3">
                  <c:v>0.26</c:v>
                </c:pt>
              </c:numCache>
            </c:numRef>
          </c:val>
          <c:extLst>
            <c:ext xmlns:c16="http://schemas.microsoft.com/office/drawing/2014/chart" uri="{C3380CC4-5D6E-409C-BE32-E72D297353CC}">
              <c16:uniqueId val="{00000000-530D-41FB-BD66-EF635745512A}"/>
            </c:ext>
          </c:extLst>
        </c:ser>
        <c:ser>
          <c:idx val="1"/>
          <c:order val="1"/>
          <c:tx>
            <c:strRef>
              <c:f>Work!$B$31</c:f>
              <c:strCache>
                <c:ptCount val="1"/>
                <c:pt idx="0">
                  <c:v>H16.9 Major</c:v>
                </c:pt>
              </c:strCache>
            </c:strRef>
          </c:tx>
          <c:spPr>
            <a:solidFill>
              <a:srgbClr val="C00000"/>
            </a:solidFill>
            <a:ln>
              <a:noFill/>
            </a:ln>
            <a:effectLst/>
          </c:spPr>
          <c:invertIfNegative val="0"/>
          <c:cat>
            <c:strRef>
              <c:f>Work!$C$29:$F$29</c:f>
              <c:strCache>
                <c:ptCount val="4"/>
                <c:pt idx="0">
                  <c:v>2017</c:v>
                </c:pt>
                <c:pt idx="1">
                  <c:v>2018</c:v>
                </c:pt>
                <c:pt idx="2">
                  <c:v>2019</c:v>
                </c:pt>
                <c:pt idx="3">
                  <c:v>H2020</c:v>
                </c:pt>
              </c:strCache>
            </c:strRef>
          </c:cat>
          <c:val>
            <c:numRef>
              <c:f>Work!$C$31:$F$31</c:f>
              <c:numCache>
                <c:formatCode>0.0%</c:formatCode>
                <c:ptCount val="4"/>
                <c:pt idx="0">
                  <c:v>0.12149532710280374</c:v>
                </c:pt>
                <c:pt idx="1">
                  <c:v>0.111</c:v>
                </c:pt>
                <c:pt idx="2">
                  <c:v>5.2999999999999999E-2</c:v>
                </c:pt>
                <c:pt idx="3">
                  <c:v>8.3000000000000004E-2</c:v>
                </c:pt>
              </c:numCache>
            </c:numRef>
          </c:val>
          <c:extLst>
            <c:ext xmlns:c16="http://schemas.microsoft.com/office/drawing/2014/chart" uri="{C3380CC4-5D6E-409C-BE32-E72D297353CC}">
              <c16:uniqueId val="{00000001-530D-41FB-BD66-EF635745512A}"/>
            </c:ext>
          </c:extLst>
        </c:ser>
        <c:dLbls>
          <c:showLegendKey val="0"/>
          <c:showVal val="0"/>
          <c:showCatName val="0"/>
          <c:showSerName val="0"/>
          <c:showPercent val="0"/>
          <c:showBubbleSize val="0"/>
        </c:dLbls>
        <c:gapWidth val="50"/>
        <c:overlap val="100"/>
        <c:axId val="944570032"/>
        <c:axId val="944574736"/>
      </c:barChart>
      <c:catAx>
        <c:axId val="94457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44574736"/>
        <c:crosses val="autoZero"/>
        <c:auto val="1"/>
        <c:lblAlgn val="ctr"/>
        <c:lblOffset val="100"/>
        <c:noMultiLvlLbl val="0"/>
      </c:catAx>
      <c:valAx>
        <c:axId val="944574736"/>
        <c:scaling>
          <c:orientation val="minMax"/>
          <c:max val="0.60000000000000009"/>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9445700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a:t>H16.10</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Work!$B$34</c:f>
              <c:strCache>
                <c:ptCount val="1"/>
                <c:pt idx="0">
                  <c:v>H16.10 Minor</c:v>
                </c:pt>
              </c:strCache>
            </c:strRef>
          </c:tx>
          <c:spPr>
            <a:solidFill>
              <a:schemeClr val="bg2">
                <a:lumMod val="50000"/>
              </a:schemeClr>
            </a:solidFill>
            <a:ln>
              <a:noFill/>
            </a:ln>
            <a:effectLst/>
          </c:spPr>
          <c:invertIfNegative val="0"/>
          <c:cat>
            <c:strRef>
              <c:f>Work!$C$33:$F$33</c:f>
              <c:strCache>
                <c:ptCount val="4"/>
                <c:pt idx="0">
                  <c:v>2017</c:v>
                </c:pt>
                <c:pt idx="1">
                  <c:v>2018</c:v>
                </c:pt>
                <c:pt idx="2">
                  <c:v>2019</c:v>
                </c:pt>
                <c:pt idx="3">
                  <c:v>H2020</c:v>
                </c:pt>
              </c:strCache>
            </c:strRef>
          </c:cat>
          <c:val>
            <c:numRef>
              <c:f>Work!$C$34:$F$34</c:f>
              <c:numCache>
                <c:formatCode>0.0%</c:formatCode>
                <c:ptCount val="4"/>
                <c:pt idx="0">
                  <c:v>0.14000000000000001</c:v>
                </c:pt>
                <c:pt idx="1">
                  <c:v>0.15</c:v>
                </c:pt>
                <c:pt idx="2">
                  <c:v>0.20599999999999999</c:v>
                </c:pt>
                <c:pt idx="3">
                  <c:v>0.20100000000000001</c:v>
                </c:pt>
              </c:numCache>
            </c:numRef>
          </c:val>
          <c:extLst>
            <c:ext xmlns:c16="http://schemas.microsoft.com/office/drawing/2014/chart" uri="{C3380CC4-5D6E-409C-BE32-E72D297353CC}">
              <c16:uniqueId val="{00000000-F919-4A5C-A8D5-7B7B7A5C2916}"/>
            </c:ext>
          </c:extLst>
        </c:ser>
        <c:ser>
          <c:idx val="1"/>
          <c:order val="1"/>
          <c:tx>
            <c:strRef>
              <c:f>Work!$B$35</c:f>
              <c:strCache>
                <c:ptCount val="1"/>
                <c:pt idx="0">
                  <c:v>H16.10 Major</c:v>
                </c:pt>
              </c:strCache>
            </c:strRef>
          </c:tx>
          <c:spPr>
            <a:solidFill>
              <a:srgbClr val="C00000"/>
            </a:solidFill>
            <a:ln>
              <a:noFill/>
            </a:ln>
            <a:effectLst/>
          </c:spPr>
          <c:invertIfNegative val="0"/>
          <c:cat>
            <c:strRef>
              <c:f>Work!$C$33:$F$33</c:f>
              <c:strCache>
                <c:ptCount val="4"/>
                <c:pt idx="0">
                  <c:v>2017</c:v>
                </c:pt>
                <c:pt idx="1">
                  <c:v>2018</c:v>
                </c:pt>
                <c:pt idx="2">
                  <c:v>2019</c:v>
                </c:pt>
                <c:pt idx="3">
                  <c:v>H2020</c:v>
                </c:pt>
              </c:strCache>
            </c:strRef>
          </c:cat>
          <c:val>
            <c:numRef>
              <c:f>Work!$C$35:$F$35</c:f>
              <c:numCache>
                <c:formatCode>0.0%</c:formatCode>
                <c:ptCount val="4"/>
                <c:pt idx="0">
                  <c:v>0.16400000000000001</c:v>
                </c:pt>
                <c:pt idx="1">
                  <c:v>0.17699999999999999</c:v>
                </c:pt>
                <c:pt idx="2">
                  <c:v>0.126</c:v>
                </c:pt>
                <c:pt idx="3">
                  <c:v>0.124</c:v>
                </c:pt>
              </c:numCache>
            </c:numRef>
          </c:val>
          <c:extLst>
            <c:ext xmlns:c16="http://schemas.microsoft.com/office/drawing/2014/chart" uri="{C3380CC4-5D6E-409C-BE32-E72D297353CC}">
              <c16:uniqueId val="{00000001-F919-4A5C-A8D5-7B7B7A5C2916}"/>
            </c:ext>
          </c:extLst>
        </c:ser>
        <c:dLbls>
          <c:showLegendKey val="0"/>
          <c:showVal val="0"/>
          <c:showCatName val="0"/>
          <c:showSerName val="0"/>
          <c:showPercent val="0"/>
          <c:showBubbleSize val="0"/>
        </c:dLbls>
        <c:gapWidth val="50"/>
        <c:overlap val="100"/>
        <c:axId val="944575912"/>
        <c:axId val="944568464"/>
      </c:barChart>
      <c:catAx>
        <c:axId val="944575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44568464"/>
        <c:crosses val="autoZero"/>
        <c:auto val="1"/>
        <c:lblAlgn val="ctr"/>
        <c:lblOffset val="100"/>
        <c:noMultiLvlLbl val="0"/>
      </c:catAx>
      <c:valAx>
        <c:axId val="944568464"/>
        <c:scaling>
          <c:orientation val="minMax"/>
          <c:max val="0.60000000000000009"/>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94457591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solidFill>
                <a:latin typeface="+mn-lt"/>
                <a:ea typeface="+mn-ea"/>
                <a:cs typeface="+mn-cs"/>
              </a:defRPr>
            </a:pPr>
            <a:r>
              <a:rPr lang="en-AU" sz="1600"/>
              <a:t>Mobile Plant Incident Severity by Type</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TABLE1!$F$49</c:f>
              <c:strCache>
                <c:ptCount val="1"/>
                <c:pt idx="0">
                  <c:v>Dangerous Occurrence</c:v>
                </c:pt>
              </c:strCache>
            </c:strRef>
          </c:tx>
          <c:spPr>
            <a:solidFill>
              <a:schemeClr val="bg2">
                <a:lumMod val="75000"/>
              </a:schemeClr>
            </a:solidFill>
            <a:ln>
              <a:solidFill>
                <a:schemeClr val="tx1"/>
              </a:solidFill>
            </a:ln>
            <a:effectLst/>
          </c:spPr>
          <c:invertIfNegative val="0"/>
          <c:cat>
            <c:strRef>
              <c:f>TABLE1!$G$48:$J$48</c:f>
              <c:strCache>
                <c:ptCount val="4"/>
                <c:pt idx="0">
                  <c:v>Incidental</c:v>
                </c:pt>
                <c:pt idx="1">
                  <c:v>Not Severe</c:v>
                </c:pt>
                <c:pt idx="2">
                  <c:v>Severe</c:v>
                </c:pt>
                <c:pt idx="3">
                  <c:v>Life at Risk</c:v>
                </c:pt>
              </c:strCache>
            </c:strRef>
          </c:cat>
          <c:val>
            <c:numRef>
              <c:f>TABLE1!$G$49:$J$49</c:f>
              <c:numCache>
                <c:formatCode>General</c:formatCode>
                <c:ptCount val="4"/>
                <c:pt idx="0">
                  <c:v>1</c:v>
                </c:pt>
                <c:pt idx="1">
                  <c:v>3</c:v>
                </c:pt>
                <c:pt idx="2">
                  <c:v>12</c:v>
                </c:pt>
                <c:pt idx="3">
                  <c:v>1</c:v>
                </c:pt>
              </c:numCache>
            </c:numRef>
          </c:val>
          <c:extLst>
            <c:ext xmlns:c16="http://schemas.microsoft.com/office/drawing/2014/chart" uri="{C3380CC4-5D6E-409C-BE32-E72D297353CC}">
              <c16:uniqueId val="{00000000-3BFD-4F89-A90D-D142419CDB7F}"/>
            </c:ext>
          </c:extLst>
        </c:ser>
        <c:ser>
          <c:idx val="1"/>
          <c:order val="1"/>
          <c:tx>
            <c:strRef>
              <c:f>TABLE1!$F$50</c:f>
              <c:strCache>
                <c:ptCount val="1"/>
                <c:pt idx="0">
                  <c:v>LTI</c:v>
                </c:pt>
              </c:strCache>
            </c:strRef>
          </c:tx>
          <c:spPr>
            <a:solidFill>
              <a:srgbClr val="C00000"/>
            </a:solidFill>
            <a:ln>
              <a:solidFill>
                <a:schemeClr val="tx1"/>
              </a:solidFill>
            </a:ln>
            <a:effectLst/>
          </c:spPr>
          <c:invertIfNegative val="0"/>
          <c:cat>
            <c:strRef>
              <c:f>TABLE1!$G$48:$J$48</c:f>
              <c:strCache>
                <c:ptCount val="4"/>
                <c:pt idx="0">
                  <c:v>Incidental</c:v>
                </c:pt>
                <c:pt idx="1">
                  <c:v>Not Severe</c:v>
                </c:pt>
                <c:pt idx="2">
                  <c:v>Severe</c:v>
                </c:pt>
                <c:pt idx="3">
                  <c:v>Life at Risk</c:v>
                </c:pt>
              </c:strCache>
            </c:strRef>
          </c:cat>
          <c:val>
            <c:numRef>
              <c:f>TABLE1!$G$50:$J$50</c:f>
              <c:numCache>
                <c:formatCode>General</c:formatCode>
                <c:ptCount val="4"/>
                <c:pt idx="0">
                  <c:v>2</c:v>
                </c:pt>
                <c:pt idx="1">
                  <c:v>41</c:v>
                </c:pt>
                <c:pt idx="2">
                  <c:v>13</c:v>
                </c:pt>
                <c:pt idx="3">
                  <c:v>1</c:v>
                </c:pt>
              </c:numCache>
            </c:numRef>
          </c:val>
          <c:extLst>
            <c:ext xmlns:c16="http://schemas.microsoft.com/office/drawing/2014/chart" uri="{C3380CC4-5D6E-409C-BE32-E72D297353CC}">
              <c16:uniqueId val="{00000001-3BFD-4F89-A90D-D142419CDB7F}"/>
            </c:ext>
          </c:extLst>
        </c:ser>
        <c:ser>
          <c:idx val="2"/>
          <c:order val="2"/>
          <c:tx>
            <c:strRef>
              <c:f>TABLE1!$F$51</c:f>
              <c:strCache>
                <c:ptCount val="1"/>
                <c:pt idx="0">
                  <c:v>MTI</c:v>
                </c:pt>
              </c:strCache>
            </c:strRef>
          </c:tx>
          <c:spPr>
            <a:solidFill>
              <a:schemeClr val="bg2">
                <a:lumMod val="25000"/>
              </a:schemeClr>
            </a:solidFill>
            <a:ln>
              <a:solidFill>
                <a:schemeClr val="tx1"/>
              </a:solidFill>
            </a:ln>
            <a:effectLst/>
          </c:spPr>
          <c:invertIfNegative val="0"/>
          <c:cat>
            <c:strRef>
              <c:f>TABLE1!$G$48:$J$48</c:f>
              <c:strCache>
                <c:ptCount val="4"/>
                <c:pt idx="0">
                  <c:v>Incidental</c:v>
                </c:pt>
                <c:pt idx="1">
                  <c:v>Not Severe</c:v>
                </c:pt>
                <c:pt idx="2">
                  <c:v>Severe</c:v>
                </c:pt>
                <c:pt idx="3">
                  <c:v>Life at Risk</c:v>
                </c:pt>
              </c:strCache>
            </c:strRef>
          </c:cat>
          <c:val>
            <c:numRef>
              <c:f>TABLE1!$G$51:$J$51</c:f>
              <c:numCache>
                <c:formatCode>General</c:formatCode>
                <c:ptCount val="4"/>
                <c:pt idx="0">
                  <c:v>0</c:v>
                </c:pt>
                <c:pt idx="1">
                  <c:v>9</c:v>
                </c:pt>
                <c:pt idx="2">
                  <c:v>0</c:v>
                </c:pt>
                <c:pt idx="3">
                  <c:v>0</c:v>
                </c:pt>
              </c:numCache>
            </c:numRef>
          </c:val>
          <c:extLst>
            <c:ext xmlns:c16="http://schemas.microsoft.com/office/drawing/2014/chart" uri="{C3380CC4-5D6E-409C-BE32-E72D297353CC}">
              <c16:uniqueId val="{00000002-3BFD-4F89-A90D-D142419CDB7F}"/>
            </c:ext>
          </c:extLst>
        </c:ser>
        <c:ser>
          <c:idx val="3"/>
          <c:order val="3"/>
          <c:tx>
            <c:strRef>
              <c:f>TABLE1!$F$52</c:f>
              <c:strCache>
                <c:ptCount val="1"/>
                <c:pt idx="0">
                  <c:v>Fatality</c:v>
                </c:pt>
              </c:strCache>
            </c:strRef>
          </c:tx>
          <c:spPr>
            <a:solidFill>
              <a:schemeClr val="tx1"/>
            </a:solidFill>
            <a:ln>
              <a:noFill/>
            </a:ln>
            <a:effectLst/>
          </c:spPr>
          <c:invertIfNegative val="0"/>
          <c:cat>
            <c:strRef>
              <c:f>TABLE1!$G$48:$J$48</c:f>
              <c:strCache>
                <c:ptCount val="4"/>
                <c:pt idx="0">
                  <c:v>Incidental</c:v>
                </c:pt>
                <c:pt idx="1">
                  <c:v>Not Severe</c:v>
                </c:pt>
                <c:pt idx="2">
                  <c:v>Severe</c:v>
                </c:pt>
                <c:pt idx="3">
                  <c:v>Life at Risk</c:v>
                </c:pt>
              </c:strCache>
            </c:strRef>
          </c:cat>
          <c:val>
            <c:numRef>
              <c:f>TABLE1!$G$52:$J$52</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3BFD-4F89-A90D-D142419CDB7F}"/>
            </c:ext>
          </c:extLst>
        </c:ser>
        <c:dLbls>
          <c:showLegendKey val="0"/>
          <c:showVal val="0"/>
          <c:showCatName val="0"/>
          <c:showSerName val="0"/>
          <c:showPercent val="0"/>
          <c:showBubbleSize val="0"/>
        </c:dLbls>
        <c:gapWidth val="50"/>
        <c:overlap val="100"/>
        <c:axId val="944569248"/>
        <c:axId val="944576304"/>
      </c:barChart>
      <c:catAx>
        <c:axId val="94456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44576304"/>
        <c:crosses val="autoZero"/>
        <c:auto val="1"/>
        <c:lblAlgn val="ctr"/>
        <c:lblOffset val="100"/>
        <c:noMultiLvlLbl val="0"/>
      </c:catAx>
      <c:valAx>
        <c:axId val="94457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4456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solidFill>
                <a:latin typeface="+mn-lt"/>
                <a:ea typeface="+mn-ea"/>
                <a:cs typeface="+mn-cs"/>
              </a:defRPr>
            </a:pPr>
            <a:r>
              <a:rPr lang="en-US" sz="1800"/>
              <a:t>Most Frequently Occurring Cause/Type of Incident</a:t>
            </a:r>
          </a:p>
        </c:rich>
      </c:tx>
      <c:layout>
        <c:manualLayout>
          <c:xMode val="edge"/>
          <c:yMode val="edge"/>
          <c:x val="0.27347637155111709"/>
          <c:y val="3.1716655647051749E-2"/>
        </c:manualLayout>
      </c:layout>
      <c:overlay val="0"/>
      <c:spPr>
        <a:noFill/>
        <a:ln>
          <a:noFill/>
        </a:ln>
        <a:effectLst/>
      </c:spPr>
      <c:txPr>
        <a:bodyPr rot="0" spcFirstLastPara="1" vertOverflow="ellipsis" vert="horz" wrap="square" anchor="ctr" anchorCtr="1"/>
        <a:lstStyle/>
        <a:p>
          <a:pPr>
            <a:defRPr sz="18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2767767112275261"/>
          <c:y val="0.11636078431372548"/>
          <c:w val="0.74968573147423512"/>
          <c:h val="0.8108603365755751"/>
        </c:manualLayout>
      </c:layout>
      <c:barChart>
        <c:barDir val="bar"/>
        <c:grouping val="clustered"/>
        <c:varyColors val="0"/>
        <c:ser>
          <c:idx val="0"/>
          <c:order val="0"/>
          <c:tx>
            <c:strRef>
              <c:f>'One liners incidents'!$F$15</c:f>
              <c:strCache>
                <c:ptCount val="1"/>
                <c:pt idx="0">
                  <c:v>Incidents</c:v>
                </c:pt>
              </c:strCache>
            </c:strRef>
          </c:tx>
          <c:spPr>
            <a:solidFill>
              <a:schemeClr val="accent1"/>
            </a:solidFill>
            <a:ln>
              <a:solidFill>
                <a:schemeClr val="lt1"/>
              </a:solidFill>
            </a:ln>
            <a:effectLst/>
          </c:spPr>
          <c:invertIfNegative val="0"/>
          <c:dPt>
            <c:idx val="0"/>
            <c:invertIfNegative val="0"/>
            <c:bubble3D val="0"/>
            <c:spPr>
              <a:solidFill>
                <a:schemeClr val="tx1"/>
              </a:solidFill>
              <a:ln>
                <a:solidFill>
                  <a:schemeClr val="tx1"/>
                </a:solidFill>
              </a:ln>
              <a:effectLst/>
            </c:spPr>
            <c:extLst>
              <c:ext xmlns:c16="http://schemas.microsoft.com/office/drawing/2014/chart" uri="{C3380CC4-5D6E-409C-BE32-E72D297353CC}">
                <c16:uniqueId val="{00000001-CCF0-4260-A10B-1180BA9A642C}"/>
              </c:ext>
            </c:extLst>
          </c:dPt>
          <c:dPt>
            <c:idx val="1"/>
            <c:invertIfNegative val="0"/>
            <c:bubble3D val="0"/>
            <c:spPr>
              <a:solidFill>
                <a:schemeClr val="bg2">
                  <a:lumMod val="25000"/>
                </a:schemeClr>
              </a:solidFill>
              <a:ln>
                <a:solidFill>
                  <a:schemeClr val="tx1"/>
                </a:solidFill>
              </a:ln>
              <a:effectLst/>
            </c:spPr>
            <c:extLst>
              <c:ext xmlns:c16="http://schemas.microsoft.com/office/drawing/2014/chart" uri="{C3380CC4-5D6E-409C-BE32-E72D297353CC}">
                <c16:uniqueId val="{00000003-CCF0-4260-A10B-1180BA9A642C}"/>
              </c:ext>
            </c:extLst>
          </c:dPt>
          <c:dPt>
            <c:idx val="2"/>
            <c:invertIfNegative val="0"/>
            <c:bubble3D val="0"/>
            <c:spPr>
              <a:solidFill>
                <a:schemeClr val="bg2">
                  <a:lumMod val="50000"/>
                </a:schemeClr>
              </a:solidFill>
              <a:ln>
                <a:solidFill>
                  <a:schemeClr val="tx1"/>
                </a:solidFill>
              </a:ln>
              <a:effectLst/>
            </c:spPr>
            <c:extLst>
              <c:ext xmlns:c16="http://schemas.microsoft.com/office/drawing/2014/chart" uri="{C3380CC4-5D6E-409C-BE32-E72D297353CC}">
                <c16:uniqueId val="{00000005-CCF0-4260-A10B-1180BA9A642C}"/>
              </c:ext>
            </c:extLst>
          </c:dPt>
          <c:dPt>
            <c:idx val="3"/>
            <c:invertIfNegative val="0"/>
            <c:bubble3D val="0"/>
            <c:spPr>
              <a:solidFill>
                <a:schemeClr val="bg2">
                  <a:lumMod val="75000"/>
                </a:schemeClr>
              </a:solidFill>
              <a:ln>
                <a:solidFill>
                  <a:schemeClr val="tx1"/>
                </a:solidFill>
              </a:ln>
              <a:effectLst/>
            </c:spPr>
            <c:extLst>
              <c:ext xmlns:c16="http://schemas.microsoft.com/office/drawing/2014/chart" uri="{C3380CC4-5D6E-409C-BE32-E72D297353CC}">
                <c16:uniqueId val="{00000007-CCF0-4260-A10B-1180BA9A642C}"/>
              </c:ext>
            </c:extLst>
          </c:dPt>
          <c:dPt>
            <c:idx val="4"/>
            <c:invertIfNegative val="0"/>
            <c:bubble3D val="0"/>
            <c:spPr>
              <a:solidFill>
                <a:srgbClr val="C00000"/>
              </a:solidFill>
              <a:ln>
                <a:solidFill>
                  <a:schemeClr val="tx1"/>
                </a:solidFill>
              </a:ln>
              <a:effectLst/>
            </c:spPr>
            <c:extLst>
              <c:ext xmlns:c16="http://schemas.microsoft.com/office/drawing/2014/chart" uri="{C3380CC4-5D6E-409C-BE32-E72D297353CC}">
                <c16:uniqueId val="{00000009-CCF0-4260-A10B-1180BA9A642C}"/>
              </c:ext>
            </c:extLst>
          </c:dPt>
          <c:cat>
            <c:strRef>
              <c:f>'One liners incidents'!$E$16:$E$20</c:f>
              <c:strCache>
                <c:ptCount val="5"/>
                <c:pt idx="0">
                  <c:v>Cut / Laceration</c:v>
                </c:pt>
                <c:pt idx="1">
                  <c:v>Dropped / Falling object</c:v>
                </c:pt>
                <c:pt idx="2">
                  <c:v>Trip / Stumble / Slip</c:v>
                </c:pt>
                <c:pt idx="3">
                  <c:v>Worker struck by plant / object</c:v>
                </c:pt>
                <c:pt idx="4">
                  <c:v>Jammed / Crushed</c:v>
                </c:pt>
              </c:strCache>
            </c:strRef>
          </c:cat>
          <c:val>
            <c:numRef>
              <c:f>'One liners incidents'!$F$16:$F$20</c:f>
              <c:numCache>
                <c:formatCode>General</c:formatCode>
                <c:ptCount val="5"/>
                <c:pt idx="0">
                  <c:v>5</c:v>
                </c:pt>
                <c:pt idx="1">
                  <c:v>7</c:v>
                </c:pt>
                <c:pt idx="2">
                  <c:v>14</c:v>
                </c:pt>
                <c:pt idx="3">
                  <c:v>20</c:v>
                </c:pt>
                <c:pt idx="4">
                  <c:v>20</c:v>
                </c:pt>
              </c:numCache>
            </c:numRef>
          </c:val>
          <c:extLst>
            <c:ext xmlns:c16="http://schemas.microsoft.com/office/drawing/2014/chart" uri="{C3380CC4-5D6E-409C-BE32-E72D297353CC}">
              <c16:uniqueId val="{0000000A-CCF0-4260-A10B-1180BA9A642C}"/>
            </c:ext>
          </c:extLst>
        </c:ser>
        <c:dLbls>
          <c:showLegendKey val="0"/>
          <c:showVal val="0"/>
          <c:showCatName val="0"/>
          <c:showSerName val="0"/>
          <c:showPercent val="0"/>
          <c:showBubbleSize val="0"/>
        </c:dLbls>
        <c:gapWidth val="50"/>
        <c:axId val="944567680"/>
        <c:axId val="944576696"/>
      </c:barChart>
      <c:catAx>
        <c:axId val="944567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944576696"/>
        <c:crosses val="autoZero"/>
        <c:auto val="1"/>
        <c:lblAlgn val="ctr"/>
        <c:lblOffset val="100"/>
        <c:noMultiLvlLbl val="0"/>
      </c:catAx>
      <c:valAx>
        <c:axId val="944576696"/>
        <c:scaling>
          <c:orientation val="minMax"/>
          <c:max val="2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944567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a:t>Total Scaffolding CARs issued</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8.7032414234439776E-2"/>
          <c:y val="9.3039006647435099E-2"/>
          <c:w val="0.77464984240986612"/>
          <c:h val="0.79842124651012125"/>
        </c:manualLayout>
      </c:layout>
      <c:areaChart>
        <c:grouping val="stacked"/>
        <c:varyColors val="0"/>
        <c:ser>
          <c:idx val="0"/>
          <c:order val="0"/>
          <c:tx>
            <c:strRef>
              <c:f>'Scaff CARs over time '!$N$2</c:f>
              <c:strCache>
                <c:ptCount val="1"/>
                <c:pt idx="0">
                  <c:v>H5.6</c:v>
                </c:pt>
              </c:strCache>
            </c:strRef>
          </c:tx>
          <c:spPr>
            <a:solidFill>
              <a:srgbClr val="C00000"/>
            </a:solidFill>
            <a:ln w="9525">
              <a:solidFill>
                <a:schemeClr val="tx1"/>
              </a:solidFill>
            </a:ln>
            <a:effectLst/>
          </c:spPr>
          <c:cat>
            <c:strRef>
              <c:f>'Scaff CARs over time '!$O$1:$V$1</c:f>
              <c:strCache>
                <c:ptCount val="8"/>
                <c:pt idx="0">
                  <c:v>November</c:v>
                </c:pt>
                <c:pt idx="1">
                  <c:v>December</c:v>
                </c:pt>
                <c:pt idx="2">
                  <c:v>January</c:v>
                </c:pt>
                <c:pt idx="3">
                  <c:v>February</c:v>
                </c:pt>
                <c:pt idx="4">
                  <c:v>March</c:v>
                </c:pt>
                <c:pt idx="5">
                  <c:v>April</c:v>
                </c:pt>
                <c:pt idx="6">
                  <c:v>May</c:v>
                </c:pt>
                <c:pt idx="7">
                  <c:v>June</c:v>
                </c:pt>
              </c:strCache>
            </c:strRef>
          </c:cat>
          <c:val>
            <c:numRef>
              <c:f>'Scaff CARs over time '!$O$2:$V$2</c:f>
              <c:numCache>
                <c:formatCode>General</c:formatCode>
                <c:ptCount val="8"/>
                <c:pt idx="0">
                  <c:v>0</c:v>
                </c:pt>
                <c:pt idx="1">
                  <c:v>0</c:v>
                </c:pt>
                <c:pt idx="2">
                  <c:v>4</c:v>
                </c:pt>
                <c:pt idx="3">
                  <c:v>7</c:v>
                </c:pt>
                <c:pt idx="4">
                  <c:v>10</c:v>
                </c:pt>
                <c:pt idx="5">
                  <c:v>13</c:v>
                </c:pt>
                <c:pt idx="6">
                  <c:v>22</c:v>
                </c:pt>
                <c:pt idx="7">
                  <c:v>26</c:v>
                </c:pt>
              </c:numCache>
            </c:numRef>
          </c:val>
          <c:extLst>
            <c:ext xmlns:c16="http://schemas.microsoft.com/office/drawing/2014/chart" uri="{C3380CC4-5D6E-409C-BE32-E72D297353CC}">
              <c16:uniqueId val="{00000000-7225-4EF8-8A7C-4B5E5DA03C01}"/>
            </c:ext>
          </c:extLst>
        </c:ser>
        <c:ser>
          <c:idx val="1"/>
          <c:order val="1"/>
          <c:tx>
            <c:strRef>
              <c:f>'Scaff CARs over time '!$N$3</c:f>
              <c:strCache>
                <c:ptCount val="1"/>
                <c:pt idx="0">
                  <c:v>H1.4</c:v>
                </c:pt>
              </c:strCache>
            </c:strRef>
          </c:tx>
          <c:spPr>
            <a:solidFill>
              <a:schemeClr val="bg2">
                <a:lumMod val="90000"/>
              </a:schemeClr>
            </a:solidFill>
            <a:ln w="9525">
              <a:solidFill>
                <a:schemeClr val="tx1"/>
              </a:solidFill>
            </a:ln>
            <a:effectLst/>
          </c:spPr>
          <c:cat>
            <c:strRef>
              <c:f>'Scaff CARs over time '!$O$1:$V$1</c:f>
              <c:strCache>
                <c:ptCount val="8"/>
                <c:pt idx="0">
                  <c:v>November</c:v>
                </c:pt>
                <c:pt idx="1">
                  <c:v>December</c:v>
                </c:pt>
                <c:pt idx="2">
                  <c:v>January</c:v>
                </c:pt>
                <c:pt idx="3">
                  <c:v>February</c:v>
                </c:pt>
                <c:pt idx="4">
                  <c:v>March</c:v>
                </c:pt>
                <c:pt idx="5">
                  <c:v>April</c:v>
                </c:pt>
                <c:pt idx="6">
                  <c:v>May</c:v>
                </c:pt>
                <c:pt idx="7">
                  <c:v>June</c:v>
                </c:pt>
              </c:strCache>
            </c:strRef>
          </c:cat>
          <c:val>
            <c:numRef>
              <c:f>'Scaff CARs over time '!$O$3:$V$3</c:f>
              <c:numCache>
                <c:formatCode>General</c:formatCode>
                <c:ptCount val="8"/>
                <c:pt idx="0">
                  <c:v>0</c:v>
                </c:pt>
                <c:pt idx="1">
                  <c:v>1</c:v>
                </c:pt>
                <c:pt idx="2">
                  <c:v>5</c:v>
                </c:pt>
                <c:pt idx="3">
                  <c:v>8</c:v>
                </c:pt>
                <c:pt idx="4">
                  <c:v>8</c:v>
                </c:pt>
                <c:pt idx="5">
                  <c:v>12</c:v>
                </c:pt>
                <c:pt idx="6">
                  <c:v>23</c:v>
                </c:pt>
                <c:pt idx="7">
                  <c:v>25</c:v>
                </c:pt>
              </c:numCache>
            </c:numRef>
          </c:val>
          <c:extLst>
            <c:ext xmlns:c16="http://schemas.microsoft.com/office/drawing/2014/chart" uri="{C3380CC4-5D6E-409C-BE32-E72D297353CC}">
              <c16:uniqueId val="{00000001-7225-4EF8-8A7C-4B5E5DA03C01}"/>
            </c:ext>
          </c:extLst>
        </c:ser>
        <c:ser>
          <c:idx val="2"/>
          <c:order val="2"/>
          <c:tx>
            <c:strRef>
              <c:f>'Scaff CARs over time '!$N$4</c:f>
              <c:strCache>
                <c:ptCount val="1"/>
                <c:pt idx="0">
                  <c:v>H5.4</c:v>
                </c:pt>
              </c:strCache>
            </c:strRef>
          </c:tx>
          <c:spPr>
            <a:solidFill>
              <a:schemeClr val="bg2">
                <a:lumMod val="75000"/>
              </a:schemeClr>
            </a:solidFill>
            <a:ln w="9525">
              <a:solidFill>
                <a:schemeClr val="tx1"/>
              </a:solidFill>
            </a:ln>
            <a:effectLst/>
          </c:spPr>
          <c:cat>
            <c:strRef>
              <c:f>'Scaff CARs over time '!$O$1:$V$1</c:f>
              <c:strCache>
                <c:ptCount val="8"/>
                <c:pt idx="0">
                  <c:v>November</c:v>
                </c:pt>
                <c:pt idx="1">
                  <c:v>December</c:v>
                </c:pt>
                <c:pt idx="2">
                  <c:v>January</c:v>
                </c:pt>
                <c:pt idx="3">
                  <c:v>February</c:v>
                </c:pt>
                <c:pt idx="4">
                  <c:v>March</c:v>
                </c:pt>
                <c:pt idx="5">
                  <c:v>April</c:v>
                </c:pt>
                <c:pt idx="6">
                  <c:v>May</c:v>
                </c:pt>
                <c:pt idx="7">
                  <c:v>June</c:v>
                </c:pt>
              </c:strCache>
            </c:strRef>
          </c:cat>
          <c:val>
            <c:numRef>
              <c:f>'Scaff CARs over time '!$O$4:$V$4</c:f>
              <c:numCache>
                <c:formatCode>General</c:formatCode>
                <c:ptCount val="8"/>
                <c:pt idx="0">
                  <c:v>0</c:v>
                </c:pt>
                <c:pt idx="1">
                  <c:v>0</c:v>
                </c:pt>
                <c:pt idx="2">
                  <c:v>4</c:v>
                </c:pt>
                <c:pt idx="3">
                  <c:v>6</c:v>
                </c:pt>
                <c:pt idx="4">
                  <c:v>8</c:v>
                </c:pt>
                <c:pt idx="5">
                  <c:v>12</c:v>
                </c:pt>
                <c:pt idx="6">
                  <c:v>18</c:v>
                </c:pt>
                <c:pt idx="7">
                  <c:v>21</c:v>
                </c:pt>
              </c:numCache>
            </c:numRef>
          </c:val>
          <c:extLst>
            <c:ext xmlns:c16="http://schemas.microsoft.com/office/drawing/2014/chart" uri="{C3380CC4-5D6E-409C-BE32-E72D297353CC}">
              <c16:uniqueId val="{00000002-7225-4EF8-8A7C-4B5E5DA03C01}"/>
            </c:ext>
          </c:extLst>
        </c:ser>
        <c:ser>
          <c:idx val="3"/>
          <c:order val="3"/>
          <c:tx>
            <c:strRef>
              <c:f>'Scaff CARs over time '!$N$5</c:f>
              <c:strCache>
                <c:ptCount val="1"/>
                <c:pt idx="0">
                  <c:v>H5.7</c:v>
                </c:pt>
              </c:strCache>
            </c:strRef>
          </c:tx>
          <c:spPr>
            <a:solidFill>
              <a:schemeClr val="bg2">
                <a:lumMod val="25000"/>
              </a:schemeClr>
            </a:solidFill>
            <a:ln w="9525">
              <a:solidFill>
                <a:schemeClr val="tx1"/>
              </a:solidFill>
            </a:ln>
            <a:effectLst/>
          </c:spPr>
          <c:cat>
            <c:strRef>
              <c:f>'Scaff CARs over time '!$O$1:$V$1</c:f>
              <c:strCache>
                <c:ptCount val="8"/>
                <c:pt idx="0">
                  <c:v>November</c:v>
                </c:pt>
                <c:pt idx="1">
                  <c:v>December</c:v>
                </c:pt>
                <c:pt idx="2">
                  <c:v>January</c:v>
                </c:pt>
                <c:pt idx="3">
                  <c:v>February</c:v>
                </c:pt>
                <c:pt idx="4">
                  <c:v>March</c:v>
                </c:pt>
                <c:pt idx="5">
                  <c:v>April</c:v>
                </c:pt>
                <c:pt idx="6">
                  <c:v>May</c:v>
                </c:pt>
                <c:pt idx="7">
                  <c:v>June</c:v>
                </c:pt>
              </c:strCache>
            </c:strRef>
          </c:cat>
          <c:val>
            <c:numRef>
              <c:f>'Scaff CARs over time '!$O$5:$V$5</c:f>
              <c:numCache>
                <c:formatCode>General</c:formatCode>
                <c:ptCount val="8"/>
                <c:pt idx="0">
                  <c:v>0</c:v>
                </c:pt>
                <c:pt idx="1">
                  <c:v>0</c:v>
                </c:pt>
                <c:pt idx="2">
                  <c:v>3</c:v>
                </c:pt>
                <c:pt idx="3">
                  <c:v>7</c:v>
                </c:pt>
                <c:pt idx="4">
                  <c:v>10</c:v>
                </c:pt>
                <c:pt idx="5">
                  <c:v>12</c:v>
                </c:pt>
                <c:pt idx="6">
                  <c:v>15</c:v>
                </c:pt>
                <c:pt idx="7">
                  <c:v>16</c:v>
                </c:pt>
              </c:numCache>
            </c:numRef>
          </c:val>
          <c:extLst>
            <c:ext xmlns:c16="http://schemas.microsoft.com/office/drawing/2014/chart" uri="{C3380CC4-5D6E-409C-BE32-E72D297353CC}">
              <c16:uniqueId val="{00000003-7225-4EF8-8A7C-4B5E5DA03C01}"/>
            </c:ext>
          </c:extLst>
        </c:ser>
        <c:ser>
          <c:idx val="4"/>
          <c:order val="4"/>
          <c:tx>
            <c:strRef>
              <c:f>'Scaff CARs over time '!$N$6</c:f>
              <c:strCache>
                <c:ptCount val="1"/>
                <c:pt idx="0">
                  <c:v>H1.1</c:v>
                </c:pt>
              </c:strCache>
            </c:strRef>
          </c:tx>
          <c:spPr>
            <a:solidFill>
              <a:schemeClr val="bg2">
                <a:lumMod val="10000"/>
              </a:schemeClr>
            </a:solidFill>
            <a:ln w="9525">
              <a:solidFill>
                <a:schemeClr val="tx1"/>
              </a:solidFill>
            </a:ln>
            <a:effectLst/>
          </c:spPr>
          <c:cat>
            <c:strRef>
              <c:f>'Scaff CARs over time '!$O$1:$V$1</c:f>
              <c:strCache>
                <c:ptCount val="8"/>
                <c:pt idx="0">
                  <c:v>November</c:v>
                </c:pt>
                <c:pt idx="1">
                  <c:v>December</c:v>
                </c:pt>
                <c:pt idx="2">
                  <c:v>January</c:v>
                </c:pt>
                <c:pt idx="3">
                  <c:v>February</c:v>
                </c:pt>
                <c:pt idx="4">
                  <c:v>March</c:v>
                </c:pt>
                <c:pt idx="5">
                  <c:v>April</c:v>
                </c:pt>
                <c:pt idx="6">
                  <c:v>May</c:v>
                </c:pt>
                <c:pt idx="7">
                  <c:v>June</c:v>
                </c:pt>
              </c:strCache>
            </c:strRef>
          </c:cat>
          <c:val>
            <c:numRef>
              <c:f>'Scaff CARs over time '!$O$6:$V$6</c:f>
              <c:numCache>
                <c:formatCode>General</c:formatCode>
                <c:ptCount val="8"/>
                <c:pt idx="0">
                  <c:v>1</c:v>
                </c:pt>
                <c:pt idx="1">
                  <c:v>1</c:v>
                </c:pt>
                <c:pt idx="2">
                  <c:v>4</c:v>
                </c:pt>
                <c:pt idx="3">
                  <c:v>7</c:v>
                </c:pt>
                <c:pt idx="4">
                  <c:v>9</c:v>
                </c:pt>
                <c:pt idx="5">
                  <c:v>9</c:v>
                </c:pt>
                <c:pt idx="6">
                  <c:v>13</c:v>
                </c:pt>
                <c:pt idx="7">
                  <c:v>14</c:v>
                </c:pt>
              </c:numCache>
            </c:numRef>
          </c:val>
          <c:extLst>
            <c:ext xmlns:c16="http://schemas.microsoft.com/office/drawing/2014/chart" uri="{C3380CC4-5D6E-409C-BE32-E72D297353CC}">
              <c16:uniqueId val="{00000004-7225-4EF8-8A7C-4B5E5DA03C01}"/>
            </c:ext>
          </c:extLst>
        </c:ser>
        <c:ser>
          <c:idx val="5"/>
          <c:order val="5"/>
          <c:tx>
            <c:strRef>
              <c:f>'Scaff CARs over time '!$N$7</c:f>
              <c:strCache>
                <c:ptCount val="1"/>
                <c:pt idx="0">
                  <c:v>H5.2</c:v>
                </c:pt>
              </c:strCache>
            </c:strRef>
          </c:tx>
          <c:spPr>
            <a:solidFill>
              <a:schemeClr val="accent2">
                <a:lumMod val="20000"/>
                <a:lumOff val="80000"/>
              </a:schemeClr>
            </a:solidFill>
            <a:ln w="9525">
              <a:solidFill>
                <a:schemeClr val="tx1"/>
              </a:solidFill>
            </a:ln>
            <a:effectLst/>
          </c:spPr>
          <c:cat>
            <c:strRef>
              <c:f>'Scaff CARs over time '!$O$1:$V$1</c:f>
              <c:strCache>
                <c:ptCount val="8"/>
                <c:pt idx="0">
                  <c:v>November</c:v>
                </c:pt>
                <c:pt idx="1">
                  <c:v>December</c:v>
                </c:pt>
                <c:pt idx="2">
                  <c:v>January</c:v>
                </c:pt>
                <c:pt idx="3">
                  <c:v>February</c:v>
                </c:pt>
                <c:pt idx="4">
                  <c:v>March</c:v>
                </c:pt>
                <c:pt idx="5">
                  <c:v>April</c:v>
                </c:pt>
                <c:pt idx="6">
                  <c:v>May</c:v>
                </c:pt>
                <c:pt idx="7">
                  <c:v>June</c:v>
                </c:pt>
              </c:strCache>
            </c:strRef>
          </c:cat>
          <c:val>
            <c:numRef>
              <c:f>'Scaff CARs over time '!$O$7:$V$7</c:f>
              <c:numCache>
                <c:formatCode>General</c:formatCode>
                <c:ptCount val="8"/>
                <c:pt idx="0">
                  <c:v>0</c:v>
                </c:pt>
                <c:pt idx="1">
                  <c:v>0</c:v>
                </c:pt>
                <c:pt idx="2">
                  <c:v>4</c:v>
                </c:pt>
                <c:pt idx="3">
                  <c:v>6</c:v>
                </c:pt>
                <c:pt idx="4">
                  <c:v>8</c:v>
                </c:pt>
                <c:pt idx="5">
                  <c:v>9</c:v>
                </c:pt>
                <c:pt idx="6">
                  <c:v>12</c:v>
                </c:pt>
                <c:pt idx="7">
                  <c:v>14</c:v>
                </c:pt>
              </c:numCache>
            </c:numRef>
          </c:val>
          <c:extLst>
            <c:ext xmlns:c16="http://schemas.microsoft.com/office/drawing/2014/chart" uri="{C3380CC4-5D6E-409C-BE32-E72D297353CC}">
              <c16:uniqueId val="{00000005-7225-4EF8-8A7C-4B5E5DA03C01}"/>
            </c:ext>
          </c:extLst>
        </c:ser>
        <c:ser>
          <c:idx val="6"/>
          <c:order val="6"/>
          <c:tx>
            <c:strRef>
              <c:f>'Scaff CARs over time '!$N$8</c:f>
              <c:strCache>
                <c:ptCount val="1"/>
                <c:pt idx="0">
                  <c:v>H5.5</c:v>
                </c:pt>
              </c:strCache>
            </c:strRef>
          </c:tx>
          <c:spPr>
            <a:solidFill>
              <a:schemeClr val="accent2">
                <a:lumMod val="40000"/>
                <a:lumOff val="60000"/>
              </a:schemeClr>
            </a:solidFill>
            <a:ln w="9525">
              <a:solidFill>
                <a:schemeClr val="tx1"/>
              </a:solidFill>
            </a:ln>
            <a:effectLst/>
          </c:spPr>
          <c:cat>
            <c:strRef>
              <c:f>'Scaff CARs over time '!$O$1:$V$1</c:f>
              <c:strCache>
                <c:ptCount val="8"/>
                <c:pt idx="0">
                  <c:v>November</c:v>
                </c:pt>
                <c:pt idx="1">
                  <c:v>December</c:v>
                </c:pt>
                <c:pt idx="2">
                  <c:v>January</c:v>
                </c:pt>
                <c:pt idx="3">
                  <c:v>February</c:v>
                </c:pt>
                <c:pt idx="4">
                  <c:v>March</c:v>
                </c:pt>
                <c:pt idx="5">
                  <c:v>April</c:v>
                </c:pt>
                <c:pt idx="6">
                  <c:v>May</c:v>
                </c:pt>
                <c:pt idx="7">
                  <c:v>June</c:v>
                </c:pt>
              </c:strCache>
            </c:strRef>
          </c:cat>
          <c:val>
            <c:numRef>
              <c:f>'Scaff CARs over time '!$O$8:$V$8</c:f>
              <c:numCache>
                <c:formatCode>General</c:formatCode>
                <c:ptCount val="8"/>
                <c:pt idx="0">
                  <c:v>0</c:v>
                </c:pt>
                <c:pt idx="1">
                  <c:v>0</c:v>
                </c:pt>
                <c:pt idx="2">
                  <c:v>2</c:v>
                </c:pt>
                <c:pt idx="3">
                  <c:v>5</c:v>
                </c:pt>
                <c:pt idx="4">
                  <c:v>5</c:v>
                </c:pt>
                <c:pt idx="5">
                  <c:v>8</c:v>
                </c:pt>
                <c:pt idx="6">
                  <c:v>11</c:v>
                </c:pt>
                <c:pt idx="7">
                  <c:v>12</c:v>
                </c:pt>
              </c:numCache>
            </c:numRef>
          </c:val>
          <c:extLst>
            <c:ext xmlns:c16="http://schemas.microsoft.com/office/drawing/2014/chart" uri="{C3380CC4-5D6E-409C-BE32-E72D297353CC}">
              <c16:uniqueId val="{00000006-7225-4EF8-8A7C-4B5E5DA03C01}"/>
            </c:ext>
          </c:extLst>
        </c:ser>
        <c:ser>
          <c:idx val="7"/>
          <c:order val="7"/>
          <c:tx>
            <c:strRef>
              <c:f>'Scaff CARs over time '!$N$9</c:f>
              <c:strCache>
                <c:ptCount val="1"/>
                <c:pt idx="0">
                  <c:v>H1.6</c:v>
                </c:pt>
              </c:strCache>
            </c:strRef>
          </c:tx>
          <c:spPr>
            <a:solidFill>
              <a:schemeClr val="accent2">
                <a:lumMod val="60000"/>
                <a:lumOff val="40000"/>
              </a:schemeClr>
            </a:solidFill>
            <a:ln w="9525">
              <a:solidFill>
                <a:schemeClr val="tx1"/>
              </a:solidFill>
            </a:ln>
            <a:effectLst/>
          </c:spPr>
          <c:cat>
            <c:strRef>
              <c:f>'Scaff CARs over time '!$O$1:$V$1</c:f>
              <c:strCache>
                <c:ptCount val="8"/>
                <c:pt idx="0">
                  <c:v>November</c:v>
                </c:pt>
                <c:pt idx="1">
                  <c:v>December</c:v>
                </c:pt>
                <c:pt idx="2">
                  <c:v>January</c:v>
                </c:pt>
                <c:pt idx="3">
                  <c:v>February</c:v>
                </c:pt>
                <c:pt idx="4">
                  <c:v>March</c:v>
                </c:pt>
                <c:pt idx="5">
                  <c:v>April</c:v>
                </c:pt>
                <c:pt idx="6">
                  <c:v>May</c:v>
                </c:pt>
                <c:pt idx="7">
                  <c:v>June</c:v>
                </c:pt>
              </c:strCache>
            </c:strRef>
          </c:cat>
          <c:val>
            <c:numRef>
              <c:f>'Scaff CARs over time '!$O$9:$V$9</c:f>
              <c:numCache>
                <c:formatCode>General</c:formatCode>
                <c:ptCount val="8"/>
                <c:pt idx="0">
                  <c:v>1</c:v>
                </c:pt>
                <c:pt idx="1">
                  <c:v>1</c:v>
                </c:pt>
                <c:pt idx="2">
                  <c:v>3</c:v>
                </c:pt>
                <c:pt idx="3">
                  <c:v>4</c:v>
                </c:pt>
                <c:pt idx="4">
                  <c:v>4</c:v>
                </c:pt>
                <c:pt idx="5">
                  <c:v>9</c:v>
                </c:pt>
                <c:pt idx="6">
                  <c:v>13</c:v>
                </c:pt>
                <c:pt idx="7">
                  <c:v>13</c:v>
                </c:pt>
              </c:numCache>
            </c:numRef>
          </c:val>
          <c:extLst>
            <c:ext xmlns:c16="http://schemas.microsoft.com/office/drawing/2014/chart" uri="{C3380CC4-5D6E-409C-BE32-E72D297353CC}">
              <c16:uniqueId val="{00000007-7225-4EF8-8A7C-4B5E5DA03C01}"/>
            </c:ext>
          </c:extLst>
        </c:ser>
        <c:ser>
          <c:idx val="8"/>
          <c:order val="8"/>
          <c:tx>
            <c:strRef>
              <c:f>'Scaff CARs over time '!$N$10</c:f>
              <c:strCache>
                <c:ptCount val="1"/>
                <c:pt idx="0">
                  <c:v>H5.1</c:v>
                </c:pt>
              </c:strCache>
            </c:strRef>
          </c:tx>
          <c:spPr>
            <a:solidFill>
              <a:schemeClr val="accent2">
                <a:lumMod val="75000"/>
              </a:schemeClr>
            </a:solidFill>
            <a:ln w="9525">
              <a:solidFill>
                <a:schemeClr val="tx1"/>
              </a:solidFill>
            </a:ln>
            <a:effectLst/>
          </c:spPr>
          <c:cat>
            <c:strRef>
              <c:f>'Scaff CARs over time '!$O$1:$V$1</c:f>
              <c:strCache>
                <c:ptCount val="8"/>
                <c:pt idx="0">
                  <c:v>November</c:v>
                </c:pt>
                <c:pt idx="1">
                  <c:v>December</c:v>
                </c:pt>
                <c:pt idx="2">
                  <c:v>January</c:v>
                </c:pt>
                <c:pt idx="3">
                  <c:v>February</c:v>
                </c:pt>
                <c:pt idx="4">
                  <c:v>March</c:v>
                </c:pt>
                <c:pt idx="5">
                  <c:v>April</c:v>
                </c:pt>
                <c:pt idx="6">
                  <c:v>May</c:v>
                </c:pt>
                <c:pt idx="7">
                  <c:v>June</c:v>
                </c:pt>
              </c:strCache>
            </c:strRef>
          </c:cat>
          <c:val>
            <c:numRef>
              <c:f>'Scaff CARs over time '!$O$10:$V$10</c:f>
              <c:numCache>
                <c:formatCode>General</c:formatCode>
                <c:ptCount val="8"/>
                <c:pt idx="0">
                  <c:v>0</c:v>
                </c:pt>
                <c:pt idx="1">
                  <c:v>0</c:v>
                </c:pt>
                <c:pt idx="2">
                  <c:v>2</c:v>
                </c:pt>
                <c:pt idx="3">
                  <c:v>3</c:v>
                </c:pt>
                <c:pt idx="4">
                  <c:v>4</c:v>
                </c:pt>
                <c:pt idx="5">
                  <c:v>5</c:v>
                </c:pt>
                <c:pt idx="6">
                  <c:v>8</c:v>
                </c:pt>
                <c:pt idx="7">
                  <c:v>8</c:v>
                </c:pt>
              </c:numCache>
            </c:numRef>
          </c:val>
          <c:extLst>
            <c:ext xmlns:c16="http://schemas.microsoft.com/office/drawing/2014/chart" uri="{C3380CC4-5D6E-409C-BE32-E72D297353CC}">
              <c16:uniqueId val="{00000008-7225-4EF8-8A7C-4B5E5DA03C01}"/>
            </c:ext>
          </c:extLst>
        </c:ser>
        <c:ser>
          <c:idx val="9"/>
          <c:order val="9"/>
          <c:tx>
            <c:strRef>
              <c:f>'Scaff CARs over time '!$N$11</c:f>
              <c:strCache>
                <c:ptCount val="1"/>
                <c:pt idx="0">
                  <c:v>H5.8</c:v>
                </c:pt>
              </c:strCache>
            </c:strRef>
          </c:tx>
          <c:spPr>
            <a:solidFill>
              <a:schemeClr val="accent6">
                <a:lumMod val="50000"/>
              </a:schemeClr>
            </a:solidFill>
            <a:ln w="9525">
              <a:solidFill>
                <a:schemeClr val="tx1"/>
              </a:solidFill>
            </a:ln>
            <a:effectLst/>
          </c:spPr>
          <c:cat>
            <c:strRef>
              <c:f>'Scaff CARs over time '!$O$1:$V$1</c:f>
              <c:strCache>
                <c:ptCount val="8"/>
                <c:pt idx="0">
                  <c:v>November</c:v>
                </c:pt>
                <c:pt idx="1">
                  <c:v>December</c:v>
                </c:pt>
                <c:pt idx="2">
                  <c:v>January</c:v>
                </c:pt>
                <c:pt idx="3">
                  <c:v>February</c:v>
                </c:pt>
                <c:pt idx="4">
                  <c:v>March</c:v>
                </c:pt>
                <c:pt idx="5">
                  <c:v>April</c:v>
                </c:pt>
                <c:pt idx="6">
                  <c:v>May</c:v>
                </c:pt>
                <c:pt idx="7">
                  <c:v>June</c:v>
                </c:pt>
              </c:strCache>
            </c:strRef>
          </c:cat>
          <c:val>
            <c:numRef>
              <c:f>'Scaff CARs over time '!$O$11:$V$11</c:f>
              <c:numCache>
                <c:formatCode>General</c:formatCode>
                <c:ptCount val="8"/>
                <c:pt idx="0">
                  <c:v>0</c:v>
                </c:pt>
                <c:pt idx="1">
                  <c:v>0</c:v>
                </c:pt>
                <c:pt idx="2">
                  <c:v>1</c:v>
                </c:pt>
                <c:pt idx="3">
                  <c:v>2</c:v>
                </c:pt>
                <c:pt idx="4">
                  <c:v>2</c:v>
                </c:pt>
                <c:pt idx="5">
                  <c:v>3</c:v>
                </c:pt>
                <c:pt idx="6">
                  <c:v>6</c:v>
                </c:pt>
                <c:pt idx="7">
                  <c:v>7</c:v>
                </c:pt>
              </c:numCache>
            </c:numRef>
          </c:val>
          <c:extLst>
            <c:ext xmlns:c16="http://schemas.microsoft.com/office/drawing/2014/chart" uri="{C3380CC4-5D6E-409C-BE32-E72D297353CC}">
              <c16:uniqueId val="{00000009-7225-4EF8-8A7C-4B5E5DA03C01}"/>
            </c:ext>
          </c:extLst>
        </c:ser>
        <c:dLbls>
          <c:showLegendKey val="0"/>
          <c:showVal val="0"/>
          <c:showCatName val="0"/>
          <c:showSerName val="0"/>
          <c:showPercent val="0"/>
          <c:showBubbleSize val="0"/>
        </c:dLbls>
        <c:axId val="944566896"/>
        <c:axId val="944566504"/>
      </c:areaChart>
      <c:catAx>
        <c:axId val="944566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44566504"/>
        <c:crosses val="autoZero"/>
        <c:auto val="1"/>
        <c:lblAlgn val="ctr"/>
        <c:lblOffset val="100"/>
        <c:noMultiLvlLbl val="0"/>
      </c:catAx>
      <c:valAx>
        <c:axId val="944566504"/>
        <c:scaling>
          <c:orientation val="minMax"/>
          <c:max val="1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crossAx val="944566896"/>
        <c:crosses val="autoZero"/>
        <c:crossBetween val="midCat"/>
        <c:majorUnit val="20"/>
      </c:valAx>
      <c:spPr>
        <a:noFill/>
        <a:ln>
          <a:noFill/>
        </a:ln>
        <a:effectLst/>
      </c:spPr>
    </c:plotArea>
    <c:legend>
      <c:legendPos val="r"/>
      <c:layout>
        <c:manualLayout>
          <c:xMode val="edge"/>
          <c:yMode val="edge"/>
          <c:x val="0.8675223876033662"/>
          <c:y val="6.4711116553802156E-2"/>
          <c:w val="0.1246844005822251"/>
          <c:h val="0.8592645849031821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legend>
    <c:plotVisOnly val="1"/>
    <c:dispBlanksAs val="zero"/>
    <c:showDLblsOverMax val="0"/>
  </c:chart>
  <c:spPr>
    <a:no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062976851462919"/>
          <c:y val="4.9296739249542115E-2"/>
          <c:w val="0.51783136710239064"/>
          <c:h val="0.89106111363316165"/>
        </c:manualLayout>
      </c:layout>
      <c:pieChart>
        <c:varyColors val="1"/>
        <c:ser>
          <c:idx val="1"/>
          <c:order val="0"/>
          <c:spPr>
            <a:ln w="9525">
              <a:solidFill>
                <a:schemeClr val="tx1"/>
              </a:solidFill>
            </a:ln>
          </c:spPr>
          <c:dPt>
            <c:idx val="0"/>
            <c:bubble3D val="0"/>
            <c:spPr>
              <a:solidFill>
                <a:srgbClr val="C00000"/>
              </a:solidFill>
              <a:ln w="9525">
                <a:solidFill>
                  <a:schemeClr val="tx1"/>
                </a:solidFill>
              </a:ln>
            </c:spPr>
            <c:extLst>
              <c:ext xmlns:c16="http://schemas.microsoft.com/office/drawing/2014/chart" uri="{C3380CC4-5D6E-409C-BE32-E72D297353CC}">
                <c16:uniqueId val="{00000003-3EA5-4453-B68E-F1784DA00207}"/>
              </c:ext>
            </c:extLst>
          </c:dPt>
          <c:dPt>
            <c:idx val="1"/>
            <c:bubble3D val="0"/>
            <c:spPr>
              <a:solidFill>
                <a:schemeClr val="bg2">
                  <a:lumMod val="50000"/>
                </a:schemeClr>
              </a:solidFill>
              <a:ln w="9525">
                <a:solidFill>
                  <a:schemeClr val="tx1"/>
                </a:solidFill>
              </a:ln>
            </c:spPr>
            <c:extLst>
              <c:ext xmlns:c16="http://schemas.microsoft.com/office/drawing/2014/chart" uri="{C3380CC4-5D6E-409C-BE32-E72D297353CC}">
                <c16:uniqueId val="{00000002-3EA5-4453-B68E-F1784DA00207}"/>
              </c:ext>
            </c:extLst>
          </c:dPt>
          <c:dLbls>
            <c:dLbl>
              <c:idx val="0"/>
              <c:layout>
                <c:manualLayout>
                  <c:x val="0.1959251941228006"/>
                  <c:y val="6.3441398850988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A5-4453-B68E-F1784DA00207}"/>
                </c:ext>
              </c:extLst>
            </c:dLbl>
            <c:dLbl>
              <c:idx val="1"/>
              <c:layout>
                <c:manualLayout>
                  <c:x val="-0.1509127072016096"/>
                  <c:y val="-6.3298163773265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A5-4453-B68E-F1784DA00207}"/>
                </c:ext>
              </c:extLst>
            </c:dLbl>
            <c:spPr>
              <a:noFill/>
              <a:ln>
                <a:noFill/>
              </a:ln>
              <a:effectLst/>
            </c:spPr>
            <c:txPr>
              <a:bodyPr wrap="square" lIns="38100" tIns="19050" rIns="38100" bIns="19050" anchor="ctr">
                <a:spAutoFit/>
              </a:bodyPr>
              <a:lstStyle/>
              <a:p>
                <a:pPr>
                  <a:defRPr sz="3200">
                    <a:ln>
                      <a:solidFill>
                        <a:schemeClr val="tx1"/>
                      </a:solidFill>
                    </a:ln>
                    <a:solidFill>
                      <a:schemeClr val="bg1"/>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majorminor!$B$18:$C$18</c:f>
              <c:strCache>
                <c:ptCount val="2"/>
                <c:pt idx="0">
                  <c:v>Major</c:v>
                </c:pt>
                <c:pt idx="1">
                  <c:v>Minor</c:v>
                </c:pt>
              </c:strCache>
            </c:strRef>
          </c:cat>
          <c:val>
            <c:numRef>
              <c:f>majorminor!$B$29:$C$29</c:f>
              <c:numCache>
                <c:formatCode>General</c:formatCode>
                <c:ptCount val="2"/>
                <c:pt idx="0">
                  <c:v>64</c:v>
                </c:pt>
                <c:pt idx="1">
                  <c:v>92</c:v>
                </c:pt>
              </c:numCache>
            </c:numRef>
          </c:val>
          <c:extLst>
            <c:ext xmlns:c16="http://schemas.microsoft.com/office/drawing/2014/chart" uri="{C3380CC4-5D6E-409C-BE32-E72D297353CC}">
              <c16:uniqueId val="{00000000-3EA5-4453-B68E-F1784DA00207}"/>
            </c:ext>
          </c:extLst>
        </c:ser>
        <c:dLbls>
          <c:showLegendKey val="0"/>
          <c:showVal val="0"/>
          <c:showCatName val="0"/>
          <c:showSerName val="0"/>
          <c:showPercent val="0"/>
          <c:showBubbleSize val="0"/>
          <c:showLeaderLines val="1"/>
        </c:dLbls>
        <c:firstSliceAng val="212"/>
      </c:pieChart>
    </c:plotArea>
    <c:legend>
      <c:legendPos val="b"/>
      <c:layout>
        <c:manualLayout>
          <c:xMode val="edge"/>
          <c:yMode val="edge"/>
          <c:x val="0.15832565061278109"/>
          <c:y val="0.71916727978585182"/>
          <c:w val="0.28983316949590804"/>
          <c:h val="0.10190627886225952"/>
        </c:manualLayout>
      </c:layout>
      <c:overlay val="0"/>
      <c:spPr>
        <a:noFill/>
        <a:ln>
          <a:noFill/>
        </a:ln>
        <a:effectLst/>
      </c:spPr>
      <c:txPr>
        <a:bodyPr rot="0" vert="horz"/>
        <a:lstStyle/>
        <a:p>
          <a:pPr rtl="0">
            <a:defRPr/>
          </a:pPr>
          <a:endParaRPr lang="en-US"/>
        </a:p>
      </c:txPr>
    </c:legend>
    <c:plotVisOnly val="1"/>
    <c:dispBlanksAs val="gap"/>
    <c:showDLblsOverMax val="0"/>
  </c:chart>
  <c:spPr>
    <a:noFill/>
    <a:ln>
      <a:noFill/>
    </a:ln>
  </c:spPr>
  <c:txPr>
    <a:bodyPr/>
    <a:lstStyle/>
    <a:p>
      <a:pPr>
        <a:defRPr sz="1200" b="1"/>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a:t>H5.6</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Work!$B$10</c:f>
              <c:strCache>
                <c:ptCount val="1"/>
                <c:pt idx="0">
                  <c:v>H5.6 Minor</c:v>
                </c:pt>
              </c:strCache>
            </c:strRef>
          </c:tx>
          <c:spPr>
            <a:solidFill>
              <a:schemeClr val="bg2">
                <a:lumMod val="50000"/>
              </a:schemeClr>
            </a:solidFill>
            <a:ln>
              <a:noFill/>
            </a:ln>
            <a:effectLst/>
          </c:spPr>
          <c:invertIfNegative val="0"/>
          <c:cat>
            <c:strRef>
              <c:f>Work!$C$9:$F$9</c:f>
              <c:strCache>
                <c:ptCount val="4"/>
                <c:pt idx="0">
                  <c:v>2017</c:v>
                </c:pt>
                <c:pt idx="1">
                  <c:v>2018</c:v>
                </c:pt>
                <c:pt idx="2">
                  <c:v>2019</c:v>
                </c:pt>
                <c:pt idx="3">
                  <c:v>H2020</c:v>
                </c:pt>
              </c:strCache>
            </c:strRef>
          </c:cat>
          <c:val>
            <c:numRef>
              <c:f>Work!$C$10:$F$10</c:f>
              <c:numCache>
                <c:formatCode>0.0%</c:formatCode>
                <c:ptCount val="4"/>
                <c:pt idx="0">
                  <c:v>0.18604651162790697</c:v>
                </c:pt>
                <c:pt idx="1">
                  <c:v>0.28000000000000003</c:v>
                </c:pt>
                <c:pt idx="2">
                  <c:v>0.28000000000000003</c:v>
                </c:pt>
                <c:pt idx="3">
                  <c:v>0.34</c:v>
                </c:pt>
              </c:numCache>
            </c:numRef>
          </c:val>
          <c:extLst>
            <c:ext xmlns:c16="http://schemas.microsoft.com/office/drawing/2014/chart" uri="{C3380CC4-5D6E-409C-BE32-E72D297353CC}">
              <c16:uniqueId val="{00000000-DAFA-4D15-96EA-F2B307048BC6}"/>
            </c:ext>
          </c:extLst>
        </c:ser>
        <c:ser>
          <c:idx val="1"/>
          <c:order val="1"/>
          <c:tx>
            <c:strRef>
              <c:f>Work!$B$11</c:f>
              <c:strCache>
                <c:ptCount val="1"/>
                <c:pt idx="0">
                  <c:v>H5.6 Major</c:v>
                </c:pt>
              </c:strCache>
            </c:strRef>
          </c:tx>
          <c:spPr>
            <a:solidFill>
              <a:srgbClr val="C00000"/>
            </a:solidFill>
            <a:ln>
              <a:noFill/>
            </a:ln>
            <a:effectLst/>
          </c:spPr>
          <c:invertIfNegative val="0"/>
          <c:cat>
            <c:strRef>
              <c:f>Work!$C$9:$F$9</c:f>
              <c:strCache>
                <c:ptCount val="4"/>
                <c:pt idx="0">
                  <c:v>2017</c:v>
                </c:pt>
                <c:pt idx="1">
                  <c:v>2018</c:v>
                </c:pt>
                <c:pt idx="2">
                  <c:v>2019</c:v>
                </c:pt>
                <c:pt idx="3">
                  <c:v>H2020</c:v>
                </c:pt>
              </c:strCache>
            </c:strRef>
          </c:cat>
          <c:val>
            <c:numRef>
              <c:f>Work!$C$11:$F$11</c:f>
              <c:numCache>
                <c:formatCode>0.0%</c:formatCode>
                <c:ptCount val="4"/>
                <c:pt idx="0">
                  <c:v>0.13953488372093023</c:v>
                </c:pt>
                <c:pt idx="1">
                  <c:v>0.22</c:v>
                </c:pt>
                <c:pt idx="2">
                  <c:v>0.14000000000000001</c:v>
                </c:pt>
                <c:pt idx="3">
                  <c:v>0.18</c:v>
                </c:pt>
              </c:numCache>
            </c:numRef>
          </c:val>
          <c:extLst>
            <c:ext xmlns:c16="http://schemas.microsoft.com/office/drawing/2014/chart" uri="{C3380CC4-5D6E-409C-BE32-E72D297353CC}">
              <c16:uniqueId val="{00000001-DAFA-4D15-96EA-F2B307048BC6}"/>
            </c:ext>
          </c:extLst>
        </c:ser>
        <c:dLbls>
          <c:showLegendKey val="0"/>
          <c:showVal val="0"/>
          <c:showCatName val="0"/>
          <c:showSerName val="0"/>
          <c:showPercent val="0"/>
          <c:showBubbleSize val="0"/>
        </c:dLbls>
        <c:gapWidth val="50"/>
        <c:overlap val="100"/>
        <c:axId val="944573560"/>
        <c:axId val="944569640"/>
      </c:barChart>
      <c:catAx>
        <c:axId val="944573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44569640"/>
        <c:crosses val="autoZero"/>
        <c:auto val="1"/>
        <c:lblAlgn val="ctr"/>
        <c:lblOffset val="100"/>
        <c:noMultiLvlLbl val="0"/>
      </c:catAx>
      <c:valAx>
        <c:axId val="94456964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9445735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a:t>H5.4</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Work!$B$14</c:f>
              <c:strCache>
                <c:ptCount val="1"/>
                <c:pt idx="0">
                  <c:v>H5.4 Minor</c:v>
                </c:pt>
              </c:strCache>
            </c:strRef>
          </c:tx>
          <c:spPr>
            <a:solidFill>
              <a:schemeClr val="bg2">
                <a:lumMod val="50000"/>
              </a:schemeClr>
            </a:solidFill>
            <a:ln>
              <a:noFill/>
            </a:ln>
            <a:effectLst/>
          </c:spPr>
          <c:invertIfNegative val="0"/>
          <c:cat>
            <c:strRef>
              <c:f>Work!$C$13:$F$13</c:f>
              <c:strCache>
                <c:ptCount val="4"/>
                <c:pt idx="0">
                  <c:v>2017</c:v>
                </c:pt>
                <c:pt idx="1">
                  <c:v>2018</c:v>
                </c:pt>
                <c:pt idx="2">
                  <c:v>2019</c:v>
                </c:pt>
                <c:pt idx="3">
                  <c:v>H2020</c:v>
                </c:pt>
              </c:strCache>
            </c:strRef>
          </c:cat>
          <c:val>
            <c:numRef>
              <c:f>Work!$C$14:$F$14</c:f>
              <c:numCache>
                <c:formatCode>0.0%</c:formatCode>
                <c:ptCount val="4"/>
                <c:pt idx="0">
                  <c:v>0.23255813953488372</c:v>
                </c:pt>
                <c:pt idx="1">
                  <c:v>0.22</c:v>
                </c:pt>
                <c:pt idx="2">
                  <c:v>0.16</c:v>
                </c:pt>
                <c:pt idx="3">
                  <c:v>0.22</c:v>
                </c:pt>
              </c:numCache>
            </c:numRef>
          </c:val>
          <c:extLst>
            <c:ext xmlns:c16="http://schemas.microsoft.com/office/drawing/2014/chart" uri="{C3380CC4-5D6E-409C-BE32-E72D297353CC}">
              <c16:uniqueId val="{00000000-350B-4AA3-A0E4-EE78D3888397}"/>
            </c:ext>
          </c:extLst>
        </c:ser>
        <c:ser>
          <c:idx val="1"/>
          <c:order val="1"/>
          <c:tx>
            <c:strRef>
              <c:f>Work!$B$15</c:f>
              <c:strCache>
                <c:ptCount val="1"/>
                <c:pt idx="0">
                  <c:v>H5.4 Major</c:v>
                </c:pt>
              </c:strCache>
            </c:strRef>
          </c:tx>
          <c:spPr>
            <a:solidFill>
              <a:srgbClr val="C00000"/>
            </a:solidFill>
            <a:ln>
              <a:noFill/>
            </a:ln>
            <a:effectLst/>
          </c:spPr>
          <c:invertIfNegative val="0"/>
          <c:cat>
            <c:strRef>
              <c:f>Work!$C$13:$F$13</c:f>
              <c:strCache>
                <c:ptCount val="4"/>
                <c:pt idx="0">
                  <c:v>2017</c:v>
                </c:pt>
                <c:pt idx="1">
                  <c:v>2018</c:v>
                </c:pt>
                <c:pt idx="2">
                  <c:v>2019</c:v>
                </c:pt>
                <c:pt idx="3">
                  <c:v>H2020</c:v>
                </c:pt>
              </c:strCache>
            </c:strRef>
          </c:cat>
          <c:val>
            <c:numRef>
              <c:f>Work!$C$15:$F$15</c:f>
              <c:numCache>
                <c:formatCode>0.0%</c:formatCode>
                <c:ptCount val="4"/>
                <c:pt idx="0">
                  <c:v>0.20930232558139536</c:v>
                </c:pt>
                <c:pt idx="1">
                  <c:v>0.34</c:v>
                </c:pt>
                <c:pt idx="2">
                  <c:v>0.24</c:v>
                </c:pt>
                <c:pt idx="3">
                  <c:v>0.2</c:v>
                </c:pt>
              </c:numCache>
            </c:numRef>
          </c:val>
          <c:extLst>
            <c:ext xmlns:c16="http://schemas.microsoft.com/office/drawing/2014/chart" uri="{C3380CC4-5D6E-409C-BE32-E72D297353CC}">
              <c16:uniqueId val="{00000001-350B-4AA3-A0E4-EE78D3888397}"/>
            </c:ext>
          </c:extLst>
        </c:ser>
        <c:dLbls>
          <c:showLegendKey val="0"/>
          <c:showVal val="0"/>
          <c:showCatName val="0"/>
          <c:showSerName val="0"/>
          <c:showPercent val="0"/>
          <c:showBubbleSize val="0"/>
        </c:dLbls>
        <c:gapWidth val="50"/>
        <c:overlap val="100"/>
        <c:axId val="944575520"/>
        <c:axId val="944579440"/>
      </c:barChart>
      <c:catAx>
        <c:axId val="94457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44579440"/>
        <c:crosses val="autoZero"/>
        <c:auto val="1"/>
        <c:lblAlgn val="ctr"/>
        <c:lblOffset val="100"/>
        <c:noMultiLvlLbl val="0"/>
      </c:catAx>
      <c:valAx>
        <c:axId val="94457944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9445755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a:t>H1.4</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Work!$B$38</c:f>
              <c:strCache>
                <c:ptCount val="1"/>
                <c:pt idx="0">
                  <c:v>H1.4 Minor</c:v>
                </c:pt>
              </c:strCache>
            </c:strRef>
          </c:tx>
          <c:spPr>
            <a:solidFill>
              <a:schemeClr val="bg2">
                <a:lumMod val="50000"/>
              </a:schemeClr>
            </a:solidFill>
            <a:ln>
              <a:noFill/>
            </a:ln>
            <a:effectLst/>
          </c:spPr>
          <c:invertIfNegative val="0"/>
          <c:cat>
            <c:strRef>
              <c:f>Work!$C$37:$F$37</c:f>
              <c:strCache>
                <c:ptCount val="4"/>
                <c:pt idx="0">
                  <c:v>2017</c:v>
                </c:pt>
                <c:pt idx="1">
                  <c:v>2018</c:v>
                </c:pt>
                <c:pt idx="2">
                  <c:v>2019</c:v>
                </c:pt>
                <c:pt idx="3">
                  <c:v>H2020</c:v>
                </c:pt>
              </c:strCache>
            </c:strRef>
          </c:cat>
          <c:val>
            <c:numRef>
              <c:f>Work!$C$38:$F$38</c:f>
              <c:numCache>
                <c:formatCode>0.0%</c:formatCode>
                <c:ptCount val="4"/>
                <c:pt idx="0">
                  <c:v>0.32400000000000001</c:v>
                </c:pt>
                <c:pt idx="1">
                  <c:v>0.25</c:v>
                </c:pt>
                <c:pt idx="2">
                  <c:v>0.28199999999999997</c:v>
                </c:pt>
                <c:pt idx="3">
                  <c:v>0.311</c:v>
                </c:pt>
              </c:numCache>
            </c:numRef>
          </c:val>
          <c:extLst>
            <c:ext xmlns:c16="http://schemas.microsoft.com/office/drawing/2014/chart" uri="{C3380CC4-5D6E-409C-BE32-E72D297353CC}">
              <c16:uniqueId val="{00000000-3578-4076-97EF-85B44A9F2453}"/>
            </c:ext>
          </c:extLst>
        </c:ser>
        <c:ser>
          <c:idx val="1"/>
          <c:order val="1"/>
          <c:tx>
            <c:strRef>
              <c:f>Work!$B$39</c:f>
              <c:strCache>
                <c:ptCount val="1"/>
                <c:pt idx="0">
                  <c:v>H1.4 Major</c:v>
                </c:pt>
              </c:strCache>
            </c:strRef>
          </c:tx>
          <c:spPr>
            <a:solidFill>
              <a:srgbClr val="C00000"/>
            </a:solidFill>
            <a:ln>
              <a:noFill/>
            </a:ln>
            <a:effectLst/>
          </c:spPr>
          <c:invertIfNegative val="0"/>
          <c:cat>
            <c:strRef>
              <c:f>Work!$C$37:$F$37</c:f>
              <c:strCache>
                <c:ptCount val="4"/>
                <c:pt idx="0">
                  <c:v>2017</c:v>
                </c:pt>
                <c:pt idx="1">
                  <c:v>2018</c:v>
                </c:pt>
                <c:pt idx="2">
                  <c:v>2019</c:v>
                </c:pt>
                <c:pt idx="3">
                  <c:v>H2020</c:v>
                </c:pt>
              </c:strCache>
            </c:strRef>
          </c:cat>
          <c:val>
            <c:numRef>
              <c:f>Work!$C$39:$F$39</c:f>
              <c:numCache>
                <c:formatCode>0.0%</c:formatCode>
                <c:ptCount val="4"/>
                <c:pt idx="0">
                  <c:v>0.108</c:v>
                </c:pt>
                <c:pt idx="1">
                  <c:v>0.17</c:v>
                </c:pt>
                <c:pt idx="2">
                  <c:v>0.188</c:v>
                </c:pt>
                <c:pt idx="3">
                  <c:v>9.8000000000000004E-2</c:v>
                </c:pt>
              </c:numCache>
            </c:numRef>
          </c:val>
          <c:extLst>
            <c:ext xmlns:c16="http://schemas.microsoft.com/office/drawing/2014/chart" uri="{C3380CC4-5D6E-409C-BE32-E72D297353CC}">
              <c16:uniqueId val="{00000001-3578-4076-97EF-85B44A9F2453}"/>
            </c:ext>
          </c:extLst>
        </c:ser>
        <c:dLbls>
          <c:showLegendKey val="0"/>
          <c:showVal val="0"/>
          <c:showCatName val="0"/>
          <c:showSerName val="0"/>
          <c:showPercent val="0"/>
          <c:showBubbleSize val="0"/>
        </c:dLbls>
        <c:gapWidth val="50"/>
        <c:overlap val="100"/>
        <c:axId val="944579048"/>
        <c:axId val="944580616"/>
      </c:barChart>
      <c:catAx>
        <c:axId val="944579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44580616"/>
        <c:crosses val="autoZero"/>
        <c:auto val="1"/>
        <c:lblAlgn val="ctr"/>
        <c:lblOffset val="100"/>
        <c:noMultiLvlLbl val="0"/>
      </c:catAx>
      <c:valAx>
        <c:axId val="944580616"/>
        <c:scaling>
          <c:orientation val="minMax"/>
          <c:max val="0.60000000000000009"/>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9445790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a:t>H5.7</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Work!$B$42</c:f>
              <c:strCache>
                <c:ptCount val="1"/>
                <c:pt idx="0">
                  <c:v>H5.7 Minor</c:v>
                </c:pt>
              </c:strCache>
            </c:strRef>
          </c:tx>
          <c:spPr>
            <a:solidFill>
              <a:schemeClr val="bg2">
                <a:lumMod val="50000"/>
              </a:schemeClr>
            </a:solidFill>
            <a:ln>
              <a:noFill/>
            </a:ln>
            <a:effectLst/>
          </c:spPr>
          <c:invertIfNegative val="0"/>
          <c:cat>
            <c:strRef>
              <c:f>Work!$C$41:$F$41</c:f>
              <c:strCache>
                <c:ptCount val="4"/>
                <c:pt idx="0">
                  <c:v>2017</c:v>
                </c:pt>
                <c:pt idx="1">
                  <c:v>2018</c:v>
                </c:pt>
                <c:pt idx="2">
                  <c:v>2019</c:v>
                </c:pt>
                <c:pt idx="3">
                  <c:v>H2020</c:v>
                </c:pt>
              </c:strCache>
            </c:strRef>
          </c:cat>
          <c:val>
            <c:numRef>
              <c:f>Work!$C$42:$F$42</c:f>
              <c:numCache>
                <c:formatCode>0.0%</c:formatCode>
                <c:ptCount val="4"/>
                <c:pt idx="0">
                  <c:v>0.23300000000000001</c:v>
                </c:pt>
                <c:pt idx="1">
                  <c:v>0.22</c:v>
                </c:pt>
                <c:pt idx="2">
                  <c:v>0.36</c:v>
                </c:pt>
                <c:pt idx="3">
                  <c:v>0.16</c:v>
                </c:pt>
              </c:numCache>
            </c:numRef>
          </c:val>
          <c:extLst>
            <c:ext xmlns:c16="http://schemas.microsoft.com/office/drawing/2014/chart" uri="{C3380CC4-5D6E-409C-BE32-E72D297353CC}">
              <c16:uniqueId val="{00000000-929B-4E99-8815-E485C662661F}"/>
            </c:ext>
          </c:extLst>
        </c:ser>
        <c:ser>
          <c:idx val="1"/>
          <c:order val="1"/>
          <c:tx>
            <c:strRef>
              <c:f>Work!$B$43</c:f>
              <c:strCache>
                <c:ptCount val="1"/>
                <c:pt idx="0">
                  <c:v>H5.7 Major</c:v>
                </c:pt>
              </c:strCache>
            </c:strRef>
          </c:tx>
          <c:spPr>
            <a:solidFill>
              <a:srgbClr val="C00000"/>
            </a:solidFill>
            <a:ln>
              <a:noFill/>
            </a:ln>
            <a:effectLst/>
          </c:spPr>
          <c:invertIfNegative val="0"/>
          <c:cat>
            <c:strRef>
              <c:f>Work!$C$41:$F$41</c:f>
              <c:strCache>
                <c:ptCount val="4"/>
                <c:pt idx="0">
                  <c:v>2017</c:v>
                </c:pt>
                <c:pt idx="1">
                  <c:v>2018</c:v>
                </c:pt>
                <c:pt idx="2">
                  <c:v>2019</c:v>
                </c:pt>
                <c:pt idx="3">
                  <c:v>H2020</c:v>
                </c:pt>
              </c:strCache>
            </c:strRef>
          </c:cat>
          <c:val>
            <c:numRef>
              <c:f>Work!$C$43:$F$43</c:f>
              <c:numCache>
                <c:formatCode>0.0%</c:formatCode>
                <c:ptCount val="4"/>
                <c:pt idx="0">
                  <c:v>0.16300000000000001</c:v>
                </c:pt>
                <c:pt idx="1">
                  <c:v>0.14000000000000001</c:v>
                </c:pt>
                <c:pt idx="2">
                  <c:v>0.06</c:v>
                </c:pt>
                <c:pt idx="3">
                  <c:v>0.16</c:v>
                </c:pt>
              </c:numCache>
            </c:numRef>
          </c:val>
          <c:extLst>
            <c:ext xmlns:c16="http://schemas.microsoft.com/office/drawing/2014/chart" uri="{C3380CC4-5D6E-409C-BE32-E72D297353CC}">
              <c16:uniqueId val="{00000001-929B-4E99-8815-E485C662661F}"/>
            </c:ext>
          </c:extLst>
        </c:ser>
        <c:dLbls>
          <c:showLegendKey val="0"/>
          <c:showVal val="0"/>
          <c:showCatName val="0"/>
          <c:showSerName val="0"/>
          <c:showPercent val="0"/>
          <c:showBubbleSize val="0"/>
        </c:dLbls>
        <c:gapWidth val="50"/>
        <c:overlap val="100"/>
        <c:axId val="944581792"/>
        <c:axId val="944581008"/>
      </c:barChart>
      <c:catAx>
        <c:axId val="94458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44581008"/>
        <c:crosses val="autoZero"/>
        <c:auto val="1"/>
        <c:lblAlgn val="ctr"/>
        <c:lblOffset val="100"/>
        <c:noMultiLvlLbl val="0"/>
      </c:catAx>
      <c:valAx>
        <c:axId val="944581008"/>
        <c:scaling>
          <c:orientation val="minMax"/>
          <c:max val="0.60000000000000009"/>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9445817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a:t>Hazard 2020 Incidents Reported</a:t>
            </a:r>
          </a:p>
        </c:rich>
      </c:tx>
      <c:layout>
        <c:manualLayout>
          <c:xMode val="edge"/>
          <c:yMode val="edge"/>
          <c:x val="0.70758130331364844"/>
          <c:y val="1.268719725166959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6900639763779528"/>
          <c:y val="7.8002103049421664E-2"/>
          <c:w val="0.29561310695538057"/>
          <c:h val="0.78003103746197078"/>
        </c:manualLayout>
      </c:layout>
      <c:barChart>
        <c:barDir val="col"/>
        <c:grouping val="clustered"/>
        <c:varyColors val="0"/>
        <c:ser>
          <c:idx val="0"/>
          <c:order val="0"/>
          <c:tx>
            <c:strRef>
              <c:f>TABLE1!$F$9</c:f>
              <c:strCache>
                <c:ptCount val="1"/>
                <c:pt idx="0">
                  <c:v>Dangerous Occurrence</c:v>
                </c:pt>
              </c:strCache>
            </c:strRef>
          </c:tx>
          <c:spPr>
            <a:solidFill>
              <a:schemeClr val="bg2">
                <a:lumMod val="75000"/>
              </a:schemeClr>
            </a:solidFill>
            <a:ln>
              <a:noFill/>
            </a:ln>
            <a:effectLst/>
          </c:spPr>
          <c:invertIfNegative val="0"/>
          <c:cat>
            <c:strRef>
              <c:f>TABLE1!$G$8:$H$8</c:f>
              <c:strCache>
                <c:ptCount val="2"/>
                <c:pt idx="0">
                  <c:v>Mobile Plant</c:v>
                </c:pt>
                <c:pt idx="1">
                  <c:v>Scaffold</c:v>
                </c:pt>
              </c:strCache>
            </c:strRef>
          </c:cat>
          <c:val>
            <c:numRef>
              <c:f>TABLE1!$G$9:$H$9</c:f>
              <c:numCache>
                <c:formatCode>General</c:formatCode>
                <c:ptCount val="2"/>
                <c:pt idx="0">
                  <c:v>17</c:v>
                </c:pt>
                <c:pt idx="1">
                  <c:v>1</c:v>
                </c:pt>
              </c:numCache>
            </c:numRef>
          </c:val>
          <c:extLst>
            <c:ext xmlns:c16="http://schemas.microsoft.com/office/drawing/2014/chart" uri="{C3380CC4-5D6E-409C-BE32-E72D297353CC}">
              <c16:uniqueId val="{00000000-D872-412E-8C31-1942B9CE7526}"/>
            </c:ext>
          </c:extLst>
        </c:ser>
        <c:ser>
          <c:idx val="1"/>
          <c:order val="1"/>
          <c:tx>
            <c:strRef>
              <c:f>TABLE1!$F$10</c:f>
              <c:strCache>
                <c:ptCount val="1"/>
                <c:pt idx="0">
                  <c:v>LTI</c:v>
                </c:pt>
              </c:strCache>
            </c:strRef>
          </c:tx>
          <c:spPr>
            <a:solidFill>
              <a:srgbClr val="C00000"/>
            </a:solidFill>
            <a:ln>
              <a:noFill/>
            </a:ln>
            <a:effectLst/>
          </c:spPr>
          <c:invertIfNegative val="0"/>
          <c:cat>
            <c:strRef>
              <c:f>TABLE1!$G$8:$H$8</c:f>
              <c:strCache>
                <c:ptCount val="2"/>
                <c:pt idx="0">
                  <c:v>Mobile Plant</c:v>
                </c:pt>
                <c:pt idx="1">
                  <c:v>Scaffold</c:v>
                </c:pt>
              </c:strCache>
            </c:strRef>
          </c:cat>
          <c:val>
            <c:numRef>
              <c:f>TABLE1!$G$10:$H$10</c:f>
              <c:numCache>
                <c:formatCode>General</c:formatCode>
                <c:ptCount val="2"/>
                <c:pt idx="0">
                  <c:v>57</c:v>
                </c:pt>
                <c:pt idx="1">
                  <c:v>12</c:v>
                </c:pt>
              </c:numCache>
            </c:numRef>
          </c:val>
          <c:extLst>
            <c:ext xmlns:c16="http://schemas.microsoft.com/office/drawing/2014/chart" uri="{C3380CC4-5D6E-409C-BE32-E72D297353CC}">
              <c16:uniqueId val="{00000001-D872-412E-8C31-1942B9CE7526}"/>
            </c:ext>
          </c:extLst>
        </c:ser>
        <c:ser>
          <c:idx val="2"/>
          <c:order val="2"/>
          <c:tx>
            <c:strRef>
              <c:f>TABLE1!$F$11</c:f>
              <c:strCache>
                <c:ptCount val="1"/>
                <c:pt idx="0">
                  <c:v>MTI</c:v>
                </c:pt>
              </c:strCache>
            </c:strRef>
          </c:tx>
          <c:spPr>
            <a:solidFill>
              <a:schemeClr val="bg2">
                <a:lumMod val="25000"/>
              </a:schemeClr>
            </a:solidFill>
            <a:ln>
              <a:noFill/>
            </a:ln>
            <a:effectLst/>
          </c:spPr>
          <c:invertIfNegative val="0"/>
          <c:cat>
            <c:strRef>
              <c:f>TABLE1!$G$8:$H$8</c:f>
              <c:strCache>
                <c:ptCount val="2"/>
                <c:pt idx="0">
                  <c:v>Mobile Plant</c:v>
                </c:pt>
                <c:pt idx="1">
                  <c:v>Scaffold</c:v>
                </c:pt>
              </c:strCache>
            </c:strRef>
          </c:cat>
          <c:val>
            <c:numRef>
              <c:f>TABLE1!$G$11:$H$11</c:f>
              <c:numCache>
                <c:formatCode>General</c:formatCode>
                <c:ptCount val="2"/>
                <c:pt idx="0">
                  <c:v>9</c:v>
                </c:pt>
                <c:pt idx="1">
                  <c:v>6</c:v>
                </c:pt>
              </c:numCache>
            </c:numRef>
          </c:val>
          <c:extLst>
            <c:ext xmlns:c16="http://schemas.microsoft.com/office/drawing/2014/chart" uri="{C3380CC4-5D6E-409C-BE32-E72D297353CC}">
              <c16:uniqueId val="{00000002-D872-412E-8C31-1942B9CE7526}"/>
            </c:ext>
          </c:extLst>
        </c:ser>
        <c:ser>
          <c:idx val="3"/>
          <c:order val="3"/>
          <c:tx>
            <c:strRef>
              <c:f>TABLE1!$F$12</c:f>
              <c:strCache>
                <c:ptCount val="1"/>
                <c:pt idx="0">
                  <c:v>Fatality</c:v>
                </c:pt>
              </c:strCache>
            </c:strRef>
          </c:tx>
          <c:spPr>
            <a:solidFill>
              <a:schemeClr val="tx1"/>
            </a:solidFill>
            <a:ln>
              <a:noFill/>
            </a:ln>
            <a:effectLst/>
          </c:spPr>
          <c:invertIfNegative val="0"/>
          <c:cat>
            <c:strRef>
              <c:f>TABLE1!$G$8:$H$8</c:f>
              <c:strCache>
                <c:ptCount val="2"/>
                <c:pt idx="0">
                  <c:v>Mobile Plant</c:v>
                </c:pt>
                <c:pt idx="1">
                  <c:v>Scaffold</c:v>
                </c:pt>
              </c:strCache>
            </c:strRef>
          </c:cat>
          <c:val>
            <c:numRef>
              <c:f>TABLE1!$G$12:$H$12</c:f>
              <c:numCache>
                <c:formatCode>General</c:formatCode>
                <c:ptCount val="2"/>
                <c:pt idx="0">
                  <c:v>0</c:v>
                </c:pt>
                <c:pt idx="1">
                  <c:v>0</c:v>
                </c:pt>
              </c:numCache>
            </c:numRef>
          </c:val>
          <c:extLst>
            <c:ext xmlns:c16="http://schemas.microsoft.com/office/drawing/2014/chart" uri="{C3380CC4-5D6E-409C-BE32-E72D297353CC}">
              <c16:uniqueId val="{00000003-D872-412E-8C31-1942B9CE7526}"/>
            </c:ext>
          </c:extLst>
        </c:ser>
        <c:dLbls>
          <c:showLegendKey val="0"/>
          <c:showVal val="0"/>
          <c:showCatName val="0"/>
          <c:showSerName val="0"/>
          <c:showPercent val="0"/>
          <c:showBubbleSize val="0"/>
        </c:dLbls>
        <c:gapWidth val="50"/>
        <c:overlap val="7"/>
        <c:axId val="827771456"/>
        <c:axId val="827762048"/>
      </c:barChart>
      <c:catAx>
        <c:axId val="82777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crossAx val="827762048"/>
        <c:crosses val="autoZero"/>
        <c:auto val="1"/>
        <c:lblAlgn val="ctr"/>
        <c:lblOffset val="100"/>
        <c:noMultiLvlLbl val="0"/>
      </c:catAx>
      <c:valAx>
        <c:axId val="82776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827771456"/>
        <c:crosses val="autoZero"/>
        <c:crossBetween val="between"/>
        <c:majorUnit val="10"/>
      </c:valAx>
      <c:spPr>
        <a:noFill/>
        <a:ln>
          <a:noFill/>
        </a:ln>
        <a:effectLst/>
      </c:spPr>
    </c:plotArea>
    <c:legend>
      <c:legendPos val="b"/>
      <c:layout>
        <c:manualLayout>
          <c:xMode val="edge"/>
          <c:yMode val="edge"/>
          <c:x val="0.30196296751968504"/>
          <c:y val="0.94634187887200527"/>
          <c:w val="0.44555312910104988"/>
          <c:h val="4.3119964893978159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a:t>H5.2</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Work!$B$46</c:f>
              <c:strCache>
                <c:ptCount val="1"/>
                <c:pt idx="0">
                  <c:v>H5.2 Minor</c:v>
                </c:pt>
              </c:strCache>
            </c:strRef>
          </c:tx>
          <c:spPr>
            <a:solidFill>
              <a:schemeClr val="bg2">
                <a:lumMod val="50000"/>
              </a:schemeClr>
            </a:solidFill>
            <a:ln>
              <a:noFill/>
            </a:ln>
            <a:effectLst/>
          </c:spPr>
          <c:invertIfNegative val="0"/>
          <c:cat>
            <c:strRef>
              <c:f>Work!$C$45:$F$45</c:f>
              <c:strCache>
                <c:ptCount val="4"/>
                <c:pt idx="0">
                  <c:v>2017</c:v>
                </c:pt>
                <c:pt idx="1">
                  <c:v>2018</c:v>
                </c:pt>
                <c:pt idx="2">
                  <c:v>2019</c:v>
                </c:pt>
                <c:pt idx="3">
                  <c:v>H2020</c:v>
                </c:pt>
              </c:strCache>
            </c:strRef>
          </c:cat>
          <c:val>
            <c:numRef>
              <c:f>Work!$C$46:$F$46</c:f>
              <c:numCache>
                <c:formatCode>0.0%</c:formatCode>
                <c:ptCount val="4"/>
                <c:pt idx="0">
                  <c:v>0.186</c:v>
                </c:pt>
                <c:pt idx="1">
                  <c:v>0.14000000000000001</c:v>
                </c:pt>
                <c:pt idx="2">
                  <c:v>0.16</c:v>
                </c:pt>
                <c:pt idx="3">
                  <c:v>0.24</c:v>
                </c:pt>
              </c:numCache>
            </c:numRef>
          </c:val>
          <c:extLst>
            <c:ext xmlns:c16="http://schemas.microsoft.com/office/drawing/2014/chart" uri="{C3380CC4-5D6E-409C-BE32-E72D297353CC}">
              <c16:uniqueId val="{00000000-C26F-41D6-B91E-43945DDAB900}"/>
            </c:ext>
          </c:extLst>
        </c:ser>
        <c:ser>
          <c:idx val="1"/>
          <c:order val="1"/>
          <c:tx>
            <c:strRef>
              <c:f>Work!$B$47</c:f>
              <c:strCache>
                <c:ptCount val="1"/>
                <c:pt idx="0">
                  <c:v>H5.2 Major</c:v>
                </c:pt>
              </c:strCache>
            </c:strRef>
          </c:tx>
          <c:spPr>
            <a:solidFill>
              <a:srgbClr val="C00000"/>
            </a:solidFill>
            <a:ln>
              <a:noFill/>
            </a:ln>
            <a:effectLst/>
          </c:spPr>
          <c:invertIfNegative val="0"/>
          <c:cat>
            <c:strRef>
              <c:f>Work!$C$45:$F$45</c:f>
              <c:strCache>
                <c:ptCount val="4"/>
                <c:pt idx="0">
                  <c:v>2017</c:v>
                </c:pt>
                <c:pt idx="1">
                  <c:v>2018</c:v>
                </c:pt>
                <c:pt idx="2">
                  <c:v>2019</c:v>
                </c:pt>
                <c:pt idx="3">
                  <c:v>H2020</c:v>
                </c:pt>
              </c:strCache>
            </c:strRef>
          </c:cat>
          <c:val>
            <c:numRef>
              <c:f>Work!$C$47:$F$47</c:f>
              <c:numCache>
                <c:formatCode>0.0%</c:formatCode>
                <c:ptCount val="4"/>
                <c:pt idx="0">
                  <c:v>9.2999999999999999E-2</c:v>
                </c:pt>
                <c:pt idx="1">
                  <c:v>0.16</c:v>
                </c:pt>
                <c:pt idx="2">
                  <c:v>0.1</c:v>
                </c:pt>
                <c:pt idx="3">
                  <c:v>0.04</c:v>
                </c:pt>
              </c:numCache>
            </c:numRef>
          </c:val>
          <c:extLst>
            <c:ext xmlns:c16="http://schemas.microsoft.com/office/drawing/2014/chart" uri="{C3380CC4-5D6E-409C-BE32-E72D297353CC}">
              <c16:uniqueId val="{00000001-C26F-41D6-B91E-43945DDAB900}"/>
            </c:ext>
          </c:extLst>
        </c:ser>
        <c:dLbls>
          <c:showLegendKey val="0"/>
          <c:showVal val="0"/>
          <c:showCatName val="0"/>
          <c:showSerName val="0"/>
          <c:showPercent val="0"/>
          <c:showBubbleSize val="0"/>
        </c:dLbls>
        <c:gapWidth val="50"/>
        <c:overlap val="100"/>
        <c:axId val="886308360"/>
        <c:axId val="886313456"/>
      </c:barChart>
      <c:catAx>
        <c:axId val="886308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886313456"/>
        <c:crosses val="autoZero"/>
        <c:auto val="1"/>
        <c:lblAlgn val="ctr"/>
        <c:lblOffset val="100"/>
        <c:noMultiLvlLbl val="0"/>
      </c:catAx>
      <c:valAx>
        <c:axId val="886313456"/>
        <c:scaling>
          <c:orientation val="minMax"/>
          <c:max val="0.60000000000000009"/>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8863083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solidFill>
                <a:latin typeface="+mn-lt"/>
                <a:ea typeface="+mn-ea"/>
                <a:cs typeface="+mn-cs"/>
              </a:defRPr>
            </a:pPr>
            <a:r>
              <a:rPr lang="en-AU" sz="1600"/>
              <a:t>Scaffolding Incident Severity by Type</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2220335203197639E-2"/>
          <c:y val="9.4420463629096729E-2"/>
          <c:w val="0.92381452318460189"/>
          <c:h val="0.78503018057994545"/>
        </c:manualLayout>
      </c:layout>
      <c:barChart>
        <c:barDir val="col"/>
        <c:grouping val="stacked"/>
        <c:varyColors val="0"/>
        <c:ser>
          <c:idx val="0"/>
          <c:order val="0"/>
          <c:tx>
            <c:strRef>
              <c:f>TABLE1!$F$57</c:f>
              <c:strCache>
                <c:ptCount val="1"/>
                <c:pt idx="0">
                  <c:v>Dangerous Occurrence</c:v>
                </c:pt>
              </c:strCache>
            </c:strRef>
          </c:tx>
          <c:spPr>
            <a:solidFill>
              <a:schemeClr val="bg2">
                <a:lumMod val="75000"/>
              </a:schemeClr>
            </a:solidFill>
            <a:ln>
              <a:solidFill>
                <a:schemeClr val="tx1"/>
              </a:solidFill>
            </a:ln>
            <a:effectLst/>
          </c:spPr>
          <c:invertIfNegative val="0"/>
          <c:cat>
            <c:strRef>
              <c:f>TABLE1!$G$56:$J$56</c:f>
              <c:strCache>
                <c:ptCount val="4"/>
                <c:pt idx="0">
                  <c:v>Incidental</c:v>
                </c:pt>
                <c:pt idx="1">
                  <c:v>Not Severe</c:v>
                </c:pt>
                <c:pt idx="2">
                  <c:v>Severe</c:v>
                </c:pt>
                <c:pt idx="3">
                  <c:v>Life at Risk</c:v>
                </c:pt>
              </c:strCache>
            </c:strRef>
          </c:cat>
          <c:val>
            <c:numRef>
              <c:f>TABLE1!$G$57:$J$57</c:f>
              <c:numCache>
                <c:formatCode>General</c:formatCode>
                <c:ptCount val="4"/>
                <c:pt idx="0">
                  <c:v>0</c:v>
                </c:pt>
                <c:pt idx="1">
                  <c:v>0</c:v>
                </c:pt>
                <c:pt idx="2">
                  <c:v>1</c:v>
                </c:pt>
                <c:pt idx="3">
                  <c:v>0</c:v>
                </c:pt>
              </c:numCache>
            </c:numRef>
          </c:val>
          <c:extLst>
            <c:ext xmlns:c16="http://schemas.microsoft.com/office/drawing/2014/chart" uri="{C3380CC4-5D6E-409C-BE32-E72D297353CC}">
              <c16:uniqueId val="{00000000-A7F4-49A9-A1D7-4D9AB2AE4EC3}"/>
            </c:ext>
          </c:extLst>
        </c:ser>
        <c:ser>
          <c:idx val="1"/>
          <c:order val="1"/>
          <c:tx>
            <c:strRef>
              <c:f>TABLE1!$F$58</c:f>
              <c:strCache>
                <c:ptCount val="1"/>
                <c:pt idx="0">
                  <c:v>LTI</c:v>
                </c:pt>
              </c:strCache>
            </c:strRef>
          </c:tx>
          <c:spPr>
            <a:solidFill>
              <a:srgbClr val="C00000"/>
            </a:solidFill>
            <a:ln>
              <a:solidFill>
                <a:schemeClr val="tx1"/>
              </a:solidFill>
            </a:ln>
            <a:effectLst/>
          </c:spPr>
          <c:invertIfNegative val="0"/>
          <c:cat>
            <c:strRef>
              <c:f>TABLE1!$G$56:$J$56</c:f>
              <c:strCache>
                <c:ptCount val="4"/>
                <c:pt idx="0">
                  <c:v>Incidental</c:v>
                </c:pt>
                <c:pt idx="1">
                  <c:v>Not Severe</c:v>
                </c:pt>
                <c:pt idx="2">
                  <c:v>Severe</c:v>
                </c:pt>
                <c:pt idx="3">
                  <c:v>Life at Risk</c:v>
                </c:pt>
              </c:strCache>
            </c:strRef>
          </c:cat>
          <c:val>
            <c:numRef>
              <c:f>TABLE1!$G$58:$J$58</c:f>
              <c:numCache>
                <c:formatCode>General</c:formatCode>
                <c:ptCount val="4"/>
                <c:pt idx="0">
                  <c:v>1</c:v>
                </c:pt>
                <c:pt idx="1">
                  <c:v>7</c:v>
                </c:pt>
                <c:pt idx="2">
                  <c:v>2</c:v>
                </c:pt>
                <c:pt idx="3">
                  <c:v>2</c:v>
                </c:pt>
              </c:numCache>
            </c:numRef>
          </c:val>
          <c:extLst>
            <c:ext xmlns:c16="http://schemas.microsoft.com/office/drawing/2014/chart" uri="{C3380CC4-5D6E-409C-BE32-E72D297353CC}">
              <c16:uniqueId val="{00000001-A7F4-49A9-A1D7-4D9AB2AE4EC3}"/>
            </c:ext>
          </c:extLst>
        </c:ser>
        <c:ser>
          <c:idx val="2"/>
          <c:order val="2"/>
          <c:tx>
            <c:strRef>
              <c:f>TABLE1!$F$59</c:f>
              <c:strCache>
                <c:ptCount val="1"/>
                <c:pt idx="0">
                  <c:v>MTI</c:v>
                </c:pt>
              </c:strCache>
            </c:strRef>
          </c:tx>
          <c:spPr>
            <a:solidFill>
              <a:schemeClr val="bg2">
                <a:lumMod val="50000"/>
              </a:schemeClr>
            </a:solidFill>
            <a:ln>
              <a:solidFill>
                <a:schemeClr val="tx1"/>
              </a:solidFill>
            </a:ln>
            <a:effectLst/>
          </c:spPr>
          <c:invertIfNegative val="0"/>
          <c:cat>
            <c:strRef>
              <c:f>TABLE1!$G$56:$J$56</c:f>
              <c:strCache>
                <c:ptCount val="4"/>
                <c:pt idx="0">
                  <c:v>Incidental</c:v>
                </c:pt>
                <c:pt idx="1">
                  <c:v>Not Severe</c:v>
                </c:pt>
                <c:pt idx="2">
                  <c:v>Severe</c:v>
                </c:pt>
                <c:pt idx="3">
                  <c:v>Life at Risk</c:v>
                </c:pt>
              </c:strCache>
            </c:strRef>
          </c:cat>
          <c:val>
            <c:numRef>
              <c:f>TABLE1!$G$59:$J$59</c:f>
              <c:numCache>
                <c:formatCode>General</c:formatCode>
                <c:ptCount val="4"/>
                <c:pt idx="0">
                  <c:v>0</c:v>
                </c:pt>
                <c:pt idx="1">
                  <c:v>6</c:v>
                </c:pt>
                <c:pt idx="2">
                  <c:v>0</c:v>
                </c:pt>
                <c:pt idx="3">
                  <c:v>0</c:v>
                </c:pt>
              </c:numCache>
            </c:numRef>
          </c:val>
          <c:extLst>
            <c:ext xmlns:c16="http://schemas.microsoft.com/office/drawing/2014/chart" uri="{C3380CC4-5D6E-409C-BE32-E72D297353CC}">
              <c16:uniqueId val="{00000002-A7F4-49A9-A1D7-4D9AB2AE4EC3}"/>
            </c:ext>
          </c:extLst>
        </c:ser>
        <c:ser>
          <c:idx val="3"/>
          <c:order val="3"/>
          <c:tx>
            <c:strRef>
              <c:f>TABLE1!$F$60</c:f>
              <c:strCache>
                <c:ptCount val="1"/>
                <c:pt idx="0">
                  <c:v>Fatality</c:v>
                </c:pt>
              </c:strCache>
            </c:strRef>
          </c:tx>
          <c:spPr>
            <a:solidFill>
              <a:schemeClr val="tx1"/>
            </a:solidFill>
            <a:ln>
              <a:noFill/>
            </a:ln>
            <a:effectLst/>
          </c:spPr>
          <c:invertIfNegative val="0"/>
          <c:cat>
            <c:strRef>
              <c:f>TABLE1!$G$56:$J$56</c:f>
              <c:strCache>
                <c:ptCount val="4"/>
                <c:pt idx="0">
                  <c:v>Incidental</c:v>
                </c:pt>
                <c:pt idx="1">
                  <c:v>Not Severe</c:v>
                </c:pt>
                <c:pt idx="2">
                  <c:v>Severe</c:v>
                </c:pt>
                <c:pt idx="3">
                  <c:v>Life at Risk</c:v>
                </c:pt>
              </c:strCache>
            </c:strRef>
          </c:cat>
          <c:val>
            <c:numRef>
              <c:f>TABLE1!$G$60:$J$60</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A7F4-49A9-A1D7-4D9AB2AE4EC3}"/>
            </c:ext>
          </c:extLst>
        </c:ser>
        <c:dLbls>
          <c:showLegendKey val="0"/>
          <c:showVal val="0"/>
          <c:showCatName val="0"/>
          <c:showSerName val="0"/>
          <c:showPercent val="0"/>
          <c:showBubbleSize val="0"/>
        </c:dLbls>
        <c:gapWidth val="50"/>
        <c:overlap val="100"/>
        <c:axId val="886309928"/>
        <c:axId val="886307576"/>
      </c:barChart>
      <c:catAx>
        <c:axId val="886309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886307576"/>
        <c:crosses val="autoZero"/>
        <c:auto val="1"/>
        <c:lblAlgn val="ctr"/>
        <c:lblOffset val="100"/>
        <c:noMultiLvlLbl val="0"/>
      </c:catAx>
      <c:valAx>
        <c:axId val="886307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886309928"/>
        <c:crosses val="autoZero"/>
        <c:crossBetween val="between"/>
      </c:valAx>
      <c:spPr>
        <a:noFill/>
        <a:ln>
          <a:noFill/>
        </a:ln>
        <a:effectLst/>
      </c:spPr>
    </c:plotArea>
    <c:legend>
      <c:legendPos val="b"/>
      <c:layout>
        <c:manualLayout>
          <c:xMode val="edge"/>
          <c:yMode val="edge"/>
          <c:x val="2.2871090433844121E-2"/>
          <c:y val="0.93444110853049844"/>
          <c:w val="0.94052344198631532"/>
          <c:h val="6.5558891469501571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solidFill>
                <a:latin typeface="+mn-lt"/>
                <a:ea typeface="+mn-ea"/>
                <a:cs typeface="+mn-cs"/>
              </a:defRPr>
            </a:pPr>
            <a:r>
              <a:rPr lang="en-US" sz="1800"/>
              <a:t>Most Frequently Occuring Cause/Type of Incident</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tx>
            <c:strRef>
              <c:f>'One liners incidents'!$F$27</c:f>
              <c:strCache>
                <c:ptCount val="1"/>
                <c:pt idx="0">
                  <c:v>Incidents</c:v>
                </c:pt>
              </c:strCache>
            </c:strRef>
          </c:tx>
          <c:spPr>
            <a:solidFill>
              <a:schemeClr val="accent1"/>
            </a:solidFill>
            <a:ln>
              <a:noFill/>
            </a:ln>
            <a:effectLst/>
          </c:spPr>
          <c:invertIfNegative val="0"/>
          <c:dPt>
            <c:idx val="0"/>
            <c:invertIfNegative val="0"/>
            <c:bubble3D val="0"/>
            <c:spPr>
              <a:solidFill>
                <a:schemeClr val="bg2">
                  <a:lumMod val="50000"/>
                </a:schemeClr>
              </a:solidFill>
              <a:ln>
                <a:noFill/>
              </a:ln>
              <a:effectLst/>
            </c:spPr>
            <c:extLst>
              <c:ext xmlns:c16="http://schemas.microsoft.com/office/drawing/2014/chart" uri="{C3380CC4-5D6E-409C-BE32-E72D297353CC}">
                <c16:uniqueId val="{00000004-158F-421F-8E91-A897FDA87F95}"/>
              </c:ext>
            </c:extLst>
          </c:dPt>
          <c:dPt>
            <c:idx val="1"/>
            <c:invertIfNegative val="0"/>
            <c:bubble3D val="0"/>
            <c:spPr>
              <a:solidFill>
                <a:schemeClr val="bg2">
                  <a:lumMod val="25000"/>
                </a:schemeClr>
              </a:solidFill>
              <a:ln>
                <a:noFill/>
              </a:ln>
              <a:effectLst/>
            </c:spPr>
            <c:extLst>
              <c:ext xmlns:c16="http://schemas.microsoft.com/office/drawing/2014/chart" uri="{C3380CC4-5D6E-409C-BE32-E72D297353CC}">
                <c16:uniqueId val="{00000003-158F-421F-8E91-A897FDA87F95}"/>
              </c:ext>
            </c:extLst>
          </c:dPt>
          <c:dPt>
            <c:idx val="2"/>
            <c:invertIfNegative val="0"/>
            <c:bubble3D val="0"/>
            <c:spPr>
              <a:solidFill>
                <a:srgbClr val="C00000"/>
              </a:solidFill>
              <a:ln>
                <a:noFill/>
              </a:ln>
              <a:effectLst/>
            </c:spPr>
            <c:extLst>
              <c:ext xmlns:c16="http://schemas.microsoft.com/office/drawing/2014/chart" uri="{C3380CC4-5D6E-409C-BE32-E72D297353CC}">
                <c16:uniqueId val="{00000002-158F-421F-8E91-A897FDA87F95}"/>
              </c:ext>
            </c:extLst>
          </c:dPt>
          <c:cat>
            <c:strRef>
              <c:f>'One liners incidents'!$E$30:$E$32</c:f>
              <c:strCache>
                <c:ptCount val="3"/>
                <c:pt idx="0">
                  <c:v>Scaffold involved in hand injury / laceration</c:v>
                </c:pt>
                <c:pt idx="1">
                  <c:v>Fall from or involving scaffold</c:v>
                </c:pt>
                <c:pt idx="2">
                  <c:v>Worker struck by scaffolding</c:v>
                </c:pt>
              </c:strCache>
            </c:strRef>
          </c:cat>
          <c:val>
            <c:numRef>
              <c:f>'One liners incidents'!$F$30:$F$32</c:f>
              <c:numCache>
                <c:formatCode>General</c:formatCode>
                <c:ptCount val="3"/>
                <c:pt idx="0">
                  <c:v>4</c:v>
                </c:pt>
                <c:pt idx="1">
                  <c:v>6</c:v>
                </c:pt>
                <c:pt idx="2">
                  <c:v>9</c:v>
                </c:pt>
              </c:numCache>
            </c:numRef>
          </c:val>
          <c:extLst>
            <c:ext xmlns:c16="http://schemas.microsoft.com/office/drawing/2014/chart" uri="{C3380CC4-5D6E-409C-BE32-E72D297353CC}">
              <c16:uniqueId val="{00000000-158F-421F-8E91-A897FDA87F95}"/>
            </c:ext>
          </c:extLst>
        </c:ser>
        <c:dLbls>
          <c:showLegendKey val="0"/>
          <c:showVal val="0"/>
          <c:showCatName val="0"/>
          <c:showSerName val="0"/>
          <c:showPercent val="0"/>
          <c:showBubbleSize val="0"/>
        </c:dLbls>
        <c:gapWidth val="100"/>
        <c:axId val="886307968"/>
        <c:axId val="886311104"/>
      </c:barChart>
      <c:catAx>
        <c:axId val="88630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886311104"/>
        <c:crosses val="autoZero"/>
        <c:auto val="1"/>
        <c:lblAlgn val="ctr"/>
        <c:lblOffset val="100"/>
        <c:noMultiLvlLbl val="0"/>
      </c:catAx>
      <c:valAx>
        <c:axId val="886311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886307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0451902887139109"/>
          <c:y val="0.14711253525071152"/>
          <c:w val="0.54785608048993872"/>
          <c:h val="0.81566662107683185"/>
        </c:manualLayout>
      </c:layout>
      <c:pieChart>
        <c:varyColors val="1"/>
        <c:ser>
          <c:idx val="0"/>
          <c:order val="0"/>
          <c:tx>
            <c:strRef>
              <c:f>'Calculations Scaff'!$H$9</c:f>
              <c:strCache>
                <c:ptCount val="1"/>
                <c:pt idx="0">
                  <c:v>Scaffolding</c:v>
                </c:pt>
              </c:strCache>
            </c:strRef>
          </c:tx>
          <c:dPt>
            <c:idx val="0"/>
            <c:bubble3D val="0"/>
            <c:spPr>
              <a:solidFill>
                <a:srgbClr val="C00000"/>
              </a:solidFill>
              <a:ln w="19050">
                <a:solidFill>
                  <a:schemeClr val="lt1"/>
                </a:solidFill>
              </a:ln>
              <a:effectLst/>
            </c:spPr>
            <c:extLst>
              <c:ext xmlns:c16="http://schemas.microsoft.com/office/drawing/2014/chart" uri="{C3380CC4-5D6E-409C-BE32-E72D297353CC}">
                <c16:uniqueId val="{00000001-B3FF-47D9-816B-4B2F046A2E56}"/>
              </c:ext>
            </c:extLst>
          </c:dPt>
          <c:dPt>
            <c:idx val="1"/>
            <c:bubble3D val="0"/>
            <c:spPr>
              <a:solidFill>
                <a:schemeClr val="bg2">
                  <a:lumMod val="25000"/>
                </a:schemeClr>
              </a:solidFill>
              <a:ln w="19050">
                <a:solidFill>
                  <a:schemeClr val="lt1"/>
                </a:solidFill>
              </a:ln>
              <a:effectLst/>
            </c:spPr>
            <c:extLst>
              <c:ext xmlns:c16="http://schemas.microsoft.com/office/drawing/2014/chart" uri="{C3380CC4-5D6E-409C-BE32-E72D297353CC}">
                <c16:uniqueId val="{00000003-B3FF-47D9-816B-4B2F046A2E56}"/>
              </c:ext>
            </c:extLst>
          </c:dPt>
          <c:dPt>
            <c:idx val="2"/>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5-B3FF-47D9-816B-4B2F046A2E5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3FF-47D9-816B-4B2F046A2E56}"/>
              </c:ext>
            </c:extLst>
          </c:dPt>
          <c:dLbls>
            <c:dLbl>
              <c:idx val="0"/>
              <c:layout>
                <c:manualLayout>
                  <c:x val="-0.1907020997375328"/>
                  <c:y val="-0.12538669949134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FF-47D9-816B-4B2F046A2E56}"/>
                </c:ext>
              </c:extLst>
            </c:dLbl>
            <c:dLbl>
              <c:idx val="1"/>
              <c:layout>
                <c:manualLayout>
                  <c:x val="0.20132567804024498"/>
                  <c:y val="5.677171867164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FF-47D9-816B-4B2F046A2E56}"/>
                </c:ext>
              </c:extLst>
            </c:dLbl>
            <c:dLbl>
              <c:idx val="2"/>
              <c:layout>
                <c:manualLayout>
                  <c:x val="5.498315835520555E-2"/>
                  <c:y val="0.151030004624111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FF-47D9-816B-4B2F046A2E56}"/>
                </c:ext>
              </c:extLst>
            </c:dLbl>
            <c:dLbl>
              <c:idx val="3"/>
              <c:delete val="1"/>
              <c:extLst>
                <c:ext xmlns:c15="http://schemas.microsoft.com/office/drawing/2012/chart" uri="{CE6537A1-D6FC-4f65-9D91-7224C49458BB}"/>
                <c:ext xmlns:c16="http://schemas.microsoft.com/office/drawing/2014/chart" uri="{C3380CC4-5D6E-409C-BE32-E72D297353CC}">
                  <c16:uniqueId val="{00000007-B3FF-47D9-816B-4B2F046A2E56}"/>
                </c:ext>
              </c:extLst>
            </c:dLbl>
            <c:spPr>
              <a:noFill/>
              <a:ln>
                <a:noFill/>
              </a:ln>
              <a:effectLst/>
            </c:spPr>
            <c:txPr>
              <a:bodyPr rot="0" spcFirstLastPara="1" vertOverflow="ellipsis" vert="horz" wrap="square" lIns="38100" tIns="19050" rIns="38100" bIns="19050" anchor="ctr" anchorCtr="1">
                <a:spAutoFit/>
              </a:bodyPr>
              <a:lstStyle/>
              <a:p>
                <a:pPr>
                  <a:defRPr sz="2400" b="1" i="0" u="none" strike="noStrike" kern="1200" baseline="0">
                    <a:ln>
                      <a:solidFill>
                        <a:schemeClr val="tx1"/>
                      </a:solidFill>
                    </a:ln>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'Calculations Scaff'!$G$10:$G$13</c:f>
              <c:strCache>
                <c:ptCount val="4"/>
                <c:pt idx="0">
                  <c:v>LTI</c:v>
                </c:pt>
                <c:pt idx="1">
                  <c:v>MTI</c:v>
                </c:pt>
                <c:pt idx="2">
                  <c:v>DO</c:v>
                </c:pt>
                <c:pt idx="3">
                  <c:v>Fatality</c:v>
                </c:pt>
              </c:strCache>
            </c:strRef>
          </c:cat>
          <c:val>
            <c:numRef>
              <c:f>'Calculations Scaff'!$H$10:$H$13</c:f>
              <c:numCache>
                <c:formatCode>0%</c:formatCode>
                <c:ptCount val="4"/>
                <c:pt idx="0">
                  <c:v>0.63157894736842102</c:v>
                </c:pt>
                <c:pt idx="1">
                  <c:v>0.31578947368421051</c:v>
                </c:pt>
                <c:pt idx="2">
                  <c:v>5.2631578947368418E-2</c:v>
                </c:pt>
                <c:pt idx="3">
                  <c:v>0</c:v>
                </c:pt>
              </c:numCache>
            </c:numRef>
          </c:val>
          <c:extLst>
            <c:ext xmlns:c16="http://schemas.microsoft.com/office/drawing/2014/chart" uri="{C3380CC4-5D6E-409C-BE32-E72D297353CC}">
              <c16:uniqueId val="{00000008-B3FF-47D9-816B-4B2F046A2E5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solidFill>
                <a:latin typeface="+mn-lt"/>
                <a:ea typeface="+mn-ea"/>
                <a:cs typeface="+mn-cs"/>
              </a:defRPr>
            </a:pPr>
            <a:r>
              <a:rPr lang="en-US" sz="1400"/>
              <a:t>Mobile</a:t>
            </a:r>
            <a:r>
              <a:rPr lang="en-US" sz="1400" baseline="0"/>
              <a:t> Plant</a:t>
            </a:r>
            <a:endParaRPr lang="en-US" sz="1400"/>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9.4797474639994328E-2"/>
          <c:y val="0.14393518518518519"/>
          <c:w val="0.78337837837837843"/>
          <c:h val="0.80513888888888885"/>
        </c:manualLayout>
      </c:layout>
      <c:pieChart>
        <c:varyColors val="1"/>
        <c:ser>
          <c:idx val="0"/>
          <c:order val="0"/>
          <c:tx>
            <c:strRef>
              <c:f>TABLE1!$G$15</c:f>
              <c:strCache>
                <c:ptCount val="1"/>
                <c:pt idx="0">
                  <c:v>Mobile Plant</c:v>
                </c:pt>
              </c:strCache>
            </c:strRef>
          </c:tx>
          <c:dPt>
            <c:idx val="0"/>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1-62ED-4EA8-800E-5AA2DBBC1704}"/>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62ED-4EA8-800E-5AA2DBBC1704}"/>
              </c:ext>
            </c:extLst>
          </c:dPt>
          <c:dPt>
            <c:idx val="2"/>
            <c:bubble3D val="0"/>
            <c:spPr>
              <a:solidFill>
                <a:schemeClr val="bg2">
                  <a:lumMod val="25000"/>
                </a:schemeClr>
              </a:solidFill>
              <a:ln w="19050">
                <a:solidFill>
                  <a:schemeClr val="lt1"/>
                </a:solidFill>
              </a:ln>
              <a:effectLst/>
            </c:spPr>
            <c:extLst>
              <c:ext xmlns:c16="http://schemas.microsoft.com/office/drawing/2014/chart" uri="{C3380CC4-5D6E-409C-BE32-E72D297353CC}">
                <c16:uniqueId val="{00000005-62ED-4EA8-800E-5AA2DBBC170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2ED-4EA8-800E-5AA2DBBC1704}"/>
              </c:ext>
            </c:extLst>
          </c:dPt>
          <c:dLbls>
            <c:dLbl>
              <c:idx val="0"/>
              <c:layout>
                <c:manualLayout>
                  <c:x val="-0.18996023700630235"/>
                  <c:y val="0.187469297819254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ED-4EA8-800E-5AA2DBBC1704}"/>
                </c:ext>
              </c:extLst>
            </c:dLbl>
            <c:dLbl>
              <c:idx val="1"/>
              <c:layout>
                <c:manualLayout>
                  <c:x val="0.16976000754396711"/>
                  <c:y val="-0.197649136450536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ED-4EA8-800E-5AA2DBBC1704}"/>
                </c:ext>
              </c:extLst>
            </c:dLbl>
            <c:dLbl>
              <c:idx val="2"/>
              <c:layout>
                <c:manualLayout>
                  <c:x val="0.13427381457557327"/>
                  <c:y val="0.170335698778393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ED-4EA8-800E-5AA2DBBC1704}"/>
                </c:ext>
              </c:extLst>
            </c:dLbl>
            <c:spPr>
              <a:noFill/>
              <a:ln>
                <a:noFill/>
              </a:ln>
              <a:effectLst/>
            </c:spPr>
            <c:txPr>
              <a:bodyPr rot="0" spcFirstLastPara="1" vertOverflow="ellipsis" vert="horz" wrap="square" lIns="38100" tIns="19050" rIns="38100" bIns="19050" anchor="ctr" anchorCtr="1">
                <a:spAutoFit/>
              </a:bodyPr>
              <a:lstStyle/>
              <a:p>
                <a:pPr>
                  <a:defRPr sz="2400" b="1" i="0" u="none" strike="noStrike" kern="1200" baseline="0">
                    <a:ln>
                      <a:solidFill>
                        <a:schemeClr val="tx1"/>
                      </a:solidFill>
                    </a:ln>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TABLE1!$F$16:$F$19</c:f>
              <c:strCache>
                <c:ptCount val="4"/>
                <c:pt idx="0">
                  <c:v>Dangerous Occurrence</c:v>
                </c:pt>
                <c:pt idx="1">
                  <c:v>LTI</c:v>
                </c:pt>
                <c:pt idx="2">
                  <c:v>MTI</c:v>
                </c:pt>
                <c:pt idx="3">
                  <c:v>Fatality</c:v>
                </c:pt>
              </c:strCache>
            </c:strRef>
          </c:cat>
          <c:val>
            <c:numRef>
              <c:f>TABLE1!$G$16:$G$19</c:f>
              <c:numCache>
                <c:formatCode>0%</c:formatCode>
                <c:ptCount val="4"/>
                <c:pt idx="0">
                  <c:v>0.2</c:v>
                </c:pt>
                <c:pt idx="1">
                  <c:v>0.69</c:v>
                </c:pt>
                <c:pt idx="2">
                  <c:v>0.11</c:v>
                </c:pt>
                <c:pt idx="3">
                  <c:v>0</c:v>
                </c:pt>
              </c:numCache>
            </c:numRef>
          </c:val>
          <c:extLst>
            <c:ext xmlns:c16="http://schemas.microsoft.com/office/drawing/2014/chart" uri="{C3380CC4-5D6E-409C-BE32-E72D297353CC}">
              <c16:uniqueId val="{00000008-62ED-4EA8-800E-5AA2DBBC170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sz="900" b="1">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a:t>Total Mobile Plant CARs Issued</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9.656882969092484E-2"/>
          <c:y val="0.10349465593851327"/>
          <c:w val="0.75937344186583089"/>
          <c:h val="0.78153223221301737"/>
        </c:manualLayout>
      </c:layout>
      <c:areaChart>
        <c:grouping val="stacked"/>
        <c:varyColors val="0"/>
        <c:ser>
          <c:idx val="0"/>
          <c:order val="0"/>
          <c:tx>
            <c:strRef>
              <c:f>'Mobile Plant CARs over time'!$O$2</c:f>
              <c:strCache>
                <c:ptCount val="1"/>
                <c:pt idx="0">
                  <c:v>H16.3</c:v>
                </c:pt>
              </c:strCache>
            </c:strRef>
          </c:tx>
          <c:spPr>
            <a:solidFill>
              <a:srgbClr val="C00000"/>
            </a:solidFill>
            <a:ln>
              <a:solidFill>
                <a:schemeClr val="tx1"/>
              </a:solidFill>
            </a:ln>
            <a:effectLst/>
          </c:spPr>
          <c:cat>
            <c:strRef>
              <c:f>'Mobile Plant CARs over time'!$P$1:$W$1</c:f>
              <c:strCache>
                <c:ptCount val="8"/>
                <c:pt idx="0">
                  <c:v>November</c:v>
                </c:pt>
                <c:pt idx="1">
                  <c:v>December</c:v>
                </c:pt>
                <c:pt idx="2">
                  <c:v>January</c:v>
                </c:pt>
                <c:pt idx="3">
                  <c:v>February</c:v>
                </c:pt>
                <c:pt idx="4">
                  <c:v>March</c:v>
                </c:pt>
                <c:pt idx="5">
                  <c:v>April</c:v>
                </c:pt>
                <c:pt idx="6">
                  <c:v>May</c:v>
                </c:pt>
                <c:pt idx="7">
                  <c:v>June</c:v>
                </c:pt>
              </c:strCache>
            </c:strRef>
          </c:cat>
          <c:val>
            <c:numRef>
              <c:f>'Mobile Plant CARs over time'!$P$2:$W$2</c:f>
              <c:numCache>
                <c:formatCode>General</c:formatCode>
                <c:ptCount val="8"/>
                <c:pt idx="0">
                  <c:v>0</c:v>
                </c:pt>
                <c:pt idx="1">
                  <c:v>1</c:v>
                </c:pt>
                <c:pt idx="2">
                  <c:v>6</c:v>
                </c:pt>
                <c:pt idx="3">
                  <c:v>21</c:v>
                </c:pt>
                <c:pt idx="4">
                  <c:v>29</c:v>
                </c:pt>
                <c:pt idx="5">
                  <c:v>38</c:v>
                </c:pt>
                <c:pt idx="6">
                  <c:v>50</c:v>
                </c:pt>
                <c:pt idx="7">
                  <c:v>65</c:v>
                </c:pt>
              </c:numCache>
            </c:numRef>
          </c:val>
          <c:extLst>
            <c:ext xmlns:c16="http://schemas.microsoft.com/office/drawing/2014/chart" uri="{C3380CC4-5D6E-409C-BE32-E72D297353CC}">
              <c16:uniqueId val="{00000000-13AB-49D0-8F37-DA834B742C95}"/>
            </c:ext>
          </c:extLst>
        </c:ser>
        <c:ser>
          <c:idx val="1"/>
          <c:order val="1"/>
          <c:tx>
            <c:strRef>
              <c:f>'Mobile Plant CARs over time'!$O$3</c:f>
              <c:strCache>
                <c:ptCount val="1"/>
                <c:pt idx="0">
                  <c:v>H16.5</c:v>
                </c:pt>
              </c:strCache>
            </c:strRef>
          </c:tx>
          <c:spPr>
            <a:solidFill>
              <a:schemeClr val="bg2">
                <a:lumMod val="90000"/>
              </a:schemeClr>
            </a:solidFill>
            <a:ln>
              <a:solidFill>
                <a:schemeClr val="tx1"/>
              </a:solidFill>
            </a:ln>
            <a:effectLst/>
          </c:spPr>
          <c:cat>
            <c:strRef>
              <c:f>'Mobile Plant CARs over time'!$P$1:$W$1</c:f>
              <c:strCache>
                <c:ptCount val="8"/>
                <c:pt idx="0">
                  <c:v>November</c:v>
                </c:pt>
                <c:pt idx="1">
                  <c:v>December</c:v>
                </c:pt>
                <c:pt idx="2">
                  <c:v>January</c:v>
                </c:pt>
                <c:pt idx="3">
                  <c:v>February</c:v>
                </c:pt>
                <c:pt idx="4">
                  <c:v>March</c:v>
                </c:pt>
                <c:pt idx="5">
                  <c:v>April</c:v>
                </c:pt>
                <c:pt idx="6">
                  <c:v>May</c:v>
                </c:pt>
                <c:pt idx="7">
                  <c:v>June</c:v>
                </c:pt>
              </c:strCache>
            </c:strRef>
          </c:cat>
          <c:val>
            <c:numRef>
              <c:f>'Mobile Plant CARs over time'!$P$3:$W$3</c:f>
              <c:numCache>
                <c:formatCode>General</c:formatCode>
                <c:ptCount val="8"/>
                <c:pt idx="0">
                  <c:v>0</c:v>
                </c:pt>
                <c:pt idx="1">
                  <c:v>2</c:v>
                </c:pt>
                <c:pt idx="2">
                  <c:v>8</c:v>
                </c:pt>
                <c:pt idx="3">
                  <c:v>20</c:v>
                </c:pt>
                <c:pt idx="4">
                  <c:v>32</c:v>
                </c:pt>
                <c:pt idx="5">
                  <c:v>38</c:v>
                </c:pt>
                <c:pt idx="6">
                  <c:v>48</c:v>
                </c:pt>
                <c:pt idx="7">
                  <c:v>59</c:v>
                </c:pt>
              </c:numCache>
            </c:numRef>
          </c:val>
          <c:extLst>
            <c:ext xmlns:c16="http://schemas.microsoft.com/office/drawing/2014/chart" uri="{C3380CC4-5D6E-409C-BE32-E72D297353CC}">
              <c16:uniqueId val="{00000001-13AB-49D0-8F37-DA834B742C95}"/>
            </c:ext>
          </c:extLst>
        </c:ser>
        <c:ser>
          <c:idx val="2"/>
          <c:order val="2"/>
          <c:tx>
            <c:strRef>
              <c:f>'Mobile Plant CARs over time'!$O$4</c:f>
              <c:strCache>
                <c:ptCount val="1"/>
                <c:pt idx="0">
                  <c:v>H16.9</c:v>
                </c:pt>
              </c:strCache>
            </c:strRef>
          </c:tx>
          <c:spPr>
            <a:solidFill>
              <a:schemeClr val="bg2">
                <a:lumMod val="75000"/>
              </a:schemeClr>
            </a:solidFill>
            <a:ln>
              <a:solidFill>
                <a:schemeClr val="tx1"/>
              </a:solidFill>
            </a:ln>
            <a:effectLst/>
          </c:spPr>
          <c:cat>
            <c:strRef>
              <c:f>'Mobile Plant CARs over time'!$P$1:$W$1</c:f>
              <c:strCache>
                <c:ptCount val="8"/>
                <c:pt idx="0">
                  <c:v>November</c:v>
                </c:pt>
                <c:pt idx="1">
                  <c:v>December</c:v>
                </c:pt>
                <c:pt idx="2">
                  <c:v>January</c:v>
                </c:pt>
                <c:pt idx="3">
                  <c:v>February</c:v>
                </c:pt>
                <c:pt idx="4">
                  <c:v>March</c:v>
                </c:pt>
                <c:pt idx="5">
                  <c:v>April</c:v>
                </c:pt>
                <c:pt idx="6">
                  <c:v>May</c:v>
                </c:pt>
                <c:pt idx="7">
                  <c:v>June</c:v>
                </c:pt>
              </c:strCache>
            </c:strRef>
          </c:cat>
          <c:val>
            <c:numRef>
              <c:f>'Mobile Plant CARs over time'!$P$4:$W$4</c:f>
              <c:numCache>
                <c:formatCode>General</c:formatCode>
                <c:ptCount val="8"/>
                <c:pt idx="0">
                  <c:v>1</c:v>
                </c:pt>
                <c:pt idx="1">
                  <c:v>6</c:v>
                </c:pt>
                <c:pt idx="2">
                  <c:v>14</c:v>
                </c:pt>
                <c:pt idx="3">
                  <c:v>18</c:v>
                </c:pt>
                <c:pt idx="4">
                  <c:v>23</c:v>
                </c:pt>
                <c:pt idx="5">
                  <c:v>28</c:v>
                </c:pt>
                <c:pt idx="6">
                  <c:v>48</c:v>
                </c:pt>
                <c:pt idx="7">
                  <c:v>58</c:v>
                </c:pt>
              </c:numCache>
            </c:numRef>
          </c:val>
          <c:extLst>
            <c:ext xmlns:c16="http://schemas.microsoft.com/office/drawing/2014/chart" uri="{C3380CC4-5D6E-409C-BE32-E72D297353CC}">
              <c16:uniqueId val="{00000002-13AB-49D0-8F37-DA834B742C95}"/>
            </c:ext>
          </c:extLst>
        </c:ser>
        <c:ser>
          <c:idx val="3"/>
          <c:order val="3"/>
          <c:tx>
            <c:strRef>
              <c:f>'Mobile Plant CARs over time'!$O$5</c:f>
              <c:strCache>
                <c:ptCount val="1"/>
                <c:pt idx="0">
                  <c:v>H16.10</c:v>
                </c:pt>
              </c:strCache>
            </c:strRef>
          </c:tx>
          <c:spPr>
            <a:solidFill>
              <a:schemeClr val="bg2">
                <a:lumMod val="50000"/>
              </a:schemeClr>
            </a:solidFill>
            <a:ln>
              <a:solidFill>
                <a:schemeClr val="tx1"/>
              </a:solidFill>
            </a:ln>
            <a:effectLst/>
          </c:spPr>
          <c:cat>
            <c:strRef>
              <c:f>'Mobile Plant CARs over time'!$P$1:$W$1</c:f>
              <c:strCache>
                <c:ptCount val="8"/>
                <c:pt idx="0">
                  <c:v>November</c:v>
                </c:pt>
                <c:pt idx="1">
                  <c:v>December</c:v>
                </c:pt>
                <c:pt idx="2">
                  <c:v>January</c:v>
                </c:pt>
                <c:pt idx="3">
                  <c:v>February</c:v>
                </c:pt>
                <c:pt idx="4">
                  <c:v>March</c:v>
                </c:pt>
                <c:pt idx="5">
                  <c:v>April</c:v>
                </c:pt>
                <c:pt idx="6">
                  <c:v>May</c:v>
                </c:pt>
                <c:pt idx="7">
                  <c:v>June</c:v>
                </c:pt>
              </c:strCache>
            </c:strRef>
          </c:cat>
          <c:val>
            <c:numRef>
              <c:f>'Mobile Plant CARs over time'!$P$5:$W$5</c:f>
              <c:numCache>
                <c:formatCode>General</c:formatCode>
                <c:ptCount val="8"/>
                <c:pt idx="0">
                  <c:v>2</c:v>
                </c:pt>
                <c:pt idx="1">
                  <c:v>3</c:v>
                </c:pt>
                <c:pt idx="2">
                  <c:v>7</c:v>
                </c:pt>
                <c:pt idx="3">
                  <c:v>16</c:v>
                </c:pt>
                <c:pt idx="4">
                  <c:v>21</c:v>
                </c:pt>
                <c:pt idx="5">
                  <c:v>28</c:v>
                </c:pt>
                <c:pt idx="6">
                  <c:v>42</c:v>
                </c:pt>
                <c:pt idx="7">
                  <c:v>55</c:v>
                </c:pt>
              </c:numCache>
            </c:numRef>
          </c:val>
          <c:extLst>
            <c:ext xmlns:c16="http://schemas.microsoft.com/office/drawing/2014/chart" uri="{C3380CC4-5D6E-409C-BE32-E72D297353CC}">
              <c16:uniqueId val="{00000003-13AB-49D0-8F37-DA834B742C95}"/>
            </c:ext>
          </c:extLst>
        </c:ser>
        <c:ser>
          <c:idx val="4"/>
          <c:order val="4"/>
          <c:tx>
            <c:strRef>
              <c:f>'Mobile Plant CARs over time'!$O$6</c:f>
              <c:strCache>
                <c:ptCount val="1"/>
                <c:pt idx="0">
                  <c:v>H16.6</c:v>
                </c:pt>
              </c:strCache>
            </c:strRef>
          </c:tx>
          <c:spPr>
            <a:solidFill>
              <a:schemeClr val="bg2">
                <a:lumMod val="25000"/>
              </a:schemeClr>
            </a:solidFill>
            <a:ln>
              <a:solidFill>
                <a:schemeClr val="tx1"/>
              </a:solidFill>
            </a:ln>
            <a:effectLst/>
          </c:spPr>
          <c:cat>
            <c:strRef>
              <c:f>'Mobile Plant CARs over time'!$P$1:$W$1</c:f>
              <c:strCache>
                <c:ptCount val="8"/>
                <c:pt idx="0">
                  <c:v>November</c:v>
                </c:pt>
                <c:pt idx="1">
                  <c:v>December</c:v>
                </c:pt>
                <c:pt idx="2">
                  <c:v>January</c:v>
                </c:pt>
                <c:pt idx="3">
                  <c:v>February</c:v>
                </c:pt>
                <c:pt idx="4">
                  <c:v>March</c:v>
                </c:pt>
                <c:pt idx="5">
                  <c:v>April</c:v>
                </c:pt>
                <c:pt idx="6">
                  <c:v>May</c:v>
                </c:pt>
                <c:pt idx="7">
                  <c:v>June</c:v>
                </c:pt>
              </c:strCache>
            </c:strRef>
          </c:cat>
          <c:val>
            <c:numRef>
              <c:f>'Mobile Plant CARs over time'!$P$6:$W$6</c:f>
              <c:numCache>
                <c:formatCode>General</c:formatCode>
                <c:ptCount val="8"/>
                <c:pt idx="0">
                  <c:v>2</c:v>
                </c:pt>
                <c:pt idx="1">
                  <c:v>6</c:v>
                </c:pt>
                <c:pt idx="2">
                  <c:v>14</c:v>
                </c:pt>
                <c:pt idx="3">
                  <c:v>15</c:v>
                </c:pt>
                <c:pt idx="4">
                  <c:v>21</c:v>
                </c:pt>
                <c:pt idx="5">
                  <c:v>27</c:v>
                </c:pt>
                <c:pt idx="6">
                  <c:v>39</c:v>
                </c:pt>
                <c:pt idx="7">
                  <c:v>47</c:v>
                </c:pt>
              </c:numCache>
            </c:numRef>
          </c:val>
          <c:extLst>
            <c:ext xmlns:c16="http://schemas.microsoft.com/office/drawing/2014/chart" uri="{C3380CC4-5D6E-409C-BE32-E72D297353CC}">
              <c16:uniqueId val="{00000004-13AB-49D0-8F37-DA834B742C95}"/>
            </c:ext>
          </c:extLst>
        </c:ser>
        <c:ser>
          <c:idx val="5"/>
          <c:order val="5"/>
          <c:tx>
            <c:strRef>
              <c:f>'Mobile Plant CARs over time'!$O$7</c:f>
              <c:strCache>
                <c:ptCount val="1"/>
                <c:pt idx="0">
                  <c:v>H16.2</c:v>
                </c:pt>
              </c:strCache>
            </c:strRef>
          </c:tx>
          <c:spPr>
            <a:solidFill>
              <a:schemeClr val="bg2">
                <a:lumMod val="10000"/>
              </a:schemeClr>
            </a:solidFill>
            <a:ln>
              <a:solidFill>
                <a:schemeClr val="tx1"/>
              </a:solidFill>
            </a:ln>
            <a:effectLst/>
          </c:spPr>
          <c:cat>
            <c:strRef>
              <c:f>'Mobile Plant CARs over time'!$P$1:$W$1</c:f>
              <c:strCache>
                <c:ptCount val="8"/>
                <c:pt idx="0">
                  <c:v>November</c:v>
                </c:pt>
                <c:pt idx="1">
                  <c:v>December</c:v>
                </c:pt>
                <c:pt idx="2">
                  <c:v>January</c:v>
                </c:pt>
                <c:pt idx="3">
                  <c:v>February</c:v>
                </c:pt>
                <c:pt idx="4">
                  <c:v>March</c:v>
                </c:pt>
                <c:pt idx="5">
                  <c:v>April</c:v>
                </c:pt>
                <c:pt idx="6">
                  <c:v>May</c:v>
                </c:pt>
                <c:pt idx="7">
                  <c:v>June</c:v>
                </c:pt>
              </c:strCache>
            </c:strRef>
          </c:cat>
          <c:val>
            <c:numRef>
              <c:f>'Mobile Plant CARs over time'!$P$7:$W$7</c:f>
              <c:numCache>
                <c:formatCode>General</c:formatCode>
                <c:ptCount val="8"/>
                <c:pt idx="0">
                  <c:v>2</c:v>
                </c:pt>
                <c:pt idx="1">
                  <c:v>4</c:v>
                </c:pt>
                <c:pt idx="2">
                  <c:v>8</c:v>
                </c:pt>
                <c:pt idx="3">
                  <c:v>11</c:v>
                </c:pt>
                <c:pt idx="4">
                  <c:v>15</c:v>
                </c:pt>
                <c:pt idx="5">
                  <c:v>16</c:v>
                </c:pt>
                <c:pt idx="6">
                  <c:v>26</c:v>
                </c:pt>
                <c:pt idx="7">
                  <c:v>34</c:v>
                </c:pt>
              </c:numCache>
            </c:numRef>
          </c:val>
          <c:extLst>
            <c:ext xmlns:c16="http://schemas.microsoft.com/office/drawing/2014/chart" uri="{C3380CC4-5D6E-409C-BE32-E72D297353CC}">
              <c16:uniqueId val="{00000005-13AB-49D0-8F37-DA834B742C95}"/>
            </c:ext>
          </c:extLst>
        </c:ser>
        <c:ser>
          <c:idx val="6"/>
          <c:order val="6"/>
          <c:tx>
            <c:strRef>
              <c:f>'Mobile Plant CARs over time'!$O$8</c:f>
              <c:strCache>
                <c:ptCount val="1"/>
                <c:pt idx="0">
                  <c:v>H16.8</c:v>
                </c:pt>
              </c:strCache>
            </c:strRef>
          </c:tx>
          <c:spPr>
            <a:solidFill>
              <a:schemeClr val="accent2">
                <a:lumMod val="20000"/>
                <a:lumOff val="80000"/>
              </a:schemeClr>
            </a:solidFill>
            <a:ln w="9525">
              <a:solidFill>
                <a:schemeClr val="tx1"/>
              </a:solidFill>
            </a:ln>
            <a:effectLst/>
          </c:spPr>
          <c:cat>
            <c:strRef>
              <c:f>'Mobile Plant CARs over time'!$P$1:$W$1</c:f>
              <c:strCache>
                <c:ptCount val="8"/>
                <c:pt idx="0">
                  <c:v>November</c:v>
                </c:pt>
                <c:pt idx="1">
                  <c:v>December</c:v>
                </c:pt>
                <c:pt idx="2">
                  <c:v>January</c:v>
                </c:pt>
                <c:pt idx="3">
                  <c:v>February</c:v>
                </c:pt>
                <c:pt idx="4">
                  <c:v>March</c:v>
                </c:pt>
                <c:pt idx="5">
                  <c:v>April</c:v>
                </c:pt>
                <c:pt idx="6">
                  <c:v>May</c:v>
                </c:pt>
                <c:pt idx="7">
                  <c:v>June</c:v>
                </c:pt>
              </c:strCache>
            </c:strRef>
          </c:cat>
          <c:val>
            <c:numRef>
              <c:f>'Mobile Plant CARs over time'!$P$8:$W$8</c:f>
              <c:numCache>
                <c:formatCode>General</c:formatCode>
                <c:ptCount val="8"/>
                <c:pt idx="0">
                  <c:v>1</c:v>
                </c:pt>
                <c:pt idx="1">
                  <c:v>2</c:v>
                </c:pt>
                <c:pt idx="2">
                  <c:v>8</c:v>
                </c:pt>
                <c:pt idx="3">
                  <c:v>6</c:v>
                </c:pt>
                <c:pt idx="4">
                  <c:v>12</c:v>
                </c:pt>
                <c:pt idx="5">
                  <c:v>15</c:v>
                </c:pt>
                <c:pt idx="6">
                  <c:v>24</c:v>
                </c:pt>
                <c:pt idx="7">
                  <c:v>33</c:v>
                </c:pt>
              </c:numCache>
            </c:numRef>
          </c:val>
          <c:extLst>
            <c:ext xmlns:c16="http://schemas.microsoft.com/office/drawing/2014/chart" uri="{C3380CC4-5D6E-409C-BE32-E72D297353CC}">
              <c16:uniqueId val="{00000006-13AB-49D0-8F37-DA834B742C95}"/>
            </c:ext>
          </c:extLst>
        </c:ser>
        <c:ser>
          <c:idx val="7"/>
          <c:order val="7"/>
          <c:tx>
            <c:strRef>
              <c:f>'Mobile Plant CARs over time'!$O$9</c:f>
              <c:strCache>
                <c:ptCount val="1"/>
                <c:pt idx="0">
                  <c:v>H16.4</c:v>
                </c:pt>
              </c:strCache>
            </c:strRef>
          </c:tx>
          <c:spPr>
            <a:solidFill>
              <a:schemeClr val="accent2">
                <a:lumMod val="40000"/>
                <a:lumOff val="60000"/>
              </a:schemeClr>
            </a:solidFill>
            <a:ln w="9525">
              <a:solidFill>
                <a:schemeClr val="tx1"/>
              </a:solidFill>
            </a:ln>
            <a:effectLst/>
          </c:spPr>
          <c:cat>
            <c:strRef>
              <c:f>'Mobile Plant CARs over time'!$P$1:$W$1</c:f>
              <c:strCache>
                <c:ptCount val="8"/>
                <c:pt idx="0">
                  <c:v>November</c:v>
                </c:pt>
                <c:pt idx="1">
                  <c:v>December</c:v>
                </c:pt>
                <c:pt idx="2">
                  <c:v>January</c:v>
                </c:pt>
                <c:pt idx="3">
                  <c:v>February</c:v>
                </c:pt>
                <c:pt idx="4">
                  <c:v>March</c:v>
                </c:pt>
                <c:pt idx="5">
                  <c:v>April</c:v>
                </c:pt>
                <c:pt idx="6">
                  <c:v>May</c:v>
                </c:pt>
                <c:pt idx="7">
                  <c:v>June</c:v>
                </c:pt>
              </c:strCache>
            </c:strRef>
          </c:cat>
          <c:val>
            <c:numRef>
              <c:f>'Mobile Plant CARs over time'!$P$9:$W$9</c:f>
              <c:numCache>
                <c:formatCode>General</c:formatCode>
                <c:ptCount val="8"/>
                <c:pt idx="0">
                  <c:v>0</c:v>
                </c:pt>
                <c:pt idx="1">
                  <c:v>1</c:v>
                </c:pt>
                <c:pt idx="2">
                  <c:v>3</c:v>
                </c:pt>
                <c:pt idx="3">
                  <c:v>10</c:v>
                </c:pt>
                <c:pt idx="4">
                  <c:v>12</c:v>
                </c:pt>
                <c:pt idx="5">
                  <c:v>15</c:v>
                </c:pt>
                <c:pt idx="6">
                  <c:v>24</c:v>
                </c:pt>
                <c:pt idx="7">
                  <c:v>32</c:v>
                </c:pt>
              </c:numCache>
            </c:numRef>
          </c:val>
          <c:extLst>
            <c:ext xmlns:c16="http://schemas.microsoft.com/office/drawing/2014/chart" uri="{C3380CC4-5D6E-409C-BE32-E72D297353CC}">
              <c16:uniqueId val="{00000007-13AB-49D0-8F37-DA834B742C95}"/>
            </c:ext>
          </c:extLst>
        </c:ser>
        <c:ser>
          <c:idx val="8"/>
          <c:order val="8"/>
          <c:tx>
            <c:strRef>
              <c:f>'Mobile Plant CARs over time'!$O$10</c:f>
              <c:strCache>
                <c:ptCount val="1"/>
                <c:pt idx="0">
                  <c:v>H16.7</c:v>
                </c:pt>
              </c:strCache>
            </c:strRef>
          </c:tx>
          <c:spPr>
            <a:solidFill>
              <a:schemeClr val="accent2">
                <a:lumMod val="60000"/>
                <a:lumOff val="40000"/>
              </a:schemeClr>
            </a:solidFill>
            <a:ln w="9525">
              <a:solidFill>
                <a:schemeClr val="tx1"/>
              </a:solidFill>
            </a:ln>
            <a:effectLst/>
          </c:spPr>
          <c:cat>
            <c:strRef>
              <c:f>'Mobile Plant CARs over time'!$P$1:$W$1</c:f>
              <c:strCache>
                <c:ptCount val="8"/>
                <c:pt idx="0">
                  <c:v>November</c:v>
                </c:pt>
                <c:pt idx="1">
                  <c:v>December</c:v>
                </c:pt>
                <c:pt idx="2">
                  <c:v>January</c:v>
                </c:pt>
                <c:pt idx="3">
                  <c:v>February</c:v>
                </c:pt>
                <c:pt idx="4">
                  <c:v>March</c:v>
                </c:pt>
                <c:pt idx="5">
                  <c:v>April</c:v>
                </c:pt>
                <c:pt idx="6">
                  <c:v>May</c:v>
                </c:pt>
                <c:pt idx="7">
                  <c:v>June</c:v>
                </c:pt>
              </c:strCache>
            </c:strRef>
          </c:cat>
          <c:val>
            <c:numRef>
              <c:f>'Mobile Plant CARs over time'!$P$10:$W$10</c:f>
              <c:numCache>
                <c:formatCode>General</c:formatCode>
                <c:ptCount val="8"/>
                <c:pt idx="0">
                  <c:v>0</c:v>
                </c:pt>
                <c:pt idx="1">
                  <c:v>4</c:v>
                </c:pt>
                <c:pt idx="2">
                  <c:v>14</c:v>
                </c:pt>
                <c:pt idx="3">
                  <c:v>10</c:v>
                </c:pt>
                <c:pt idx="4">
                  <c:v>12</c:v>
                </c:pt>
                <c:pt idx="5">
                  <c:v>15</c:v>
                </c:pt>
                <c:pt idx="6">
                  <c:v>20</c:v>
                </c:pt>
                <c:pt idx="7">
                  <c:v>27</c:v>
                </c:pt>
              </c:numCache>
            </c:numRef>
          </c:val>
          <c:extLst>
            <c:ext xmlns:c16="http://schemas.microsoft.com/office/drawing/2014/chart" uri="{C3380CC4-5D6E-409C-BE32-E72D297353CC}">
              <c16:uniqueId val="{00000008-13AB-49D0-8F37-DA834B742C95}"/>
            </c:ext>
          </c:extLst>
        </c:ser>
        <c:ser>
          <c:idx val="9"/>
          <c:order val="9"/>
          <c:tx>
            <c:strRef>
              <c:f>'Mobile Plant CARs over time'!$O$11</c:f>
              <c:strCache>
                <c:ptCount val="1"/>
                <c:pt idx="0">
                  <c:v>H16.11</c:v>
                </c:pt>
              </c:strCache>
            </c:strRef>
          </c:tx>
          <c:spPr>
            <a:solidFill>
              <a:schemeClr val="accent2">
                <a:lumMod val="50000"/>
              </a:schemeClr>
            </a:solidFill>
            <a:ln w="9525">
              <a:solidFill>
                <a:schemeClr val="tx1"/>
              </a:solidFill>
            </a:ln>
            <a:effectLst/>
          </c:spPr>
          <c:cat>
            <c:strRef>
              <c:f>'Mobile Plant CARs over time'!$P$1:$W$1</c:f>
              <c:strCache>
                <c:ptCount val="8"/>
                <c:pt idx="0">
                  <c:v>November</c:v>
                </c:pt>
                <c:pt idx="1">
                  <c:v>December</c:v>
                </c:pt>
                <c:pt idx="2">
                  <c:v>January</c:v>
                </c:pt>
                <c:pt idx="3">
                  <c:v>February</c:v>
                </c:pt>
                <c:pt idx="4">
                  <c:v>March</c:v>
                </c:pt>
                <c:pt idx="5">
                  <c:v>April</c:v>
                </c:pt>
                <c:pt idx="6">
                  <c:v>May</c:v>
                </c:pt>
                <c:pt idx="7">
                  <c:v>June</c:v>
                </c:pt>
              </c:strCache>
            </c:strRef>
          </c:cat>
          <c:val>
            <c:numRef>
              <c:f>'Mobile Plant CARs over time'!$P$11:$W$11</c:f>
              <c:numCache>
                <c:formatCode>General</c:formatCode>
                <c:ptCount val="8"/>
                <c:pt idx="0">
                  <c:v>1</c:v>
                </c:pt>
                <c:pt idx="1">
                  <c:v>5</c:v>
                </c:pt>
                <c:pt idx="2">
                  <c:v>11</c:v>
                </c:pt>
                <c:pt idx="3">
                  <c:v>8</c:v>
                </c:pt>
                <c:pt idx="4">
                  <c:v>10</c:v>
                </c:pt>
                <c:pt idx="5">
                  <c:v>13</c:v>
                </c:pt>
                <c:pt idx="6">
                  <c:v>16</c:v>
                </c:pt>
                <c:pt idx="7">
                  <c:v>22</c:v>
                </c:pt>
              </c:numCache>
            </c:numRef>
          </c:val>
          <c:extLst>
            <c:ext xmlns:c16="http://schemas.microsoft.com/office/drawing/2014/chart" uri="{C3380CC4-5D6E-409C-BE32-E72D297353CC}">
              <c16:uniqueId val="{00000009-13AB-49D0-8F37-DA834B742C95}"/>
            </c:ext>
          </c:extLst>
        </c:ser>
        <c:ser>
          <c:idx val="10"/>
          <c:order val="10"/>
          <c:tx>
            <c:strRef>
              <c:f>'Mobile Plant CARs over time'!$O$12</c:f>
              <c:strCache>
                <c:ptCount val="1"/>
                <c:pt idx="0">
                  <c:v>H16.1</c:v>
                </c:pt>
              </c:strCache>
            </c:strRef>
          </c:tx>
          <c:spPr>
            <a:solidFill>
              <a:schemeClr val="accent6">
                <a:lumMod val="50000"/>
              </a:schemeClr>
            </a:solidFill>
            <a:ln w="9525">
              <a:solidFill>
                <a:schemeClr val="tx1"/>
              </a:solidFill>
            </a:ln>
            <a:effectLst/>
          </c:spPr>
          <c:cat>
            <c:strRef>
              <c:f>'Mobile Plant CARs over time'!$P$1:$W$1</c:f>
              <c:strCache>
                <c:ptCount val="8"/>
                <c:pt idx="0">
                  <c:v>November</c:v>
                </c:pt>
                <c:pt idx="1">
                  <c:v>December</c:v>
                </c:pt>
                <c:pt idx="2">
                  <c:v>January</c:v>
                </c:pt>
                <c:pt idx="3">
                  <c:v>February</c:v>
                </c:pt>
                <c:pt idx="4">
                  <c:v>March</c:v>
                </c:pt>
                <c:pt idx="5">
                  <c:v>April</c:v>
                </c:pt>
                <c:pt idx="6">
                  <c:v>May</c:v>
                </c:pt>
                <c:pt idx="7">
                  <c:v>June</c:v>
                </c:pt>
              </c:strCache>
            </c:strRef>
          </c:cat>
          <c:val>
            <c:numRef>
              <c:f>'Mobile Plant CARs over time'!$P$12:$W$12</c:f>
              <c:numCache>
                <c:formatCode>General</c:formatCode>
                <c:ptCount val="8"/>
                <c:pt idx="0">
                  <c:v>1</c:v>
                </c:pt>
                <c:pt idx="1">
                  <c:v>2</c:v>
                </c:pt>
                <c:pt idx="2">
                  <c:v>6</c:v>
                </c:pt>
                <c:pt idx="3">
                  <c:v>8</c:v>
                </c:pt>
                <c:pt idx="4">
                  <c:v>11</c:v>
                </c:pt>
                <c:pt idx="5">
                  <c:v>12</c:v>
                </c:pt>
                <c:pt idx="6">
                  <c:v>16</c:v>
                </c:pt>
                <c:pt idx="7">
                  <c:v>20</c:v>
                </c:pt>
              </c:numCache>
            </c:numRef>
          </c:val>
          <c:extLst>
            <c:ext xmlns:c16="http://schemas.microsoft.com/office/drawing/2014/chart" uri="{C3380CC4-5D6E-409C-BE32-E72D297353CC}">
              <c16:uniqueId val="{0000000A-13AB-49D0-8F37-DA834B742C95}"/>
            </c:ext>
          </c:extLst>
        </c:ser>
        <c:ser>
          <c:idx val="11"/>
          <c:order val="11"/>
          <c:tx>
            <c:strRef>
              <c:f>'Mobile Plant CARs over time'!$O$13</c:f>
              <c:strCache>
                <c:ptCount val="1"/>
                <c:pt idx="0">
                  <c:v>H16.12</c:v>
                </c:pt>
              </c:strCache>
            </c:strRef>
          </c:tx>
          <c:spPr>
            <a:solidFill>
              <a:schemeClr val="tx2">
                <a:lumMod val="75000"/>
              </a:schemeClr>
            </a:solidFill>
            <a:ln w="9525">
              <a:solidFill>
                <a:schemeClr val="tx1"/>
              </a:solidFill>
            </a:ln>
            <a:effectLst/>
          </c:spPr>
          <c:cat>
            <c:strRef>
              <c:f>'Mobile Plant CARs over time'!$P$1:$W$1</c:f>
              <c:strCache>
                <c:ptCount val="8"/>
                <c:pt idx="0">
                  <c:v>November</c:v>
                </c:pt>
                <c:pt idx="1">
                  <c:v>December</c:v>
                </c:pt>
                <c:pt idx="2">
                  <c:v>January</c:v>
                </c:pt>
                <c:pt idx="3">
                  <c:v>February</c:v>
                </c:pt>
                <c:pt idx="4">
                  <c:v>March</c:v>
                </c:pt>
                <c:pt idx="5">
                  <c:v>April</c:v>
                </c:pt>
                <c:pt idx="6">
                  <c:v>May</c:v>
                </c:pt>
                <c:pt idx="7">
                  <c:v>June</c:v>
                </c:pt>
              </c:strCache>
            </c:strRef>
          </c:cat>
          <c:val>
            <c:numRef>
              <c:f>'Mobile Plant CARs over time'!$P$13:$W$13</c:f>
              <c:numCache>
                <c:formatCode>General</c:formatCode>
                <c:ptCount val="8"/>
                <c:pt idx="0">
                  <c:v>0</c:v>
                </c:pt>
                <c:pt idx="1">
                  <c:v>0</c:v>
                </c:pt>
                <c:pt idx="2">
                  <c:v>0</c:v>
                </c:pt>
                <c:pt idx="3">
                  <c:v>0</c:v>
                </c:pt>
                <c:pt idx="4">
                  <c:v>0</c:v>
                </c:pt>
                <c:pt idx="5">
                  <c:v>1</c:v>
                </c:pt>
                <c:pt idx="6">
                  <c:v>1</c:v>
                </c:pt>
                <c:pt idx="7">
                  <c:v>2</c:v>
                </c:pt>
              </c:numCache>
            </c:numRef>
          </c:val>
          <c:extLst>
            <c:ext xmlns:c16="http://schemas.microsoft.com/office/drawing/2014/chart" uri="{C3380CC4-5D6E-409C-BE32-E72D297353CC}">
              <c16:uniqueId val="{0000000B-13AB-49D0-8F37-DA834B742C95}"/>
            </c:ext>
          </c:extLst>
        </c:ser>
        <c:dLbls>
          <c:showLegendKey val="0"/>
          <c:showVal val="0"/>
          <c:showCatName val="0"/>
          <c:showSerName val="0"/>
          <c:showPercent val="0"/>
          <c:showBubbleSize val="0"/>
        </c:dLbls>
        <c:axId val="827760088"/>
        <c:axId val="827762832"/>
      </c:areaChart>
      <c:catAx>
        <c:axId val="8277600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827762832"/>
        <c:crosses val="autoZero"/>
        <c:auto val="1"/>
        <c:lblAlgn val="ctr"/>
        <c:lblOffset val="100"/>
        <c:noMultiLvlLbl val="0"/>
      </c:catAx>
      <c:valAx>
        <c:axId val="827762832"/>
        <c:scaling>
          <c:orientation val="minMax"/>
          <c:max val="45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827760088"/>
        <c:crosses val="autoZero"/>
        <c:crossBetween val="midCat"/>
        <c:majorUnit val="50"/>
      </c:valAx>
      <c:spPr>
        <a:noFill/>
        <a:ln>
          <a:noFill/>
        </a:ln>
        <a:effectLst/>
      </c:spPr>
    </c:plotArea>
    <c:legend>
      <c:legendPos val="tr"/>
      <c:layout>
        <c:manualLayout>
          <c:xMode val="edge"/>
          <c:yMode val="edge"/>
          <c:x val="0.8681043563548837"/>
          <c:y val="8.9099415204678387E-2"/>
          <c:w val="0.12247568196015536"/>
          <c:h val="0.8643308007551687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legend>
    <c:plotVisOnly val="1"/>
    <c:dispBlanksAs val="zero"/>
    <c:showDLblsOverMax val="0"/>
  </c:chart>
  <c:spPr>
    <a:no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704603953491322E-2"/>
          <c:y val="0.10724751122086071"/>
          <c:w val="0.74524037343433336"/>
          <c:h val="0.69673360356582648"/>
        </c:manualLayout>
      </c:layout>
      <c:pieChart>
        <c:varyColors val="1"/>
        <c:ser>
          <c:idx val="0"/>
          <c:order val="0"/>
          <c:spPr>
            <a:solidFill>
              <a:schemeClr val="bg2">
                <a:lumMod val="50000"/>
              </a:schemeClr>
            </a:solidFill>
            <a:ln w="9525"/>
          </c:spPr>
          <c:dPt>
            <c:idx val="0"/>
            <c:bubble3D val="0"/>
            <c:spPr>
              <a:solidFill>
                <a:srgbClr val="C00000"/>
              </a:solidFill>
              <a:ln w="9525">
                <a:solidFill>
                  <a:schemeClr val="tx1"/>
                </a:solidFill>
              </a:ln>
              <a:effectLst/>
            </c:spPr>
            <c:extLst>
              <c:ext xmlns:c16="http://schemas.microsoft.com/office/drawing/2014/chart" uri="{C3380CC4-5D6E-409C-BE32-E72D297353CC}">
                <c16:uniqueId val="{00000001-50E6-4B6B-975B-69D0BED5B8F7}"/>
              </c:ext>
            </c:extLst>
          </c:dPt>
          <c:dPt>
            <c:idx val="1"/>
            <c:bubble3D val="0"/>
            <c:spPr>
              <a:solidFill>
                <a:schemeClr val="bg2">
                  <a:lumMod val="50000"/>
                </a:schemeClr>
              </a:solidFill>
              <a:ln w="9525">
                <a:solidFill>
                  <a:schemeClr val="tx1"/>
                </a:solidFill>
              </a:ln>
              <a:effectLst/>
            </c:spPr>
            <c:extLst>
              <c:ext xmlns:c16="http://schemas.microsoft.com/office/drawing/2014/chart" uri="{C3380CC4-5D6E-409C-BE32-E72D297353CC}">
                <c16:uniqueId val="{00000003-50E6-4B6B-975B-69D0BED5B8F7}"/>
              </c:ext>
            </c:extLst>
          </c:dPt>
          <c:dLbls>
            <c:dLbl>
              <c:idx val="0"/>
              <c:layout>
                <c:manualLayout>
                  <c:x val="0.19353565834210842"/>
                  <c:y val="0.11051825622388918"/>
                </c:manualLayout>
              </c:layout>
              <c:tx>
                <c:rich>
                  <a:bodyPr rot="0" spcFirstLastPara="1" vertOverflow="ellipsis" vert="horz" wrap="square" lIns="38100" tIns="19050" rIns="38100" bIns="19050" anchor="ctr" anchorCtr="1">
                    <a:spAutoFit/>
                  </a:bodyPr>
                  <a:lstStyle/>
                  <a:p>
                    <a:pPr>
                      <a:defRPr sz="3200" b="1" i="0" u="none" strike="noStrike" kern="1200" baseline="0">
                        <a:ln>
                          <a:solidFill>
                            <a:schemeClr val="tx1"/>
                          </a:solidFill>
                        </a:ln>
                        <a:solidFill>
                          <a:schemeClr val="bg1"/>
                        </a:solidFill>
                        <a:latin typeface="+mn-lt"/>
                        <a:ea typeface="+mn-ea"/>
                        <a:cs typeface="+mn-cs"/>
                      </a:defRPr>
                    </a:pPr>
                    <a:fld id="{A10C7F58-0772-4050-8355-34A26C574126}" type="VALUE">
                      <a:rPr lang="en-US" sz="3200">
                        <a:solidFill>
                          <a:schemeClr val="bg1"/>
                        </a:solidFill>
                      </a:rPr>
                      <a:pPr>
                        <a:defRPr sz="3200" b="1">
                          <a:ln>
                            <a:solidFill>
                              <a:schemeClr val="tx1"/>
                            </a:solidFill>
                          </a:ln>
                          <a:solidFill>
                            <a:schemeClr val="bg1"/>
                          </a:solidFill>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3200" b="1" i="0" u="none" strike="noStrike" kern="1200" baseline="0">
                      <a:ln>
                        <a:solidFill>
                          <a:schemeClr val="tx1"/>
                        </a:solidFill>
                      </a:ln>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0E6-4B6B-975B-69D0BED5B8F7}"/>
                </c:ext>
              </c:extLst>
            </c:dLbl>
            <c:dLbl>
              <c:idx val="1"/>
              <c:layout>
                <c:manualLayout>
                  <c:x val="-0.19252309030233497"/>
                  <c:y val="-0.12563698768423184"/>
                </c:manualLayout>
              </c:layout>
              <c:tx>
                <c:rich>
                  <a:bodyPr rot="0" spcFirstLastPara="1" vertOverflow="ellipsis" vert="horz" wrap="square" lIns="38100" tIns="19050" rIns="38100" bIns="19050" anchor="ctr" anchorCtr="1">
                    <a:spAutoFit/>
                  </a:bodyPr>
                  <a:lstStyle/>
                  <a:p>
                    <a:pPr>
                      <a:defRPr sz="3200" b="1" i="0" u="none" strike="noStrike" kern="1200" baseline="0">
                        <a:ln>
                          <a:solidFill>
                            <a:schemeClr val="tx1"/>
                          </a:solidFill>
                        </a:ln>
                        <a:solidFill>
                          <a:schemeClr val="bg1"/>
                        </a:solidFill>
                        <a:latin typeface="+mn-lt"/>
                        <a:ea typeface="+mn-ea"/>
                        <a:cs typeface="+mn-cs"/>
                      </a:defRPr>
                    </a:pPr>
                    <a:fld id="{E7D29E23-40C5-4C32-B2B9-3504EC3986A7}" type="VALUE">
                      <a:rPr lang="en-US" sz="3200"/>
                      <a:pPr>
                        <a:defRPr sz="3200" b="1">
                          <a:ln>
                            <a:solidFill>
                              <a:schemeClr val="tx1"/>
                            </a:solidFill>
                          </a:ln>
                          <a:solidFill>
                            <a:schemeClr val="bg1"/>
                          </a:solidFill>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3200" b="1" i="0" u="none" strike="noStrike" kern="1200" baseline="0">
                      <a:ln>
                        <a:solidFill>
                          <a:schemeClr val="tx1"/>
                        </a:solidFill>
                      </a:ln>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0E6-4B6B-975B-69D0BED5B8F7}"/>
                </c:ext>
              </c:extLst>
            </c:dLbl>
            <c:spPr>
              <a:noFill/>
              <a:ln>
                <a:noFill/>
              </a:ln>
              <a:effectLst/>
            </c:spPr>
            <c:txPr>
              <a:bodyPr rot="0" spcFirstLastPara="1" vertOverflow="ellipsis" vert="horz" wrap="square" lIns="38100" tIns="19050" rIns="38100" bIns="19050" anchor="ctr" anchorCtr="1">
                <a:spAutoFit/>
              </a:bodyPr>
              <a:lstStyle/>
              <a:p>
                <a:pPr>
                  <a:defRPr sz="2400" b="1" i="0" u="none" strike="noStrike" kern="1200" baseline="0">
                    <a:ln>
                      <a:solidFill>
                        <a:schemeClr val="tx1"/>
                      </a:solidFill>
                    </a:ln>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majorminor!$B$2:$C$2</c:f>
              <c:strCache>
                <c:ptCount val="2"/>
                <c:pt idx="0">
                  <c:v>Major</c:v>
                </c:pt>
                <c:pt idx="1">
                  <c:v>Minor</c:v>
                </c:pt>
              </c:strCache>
            </c:strRef>
          </c:cat>
          <c:val>
            <c:numRef>
              <c:f>majorminor!$B$15:$C$15</c:f>
              <c:numCache>
                <c:formatCode>General</c:formatCode>
                <c:ptCount val="2"/>
                <c:pt idx="0">
                  <c:v>159</c:v>
                </c:pt>
                <c:pt idx="1">
                  <c:v>295</c:v>
                </c:pt>
              </c:numCache>
            </c:numRef>
          </c:val>
          <c:extLst>
            <c:ext xmlns:c16="http://schemas.microsoft.com/office/drawing/2014/chart" uri="{C3380CC4-5D6E-409C-BE32-E72D297353CC}">
              <c16:uniqueId val="{00000004-50E6-4B6B-975B-69D0BED5B8F7}"/>
            </c:ext>
          </c:extLst>
        </c:ser>
        <c:dLbls>
          <c:showLegendKey val="0"/>
          <c:showVal val="0"/>
          <c:showCatName val="0"/>
          <c:showSerName val="0"/>
          <c:showPercent val="0"/>
          <c:showBubbleSize val="0"/>
          <c:showLeaderLines val="1"/>
        </c:dLbls>
        <c:firstSliceAng val="233"/>
      </c:pieChart>
      <c:spPr>
        <a:noFill/>
        <a:ln>
          <a:noFill/>
        </a:ln>
        <a:effectLst/>
      </c:spPr>
    </c:plotArea>
    <c:legend>
      <c:legendPos val="b"/>
      <c:layout>
        <c:manualLayout>
          <c:xMode val="edge"/>
          <c:yMode val="edge"/>
          <c:x val="0.55361540250506658"/>
          <c:y val="0.75738247216139398"/>
          <c:w val="0.4412924017409216"/>
          <c:h val="8.088182764136731E-2"/>
        </c:manualLayout>
      </c:layout>
      <c:overlay val="0"/>
      <c:spPr>
        <a:noFill/>
        <a:ln>
          <a:noFill/>
        </a:ln>
        <a:effectLst/>
      </c:spPr>
      <c:txPr>
        <a:bodyPr rot="0" spcFirstLastPara="1" vertOverflow="ellipsis" vert="horz" wrap="square" anchor="ctr" anchorCtr="1"/>
        <a:lstStyle/>
        <a:p>
          <a:pPr rtl="0">
            <a:defRPr sz="12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a:t>H16.6</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Work!$B$26</c:f>
              <c:strCache>
                <c:ptCount val="1"/>
                <c:pt idx="0">
                  <c:v>H16.6 Minor</c:v>
                </c:pt>
              </c:strCache>
            </c:strRef>
          </c:tx>
          <c:spPr>
            <a:solidFill>
              <a:schemeClr val="bg2">
                <a:lumMod val="50000"/>
              </a:schemeClr>
            </a:solidFill>
            <a:ln>
              <a:noFill/>
            </a:ln>
            <a:effectLst/>
          </c:spPr>
          <c:invertIfNegative val="0"/>
          <c:cat>
            <c:strRef>
              <c:f>Work!$C$25:$F$25</c:f>
              <c:strCache>
                <c:ptCount val="4"/>
                <c:pt idx="0">
                  <c:v>2017</c:v>
                </c:pt>
                <c:pt idx="1">
                  <c:v>2018</c:v>
                </c:pt>
                <c:pt idx="2">
                  <c:v>2019</c:v>
                </c:pt>
                <c:pt idx="3">
                  <c:v>H2020</c:v>
                </c:pt>
              </c:strCache>
            </c:strRef>
          </c:cat>
          <c:val>
            <c:numRef>
              <c:f>Work!$C$26:$F$26</c:f>
              <c:numCache>
                <c:formatCode>0.0%</c:formatCode>
                <c:ptCount val="4"/>
                <c:pt idx="0">
                  <c:v>0.12149532710280374</c:v>
                </c:pt>
                <c:pt idx="1">
                  <c:v>0.1013215859030837</c:v>
                </c:pt>
                <c:pt idx="2">
                  <c:v>0.11740890688259109</c:v>
                </c:pt>
                <c:pt idx="3">
                  <c:v>0.20710059171597633</c:v>
                </c:pt>
              </c:numCache>
            </c:numRef>
          </c:val>
          <c:extLst>
            <c:ext xmlns:c16="http://schemas.microsoft.com/office/drawing/2014/chart" uri="{C3380CC4-5D6E-409C-BE32-E72D297353CC}">
              <c16:uniqueId val="{00000000-DC3F-437A-9A6E-0C05FDFB2655}"/>
            </c:ext>
          </c:extLst>
        </c:ser>
        <c:ser>
          <c:idx val="1"/>
          <c:order val="1"/>
          <c:tx>
            <c:strRef>
              <c:f>Work!$B$27</c:f>
              <c:strCache>
                <c:ptCount val="1"/>
                <c:pt idx="0">
                  <c:v>H16.6 Major</c:v>
                </c:pt>
              </c:strCache>
            </c:strRef>
          </c:tx>
          <c:spPr>
            <a:solidFill>
              <a:srgbClr val="C00000"/>
            </a:solidFill>
            <a:ln>
              <a:noFill/>
            </a:ln>
            <a:effectLst/>
          </c:spPr>
          <c:invertIfNegative val="0"/>
          <c:cat>
            <c:strRef>
              <c:f>Work!$C$25:$F$25</c:f>
              <c:strCache>
                <c:ptCount val="4"/>
                <c:pt idx="0">
                  <c:v>2017</c:v>
                </c:pt>
                <c:pt idx="1">
                  <c:v>2018</c:v>
                </c:pt>
                <c:pt idx="2">
                  <c:v>2019</c:v>
                </c:pt>
                <c:pt idx="3">
                  <c:v>H2020</c:v>
                </c:pt>
              </c:strCache>
            </c:strRef>
          </c:cat>
          <c:val>
            <c:numRef>
              <c:f>Work!$C$27:$F$27</c:f>
              <c:numCache>
                <c:formatCode>0.0%</c:formatCode>
                <c:ptCount val="4"/>
                <c:pt idx="0">
                  <c:v>0.15887850467289719</c:v>
                </c:pt>
                <c:pt idx="1">
                  <c:v>0.1277533039647577</c:v>
                </c:pt>
                <c:pt idx="2">
                  <c:v>7.6923076923076927E-2</c:v>
                </c:pt>
                <c:pt idx="3">
                  <c:v>7.1005917159763315E-2</c:v>
                </c:pt>
              </c:numCache>
            </c:numRef>
          </c:val>
          <c:extLst>
            <c:ext xmlns:c16="http://schemas.microsoft.com/office/drawing/2014/chart" uri="{C3380CC4-5D6E-409C-BE32-E72D297353CC}">
              <c16:uniqueId val="{00000001-DC3F-437A-9A6E-0C05FDFB2655}"/>
            </c:ext>
          </c:extLst>
        </c:ser>
        <c:dLbls>
          <c:showLegendKey val="0"/>
          <c:showVal val="0"/>
          <c:showCatName val="0"/>
          <c:showSerName val="0"/>
          <c:showPercent val="0"/>
          <c:showBubbleSize val="0"/>
        </c:dLbls>
        <c:gapWidth val="50"/>
        <c:overlap val="100"/>
        <c:axId val="827774592"/>
        <c:axId val="827774200"/>
      </c:barChart>
      <c:catAx>
        <c:axId val="82777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827774200"/>
        <c:crosses val="autoZero"/>
        <c:auto val="1"/>
        <c:lblAlgn val="ctr"/>
        <c:lblOffset val="100"/>
        <c:noMultiLvlLbl val="0"/>
      </c:catAx>
      <c:valAx>
        <c:axId val="827774200"/>
        <c:scaling>
          <c:orientation val="minMax"/>
          <c:max val="0.60000000000000009"/>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827774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a:t>H16.3</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2495949131484344E-2"/>
          <c:y val="0.1839141718507378"/>
          <c:w val="0.90250752304152904"/>
          <c:h val="0.70105508683197126"/>
        </c:manualLayout>
      </c:layout>
      <c:barChart>
        <c:barDir val="col"/>
        <c:grouping val="stacked"/>
        <c:varyColors val="0"/>
        <c:ser>
          <c:idx val="0"/>
          <c:order val="0"/>
          <c:tx>
            <c:strRef>
              <c:f>Work!$B$18</c:f>
              <c:strCache>
                <c:ptCount val="1"/>
                <c:pt idx="0">
                  <c:v>H16.3 Minor</c:v>
                </c:pt>
              </c:strCache>
            </c:strRef>
          </c:tx>
          <c:spPr>
            <a:solidFill>
              <a:schemeClr val="bg2">
                <a:lumMod val="50000"/>
              </a:schemeClr>
            </a:solidFill>
            <a:ln>
              <a:noFill/>
            </a:ln>
            <a:effectLst/>
          </c:spPr>
          <c:invertIfNegative val="0"/>
          <c:cat>
            <c:strRef>
              <c:f>Work!$C$17:$F$17</c:f>
              <c:strCache>
                <c:ptCount val="4"/>
                <c:pt idx="0">
                  <c:v>2017</c:v>
                </c:pt>
                <c:pt idx="1">
                  <c:v>2018</c:v>
                </c:pt>
                <c:pt idx="2">
                  <c:v>2019</c:v>
                </c:pt>
                <c:pt idx="3">
                  <c:v>H2020</c:v>
                </c:pt>
              </c:strCache>
            </c:strRef>
          </c:cat>
          <c:val>
            <c:numRef>
              <c:f>Work!$C$18:$F$18</c:f>
              <c:numCache>
                <c:formatCode>0.0%</c:formatCode>
                <c:ptCount val="4"/>
                <c:pt idx="0">
                  <c:v>0.28504672897196259</c:v>
                </c:pt>
                <c:pt idx="1">
                  <c:v>0.27876106194690264</c:v>
                </c:pt>
                <c:pt idx="2">
                  <c:v>0.24696356275303644</c:v>
                </c:pt>
                <c:pt idx="3">
                  <c:v>0.24852071005917159</c:v>
                </c:pt>
              </c:numCache>
            </c:numRef>
          </c:val>
          <c:extLst>
            <c:ext xmlns:c16="http://schemas.microsoft.com/office/drawing/2014/chart" uri="{C3380CC4-5D6E-409C-BE32-E72D297353CC}">
              <c16:uniqueId val="{00000000-40AE-45AA-875E-14CD6C147C8D}"/>
            </c:ext>
          </c:extLst>
        </c:ser>
        <c:ser>
          <c:idx val="1"/>
          <c:order val="1"/>
          <c:tx>
            <c:strRef>
              <c:f>Work!$B$19</c:f>
              <c:strCache>
                <c:ptCount val="1"/>
                <c:pt idx="0">
                  <c:v>H16.3 Major</c:v>
                </c:pt>
              </c:strCache>
            </c:strRef>
          </c:tx>
          <c:spPr>
            <a:solidFill>
              <a:srgbClr val="C00000"/>
            </a:solidFill>
            <a:ln>
              <a:noFill/>
            </a:ln>
            <a:effectLst/>
          </c:spPr>
          <c:invertIfNegative val="0"/>
          <c:cat>
            <c:strRef>
              <c:f>Work!$C$17:$F$17</c:f>
              <c:strCache>
                <c:ptCount val="4"/>
                <c:pt idx="0">
                  <c:v>2017</c:v>
                </c:pt>
                <c:pt idx="1">
                  <c:v>2018</c:v>
                </c:pt>
                <c:pt idx="2">
                  <c:v>2019</c:v>
                </c:pt>
                <c:pt idx="3">
                  <c:v>H2020</c:v>
                </c:pt>
              </c:strCache>
            </c:strRef>
          </c:cat>
          <c:val>
            <c:numRef>
              <c:f>Work!$C$19:$F$19</c:f>
              <c:numCache>
                <c:formatCode>0.0%</c:formatCode>
                <c:ptCount val="4"/>
                <c:pt idx="0">
                  <c:v>0.19158878504672897</c:v>
                </c:pt>
                <c:pt idx="1">
                  <c:v>0.15486725663716813</c:v>
                </c:pt>
                <c:pt idx="2">
                  <c:v>0.15789473684210525</c:v>
                </c:pt>
                <c:pt idx="3">
                  <c:v>0.13609467455621302</c:v>
                </c:pt>
              </c:numCache>
            </c:numRef>
          </c:val>
          <c:extLst>
            <c:ext xmlns:c16="http://schemas.microsoft.com/office/drawing/2014/chart" uri="{C3380CC4-5D6E-409C-BE32-E72D297353CC}">
              <c16:uniqueId val="{00000001-40AE-45AA-875E-14CD6C147C8D}"/>
            </c:ext>
          </c:extLst>
        </c:ser>
        <c:dLbls>
          <c:showLegendKey val="0"/>
          <c:showVal val="0"/>
          <c:showCatName val="0"/>
          <c:showSerName val="0"/>
          <c:showPercent val="0"/>
          <c:showBubbleSize val="0"/>
        </c:dLbls>
        <c:gapWidth val="50"/>
        <c:overlap val="100"/>
        <c:axId val="827774984"/>
        <c:axId val="827772632"/>
      </c:barChart>
      <c:catAx>
        <c:axId val="827774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827772632"/>
        <c:crosses val="autoZero"/>
        <c:auto val="1"/>
        <c:lblAlgn val="ctr"/>
        <c:lblOffset val="100"/>
        <c:noMultiLvlLbl val="0"/>
      </c:catAx>
      <c:valAx>
        <c:axId val="8277726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827774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a:t>H16.5</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Work!$B$22</c:f>
              <c:strCache>
                <c:ptCount val="1"/>
                <c:pt idx="0">
                  <c:v>H16.5 Minor</c:v>
                </c:pt>
              </c:strCache>
            </c:strRef>
          </c:tx>
          <c:spPr>
            <a:solidFill>
              <a:schemeClr val="bg2">
                <a:lumMod val="50000"/>
              </a:schemeClr>
            </a:solidFill>
            <a:ln>
              <a:noFill/>
            </a:ln>
            <a:effectLst/>
          </c:spPr>
          <c:invertIfNegative val="0"/>
          <c:cat>
            <c:strRef>
              <c:f>Work!$C$21:$F$21</c:f>
              <c:strCache>
                <c:ptCount val="4"/>
                <c:pt idx="0">
                  <c:v>2017</c:v>
                </c:pt>
                <c:pt idx="1">
                  <c:v>2018</c:v>
                </c:pt>
                <c:pt idx="2">
                  <c:v>2019</c:v>
                </c:pt>
                <c:pt idx="3">
                  <c:v>H2020</c:v>
                </c:pt>
              </c:strCache>
            </c:strRef>
          </c:cat>
          <c:val>
            <c:numRef>
              <c:f>Work!$C$22:$F$22</c:f>
              <c:numCache>
                <c:formatCode>0.0%</c:formatCode>
                <c:ptCount val="4"/>
                <c:pt idx="0">
                  <c:v>0.15887850467289719</c:v>
                </c:pt>
                <c:pt idx="1">
                  <c:v>0.18061674008810572</c:v>
                </c:pt>
                <c:pt idx="2">
                  <c:v>0.17813765182186234</c:v>
                </c:pt>
                <c:pt idx="3">
                  <c:v>0.20710059171597633</c:v>
                </c:pt>
              </c:numCache>
            </c:numRef>
          </c:val>
          <c:extLst>
            <c:ext xmlns:c16="http://schemas.microsoft.com/office/drawing/2014/chart" uri="{C3380CC4-5D6E-409C-BE32-E72D297353CC}">
              <c16:uniqueId val="{00000000-E0A8-40F9-B5A5-C8291644C869}"/>
            </c:ext>
          </c:extLst>
        </c:ser>
        <c:ser>
          <c:idx val="1"/>
          <c:order val="1"/>
          <c:tx>
            <c:strRef>
              <c:f>Work!$B$23</c:f>
              <c:strCache>
                <c:ptCount val="1"/>
                <c:pt idx="0">
                  <c:v>H16.5 Major</c:v>
                </c:pt>
              </c:strCache>
            </c:strRef>
          </c:tx>
          <c:spPr>
            <a:solidFill>
              <a:srgbClr val="C00000"/>
            </a:solidFill>
            <a:ln>
              <a:noFill/>
            </a:ln>
            <a:effectLst/>
          </c:spPr>
          <c:invertIfNegative val="0"/>
          <c:cat>
            <c:strRef>
              <c:f>Work!$C$21:$F$21</c:f>
              <c:strCache>
                <c:ptCount val="4"/>
                <c:pt idx="0">
                  <c:v>2017</c:v>
                </c:pt>
                <c:pt idx="1">
                  <c:v>2018</c:v>
                </c:pt>
                <c:pt idx="2">
                  <c:v>2019</c:v>
                </c:pt>
                <c:pt idx="3">
                  <c:v>H2020</c:v>
                </c:pt>
              </c:strCache>
            </c:strRef>
          </c:cat>
          <c:val>
            <c:numRef>
              <c:f>Work!$C$23:$F$23</c:f>
              <c:numCache>
                <c:formatCode>0.0%</c:formatCode>
                <c:ptCount val="4"/>
                <c:pt idx="0">
                  <c:v>0.20093457943925233</c:v>
                </c:pt>
                <c:pt idx="1">
                  <c:v>0.17180616740088106</c:v>
                </c:pt>
                <c:pt idx="2">
                  <c:v>0.13765182186234817</c:v>
                </c:pt>
                <c:pt idx="3">
                  <c:v>0.14201183431952663</c:v>
                </c:pt>
              </c:numCache>
            </c:numRef>
          </c:val>
          <c:extLst>
            <c:ext xmlns:c16="http://schemas.microsoft.com/office/drawing/2014/chart" uri="{C3380CC4-5D6E-409C-BE32-E72D297353CC}">
              <c16:uniqueId val="{00000001-E0A8-40F9-B5A5-C8291644C869}"/>
            </c:ext>
          </c:extLst>
        </c:ser>
        <c:dLbls>
          <c:showLegendKey val="0"/>
          <c:showVal val="0"/>
          <c:showCatName val="0"/>
          <c:showSerName val="0"/>
          <c:showPercent val="0"/>
          <c:showBubbleSize val="0"/>
        </c:dLbls>
        <c:gapWidth val="50"/>
        <c:overlap val="100"/>
        <c:axId val="944575128"/>
        <c:axId val="944571208"/>
      </c:barChart>
      <c:dateAx>
        <c:axId val="944575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44571208"/>
        <c:crosses val="autoZero"/>
        <c:auto val="0"/>
        <c:lblOffset val="100"/>
        <c:baseTimeUnit val="days"/>
      </c:dateAx>
      <c:valAx>
        <c:axId val="944571208"/>
        <c:scaling>
          <c:orientation val="minMax"/>
          <c:max val="0.60000000000000009"/>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944575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B303E-58E2-4815-851E-32581D8F4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22</Pages>
  <Words>3306</Words>
  <Characters>18848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SSC</Company>
  <LinksUpToDate>false</LinksUpToDate>
  <CharactersWithSpaces>22110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LEIJER,Natalie</dc:creator>
  <cp:keywords/>
  <dc:description/>
  <cp:lastModifiedBy>MARLTON,Christopher</cp:lastModifiedBy>
  <cp:revision>19</cp:revision>
  <cp:lastPrinted>2021-09-16T05:58:00Z</cp:lastPrinted>
  <dcterms:created xsi:type="dcterms:W3CDTF">2021-09-10T00:30:00Z</dcterms:created>
  <dcterms:modified xsi:type="dcterms:W3CDTF">2021-09-16T05:58:00Z</dcterms:modified>
</cp:coreProperties>
</file>