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BA7FCC" w14:textId="392F1F79" w:rsidR="00A10A3D" w:rsidRPr="00463530" w:rsidRDefault="00A10A3D" w:rsidP="00A10A3D">
      <w:pPr>
        <w:rPr>
          <w:rFonts w:eastAsia="Times New Roman"/>
          <w:b/>
          <w:bCs/>
          <w:sz w:val="36"/>
          <w:szCs w:val="36"/>
          <w:lang w:eastAsia="en-AU"/>
        </w:rPr>
      </w:pPr>
      <w:r w:rsidRPr="00463530">
        <w:rPr>
          <w:rFonts w:eastAsia="Times New Roman"/>
          <w:b/>
          <w:bCs/>
          <w:sz w:val="36"/>
          <w:szCs w:val="36"/>
          <w:lang w:eastAsia="en-AU"/>
        </w:rPr>
        <w:t xml:space="preserve">Federal Safety Commissioner’s Hazard 2020 Online Educative Forum – </w:t>
      </w:r>
      <w:r w:rsidR="00DC2FAF" w:rsidRPr="00463530">
        <w:rPr>
          <w:rFonts w:eastAsia="Times New Roman"/>
          <w:b/>
          <w:bCs/>
          <w:sz w:val="36"/>
          <w:szCs w:val="36"/>
          <w:lang w:eastAsia="en-AU"/>
        </w:rPr>
        <w:t>Ground Conditions for Crane</w:t>
      </w:r>
      <w:r w:rsidR="00463530" w:rsidRPr="00463530">
        <w:rPr>
          <w:rFonts w:eastAsia="Times New Roman"/>
          <w:b/>
          <w:bCs/>
          <w:sz w:val="36"/>
          <w:szCs w:val="36"/>
          <w:lang w:eastAsia="en-AU"/>
        </w:rPr>
        <w:t xml:space="preserve">s </w:t>
      </w:r>
      <w:r w:rsidRPr="00463530">
        <w:rPr>
          <w:rFonts w:eastAsia="Times New Roman"/>
          <w:b/>
          <w:bCs/>
          <w:sz w:val="36"/>
          <w:szCs w:val="36"/>
          <w:lang w:eastAsia="en-AU"/>
        </w:rPr>
        <w:t>Additional Q&amp;A</w:t>
      </w:r>
    </w:p>
    <w:p w14:paraId="6ABA78B8" w14:textId="0EB61E89" w:rsidR="0015736D" w:rsidRDefault="0015736D" w:rsidP="00A10A3D">
      <w:pPr>
        <w:pBdr>
          <w:bottom w:val="single" w:sz="6" w:space="1" w:color="auto"/>
        </w:pBdr>
        <w:rPr>
          <w:rFonts w:eastAsia="Times New Roman"/>
          <w:sz w:val="24"/>
          <w:szCs w:val="24"/>
          <w:lang w:eastAsia="en-AU"/>
        </w:rPr>
      </w:pPr>
    </w:p>
    <w:p w14:paraId="7BBE32A0" w14:textId="02F04EA0" w:rsidR="0015736D" w:rsidRPr="00DC2FAF" w:rsidRDefault="0015736D" w:rsidP="00A10A3D">
      <w:pPr>
        <w:pBdr>
          <w:bottom w:val="single" w:sz="6" w:space="1" w:color="auto"/>
        </w:pBdr>
        <w:rPr>
          <w:rFonts w:eastAsia="Times New Roman"/>
          <w:lang w:eastAsia="en-AU"/>
        </w:rPr>
      </w:pPr>
      <w:r w:rsidRPr="00DC2FAF">
        <w:rPr>
          <w:rFonts w:eastAsia="Times New Roman"/>
          <w:lang w:eastAsia="en-AU"/>
        </w:rPr>
        <w:t xml:space="preserve">The following questions were asked by attendees at the FSC Online Educative Forum on Articulated Mobile Cranes on Thursday </w:t>
      </w:r>
      <w:r w:rsidR="00DC2FAF">
        <w:rPr>
          <w:rFonts w:eastAsia="Times New Roman"/>
          <w:lang w:eastAsia="en-AU"/>
        </w:rPr>
        <w:t>23 September</w:t>
      </w:r>
      <w:r w:rsidR="00703E69" w:rsidRPr="00DC2FAF">
        <w:rPr>
          <w:rFonts w:eastAsia="Times New Roman"/>
          <w:lang w:eastAsia="en-AU"/>
        </w:rPr>
        <w:t>. The questions were not answered due to time constraints on the day</w:t>
      </w:r>
      <w:r w:rsidRPr="00DC2FAF">
        <w:rPr>
          <w:rFonts w:eastAsia="Times New Roman"/>
          <w:lang w:eastAsia="en-AU"/>
        </w:rPr>
        <w:t xml:space="preserve">. </w:t>
      </w:r>
    </w:p>
    <w:p w14:paraId="5579211F" w14:textId="77777777" w:rsidR="0015736D" w:rsidRPr="00DC2FAF" w:rsidRDefault="0015736D" w:rsidP="00A10A3D">
      <w:pPr>
        <w:pBdr>
          <w:bottom w:val="single" w:sz="6" w:space="1" w:color="auto"/>
        </w:pBdr>
        <w:rPr>
          <w:rFonts w:eastAsia="Times New Roman"/>
          <w:lang w:eastAsia="en-AU"/>
        </w:rPr>
      </w:pPr>
    </w:p>
    <w:p w14:paraId="5A684552" w14:textId="01A2E08C" w:rsidR="0015736D" w:rsidRDefault="0015736D" w:rsidP="00A10A3D">
      <w:pPr>
        <w:rPr>
          <w:rFonts w:eastAsia="Times New Roman"/>
          <w:b/>
          <w:bCs/>
          <w:i/>
          <w:iCs/>
          <w:sz w:val="28"/>
          <w:szCs w:val="28"/>
          <w:lang w:eastAsia="en-AU"/>
        </w:rPr>
      </w:pPr>
    </w:p>
    <w:p w14:paraId="193D1B3D" w14:textId="4AC2016E" w:rsidR="00D50E0C" w:rsidRPr="008B323E" w:rsidRDefault="007B0FB4" w:rsidP="00DC2FAF">
      <w:pPr>
        <w:ind w:left="720" w:hanging="720"/>
        <w:rPr>
          <w:rFonts w:eastAsia="Times New Roman"/>
          <w:b/>
          <w:bCs/>
          <w:i/>
          <w:iCs/>
          <w:sz w:val="24"/>
          <w:szCs w:val="24"/>
          <w:lang w:eastAsia="en-AU"/>
        </w:rPr>
      </w:pPr>
      <w:r w:rsidRPr="008B323E">
        <w:rPr>
          <w:rFonts w:eastAsia="Times New Roman"/>
          <w:b/>
          <w:bCs/>
          <w:i/>
          <w:iCs/>
          <w:sz w:val="24"/>
          <w:szCs w:val="24"/>
          <w:lang w:eastAsia="en-AU"/>
        </w:rPr>
        <w:t xml:space="preserve">Q: </w:t>
      </w:r>
      <w:r w:rsidRPr="008B323E">
        <w:rPr>
          <w:rFonts w:eastAsia="Times New Roman"/>
          <w:b/>
          <w:bCs/>
          <w:i/>
          <w:iCs/>
          <w:sz w:val="24"/>
          <w:szCs w:val="24"/>
          <w:lang w:eastAsia="en-AU"/>
        </w:rPr>
        <w:tab/>
      </w:r>
      <w:r w:rsidR="00DC2FAF" w:rsidRPr="008B323E">
        <w:rPr>
          <w:rFonts w:eastAsia="Times New Roman"/>
          <w:b/>
          <w:bCs/>
          <w:i/>
          <w:iCs/>
          <w:sz w:val="24"/>
          <w:szCs w:val="24"/>
          <w:lang w:eastAsia="en-AU"/>
        </w:rPr>
        <w:t xml:space="preserve">Why are both </w:t>
      </w:r>
      <w:r w:rsidR="008B323E" w:rsidRPr="008B323E">
        <w:rPr>
          <w:rFonts w:eastAsia="Times New Roman"/>
          <w:b/>
          <w:bCs/>
          <w:i/>
          <w:iCs/>
          <w:sz w:val="24"/>
          <w:szCs w:val="24"/>
          <w:lang w:eastAsia="en-AU"/>
        </w:rPr>
        <w:t>a mobile plant</w:t>
      </w:r>
      <w:r w:rsidR="00DC2FAF" w:rsidRPr="008B323E">
        <w:rPr>
          <w:rFonts w:eastAsia="Times New Roman"/>
          <w:b/>
          <w:bCs/>
          <w:i/>
          <w:iCs/>
          <w:sz w:val="24"/>
          <w:szCs w:val="24"/>
          <w:lang w:eastAsia="en-AU"/>
        </w:rPr>
        <w:t xml:space="preserve"> </w:t>
      </w:r>
      <w:r w:rsidR="008B323E" w:rsidRPr="008B323E">
        <w:rPr>
          <w:rFonts w:eastAsia="Times New Roman"/>
          <w:b/>
          <w:bCs/>
          <w:i/>
          <w:iCs/>
          <w:sz w:val="24"/>
          <w:szCs w:val="24"/>
          <w:lang w:eastAsia="en-AU"/>
        </w:rPr>
        <w:t>r</w:t>
      </w:r>
      <w:r w:rsidR="00DC2FAF" w:rsidRPr="008B323E">
        <w:rPr>
          <w:rFonts w:eastAsia="Times New Roman"/>
          <w:b/>
          <w:bCs/>
          <w:i/>
          <w:iCs/>
          <w:sz w:val="24"/>
          <w:szCs w:val="24"/>
          <w:lang w:eastAsia="en-AU"/>
        </w:rPr>
        <w:t xml:space="preserve">isk assessment </w:t>
      </w:r>
      <w:r w:rsidR="008B323E" w:rsidRPr="008B323E">
        <w:rPr>
          <w:rFonts w:eastAsia="Times New Roman"/>
          <w:b/>
          <w:bCs/>
          <w:i/>
          <w:iCs/>
          <w:sz w:val="24"/>
          <w:szCs w:val="24"/>
          <w:lang w:eastAsia="en-AU"/>
        </w:rPr>
        <w:t>and</w:t>
      </w:r>
      <w:r w:rsidR="00DC2FAF" w:rsidRPr="008B323E">
        <w:rPr>
          <w:rFonts w:eastAsia="Times New Roman"/>
          <w:b/>
          <w:bCs/>
          <w:i/>
          <w:iCs/>
          <w:sz w:val="24"/>
          <w:szCs w:val="24"/>
          <w:lang w:eastAsia="en-AU"/>
        </w:rPr>
        <w:t xml:space="preserve"> </w:t>
      </w:r>
      <w:r w:rsidR="008B323E" w:rsidRPr="008B323E">
        <w:rPr>
          <w:rFonts w:eastAsia="Times New Roman"/>
          <w:b/>
          <w:bCs/>
          <w:i/>
          <w:iCs/>
          <w:sz w:val="24"/>
          <w:szCs w:val="24"/>
          <w:lang w:eastAsia="en-AU"/>
        </w:rPr>
        <w:t>a mobile plant</w:t>
      </w:r>
      <w:r w:rsidR="00DC2FAF" w:rsidRPr="008B323E">
        <w:rPr>
          <w:rFonts w:eastAsia="Times New Roman"/>
          <w:b/>
          <w:bCs/>
          <w:i/>
          <w:iCs/>
          <w:sz w:val="24"/>
          <w:szCs w:val="24"/>
          <w:lang w:eastAsia="en-AU"/>
        </w:rPr>
        <w:t xml:space="preserve"> </w:t>
      </w:r>
      <w:r w:rsidR="008B323E" w:rsidRPr="008B323E">
        <w:rPr>
          <w:rFonts w:eastAsia="Times New Roman"/>
          <w:b/>
          <w:bCs/>
          <w:i/>
          <w:iCs/>
          <w:sz w:val="24"/>
          <w:szCs w:val="24"/>
          <w:lang w:eastAsia="en-AU"/>
        </w:rPr>
        <w:t>Safe Work Method Statement (SWMS)</w:t>
      </w:r>
      <w:r w:rsidR="00DC2FAF" w:rsidRPr="008B323E">
        <w:rPr>
          <w:rFonts w:eastAsia="Times New Roman"/>
          <w:b/>
          <w:bCs/>
          <w:i/>
          <w:iCs/>
          <w:sz w:val="24"/>
          <w:szCs w:val="24"/>
          <w:lang w:eastAsia="en-AU"/>
        </w:rPr>
        <w:t xml:space="preserve"> required on site?</w:t>
      </w:r>
    </w:p>
    <w:p w14:paraId="51F5E9FF" w14:textId="77777777" w:rsidR="00513849" w:rsidRPr="008B323E" w:rsidRDefault="00513849" w:rsidP="007B0FB4">
      <w:pPr>
        <w:tabs>
          <w:tab w:val="left" w:pos="567"/>
        </w:tabs>
        <w:ind w:left="720" w:hanging="720"/>
        <w:rPr>
          <w:lang w:eastAsia="en-AU"/>
        </w:rPr>
      </w:pPr>
    </w:p>
    <w:p w14:paraId="27FF62D4" w14:textId="66B0B03C" w:rsidR="008B323E" w:rsidRPr="008B323E" w:rsidRDefault="00D50E0C" w:rsidP="008B323E">
      <w:pPr>
        <w:tabs>
          <w:tab w:val="left" w:pos="567"/>
        </w:tabs>
        <w:ind w:left="720" w:hanging="720"/>
        <w:rPr>
          <w:lang w:eastAsia="en-AU"/>
        </w:rPr>
      </w:pPr>
      <w:r w:rsidRPr="008B323E">
        <w:rPr>
          <w:lang w:eastAsia="en-AU"/>
        </w:rPr>
        <w:t>A:</w:t>
      </w:r>
      <w:r w:rsidR="007B0FB4" w:rsidRPr="008B323E">
        <w:rPr>
          <w:lang w:eastAsia="en-AU"/>
        </w:rPr>
        <w:t xml:space="preserve"> </w:t>
      </w:r>
      <w:r w:rsidR="007B0FB4" w:rsidRPr="008B323E">
        <w:rPr>
          <w:lang w:eastAsia="en-AU"/>
        </w:rPr>
        <w:tab/>
      </w:r>
      <w:r w:rsidR="007B0FB4" w:rsidRPr="008B323E">
        <w:rPr>
          <w:lang w:eastAsia="en-AU"/>
        </w:rPr>
        <w:tab/>
      </w:r>
      <w:r w:rsidR="008B323E" w:rsidRPr="008B323E">
        <w:rPr>
          <w:lang w:eastAsia="en-AU"/>
        </w:rPr>
        <w:t>Scheme audit criteria H16.2 and H16.3 specifically outline that both a Plant Risk assessment and a SWMS are required. A Plant Risk assessment is an assessment used to identify and manage risks associated with an item of plant. The assessment should address a number of items including commissioning, operation, inspection, maintenance, repair, storage and dismantling and then any controls need to consider the hierarchy of risk controls and consider safety features associated with the plant such as warning devices, ROPS, FOPS and guarding.</w:t>
      </w:r>
    </w:p>
    <w:p w14:paraId="0B7F2E98" w14:textId="77777777" w:rsidR="008B323E" w:rsidRPr="008B323E" w:rsidRDefault="008B323E" w:rsidP="008B323E">
      <w:pPr>
        <w:tabs>
          <w:tab w:val="left" w:pos="567"/>
        </w:tabs>
        <w:ind w:left="720" w:hanging="720"/>
        <w:rPr>
          <w:lang w:eastAsia="en-AU"/>
        </w:rPr>
      </w:pPr>
    </w:p>
    <w:p w14:paraId="50BE8419" w14:textId="7640AD26" w:rsidR="008B323E" w:rsidRPr="008B323E" w:rsidRDefault="008B323E" w:rsidP="008B323E">
      <w:pPr>
        <w:tabs>
          <w:tab w:val="left" w:pos="567"/>
        </w:tabs>
        <w:ind w:left="720" w:hanging="720"/>
        <w:rPr>
          <w:lang w:eastAsia="en-AU"/>
        </w:rPr>
      </w:pPr>
      <w:r w:rsidRPr="008B323E">
        <w:rPr>
          <w:lang w:eastAsia="en-AU"/>
        </w:rPr>
        <w:tab/>
      </w:r>
      <w:r w:rsidRPr="008B323E">
        <w:rPr>
          <w:lang w:eastAsia="en-AU"/>
        </w:rPr>
        <w:tab/>
        <w:t>Any controls identified in the plant risk assessment must be implemented on site and incorporated into any associated site documentation such as the SWMS.</w:t>
      </w:r>
      <w:r>
        <w:rPr>
          <w:lang w:eastAsia="en-AU"/>
        </w:rPr>
        <w:t xml:space="preserve"> </w:t>
      </w:r>
      <w:r w:rsidRPr="008B323E">
        <w:rPr>
          <w:lang w:eastAsia="en-AU"/>
        </w:rPr>
        <w:t xml:space="preserve">A safe work method statement (SWMS) is a legislative requirement and is required for all high-risk construction work, which includes the movement of powered mobile plant.  The SWMS is intended to be a site-specific document and focus on the work being undertaken on site.  </w:t>
      </w:r>
    </w:p>
    <w:p w14:paraId="01AA33A2" w14:textId="77777777" w:rsidR="008B323E" w:rsidRPr="008B323E" w:rsidRDefault="008B323E" w:rsidP="008B323E">
      <w:pPr>
        <w:tabs>
          <w:tab w:val="left" w:pos="567"/>
        </w:tabs>
        <w:ind w:left="720" w:hanging="720"/>
        <w:rPr>
          <w:lang w:eastAsia="en-AU"/>
        </w:rPr>
      </w:pPr>
    </w:p>
    <w:p w14:paraId="37DE9504" w14:textId="7E7E8A26" w:rsidR="008B323E" w:rsidRPr="008B323E" w:rsidRDefault="008B323E" w:rsidP="008B323E">
      <w:pPr>
        <w:tabs>
          <w:tab w:val="left" w:pos="567"/>
        </w:tabs>
        <w:ind w:left="720" w:hanging="720"/>
        <w:rPr>
          <w:lang w:eastAsia="en-AU"/>
        </w:rPr>
      </w:pPr>
      <w:r w:rsidRPr="008B323E">
        <w:rPr>
          <w:lang w:eastAsia="en-AU"/>
        </w:rPr>
        <w:tab/>
      </w:r>
      <w:r w:rsidRPr="008B323E">
        <w:rPr>
          <w:lang w:eastAsia="en-AU"/>
        </w:rPr>
        <w:tab/>
        <w:t>The SWMS should include, but not be limited to:</w:t>
      </w:r>
    </w:p>
    <w:p w14:paraId="71077D70" w14:textId="19C4D38B" w:rsidR="008B323E" w:rsidRPr="008B323E" w:rsidRDefault="008B323E" w:rsidP="008B323E">
      <w:pPr>
        <w:pStyle w:val="ListParagraph"/>
        <w:numPr>
          <w:ilvl w:val="0"/>
          <w:numId w:val="6"/>
        </w:numPr>
        <w:tabs>
          <w:tab w:val="left" w:pos="567"/>
        </w:tabs>
        <w:rPr>
          <w:lang w:eastAsia="en-AU"/>
        </w:rPr>
      </w:pPr>
      <w:r w:rsidRPr="008B323E">
        <w:rPr>
          <w:lang w:eastAsia="en-AU"/>
        </w:rPr>
        <w:t>hazards relating to the high-risk construction work, such as ground collapse,</w:t>
      </w:r>
    </w:p>
    <w:p w14:paraId="47641A5D" w14:textId="7E7B5E3F" w:rsidR="008B323E" w:rsidRPr="008B323E" w:rsidRDefault="008B323E" w:rsidP="008B323E">
      <w:pPr>
        <w:pStyle w:val="ListParagraph"/>
        <w:numPr>
          <w:ilvl w:val="0"/>
          <w:numId w:val="6"/>
        </w:numPr>
        <w:tabs>
          <w:tab w:val="left" w:pos="567"/>
        </w:tabs>
        <w:rPr>
          <w:lang w:eastAsia="en-AU"/>
        </w:rPr>
      </w:pPr>
      <w:r w:rsidRPr="008B323E">
        <w:rPr>
          <w:lang w:eastAsia="en-AU"/>
        </w:rPr>
        <w:t>associated risks, such as damage to persons and or plant, and</w:t>
      </w:r>
    </w:p>
    <w:p w14:paraId="584AB10D" w14:textId="68C56E41" w:rsidR="00D50E0C" w:rsidRPr="008B323E" w:rsidRDefault="008B323E" w:rsidP="008B323E">
      <w:pPr>
        <w:pStyle w:val="ListParagraph"/>
        <w:numPr>
          <w:ilvl w:val="0"/>
          <w:numId w:val="6"/>
        </w:numPr>
        <w:tabs>
          <w:tab w:val="left" w:pos="0"/>
        </w:tabs>
        <w:rPr>
          <w:lang w:eastAsia="en-AU"/>
        </w:rPr>
      </w:pPr>
      <w:r w:rsidRPr="008B323E">
        <w:rPr>
          <w:lang w:eastAsia="en-AU"/>
        </w:rPr>
        <w:t>identify appropriate controls - prior to crane set up an assessment of ground conditions is to be undertaken to ensure any loads imposed will not impact the stability of the crane.</w:t>
      </w:r>
    </w:p>
    <w:p w14:paraId="57B2DED5" w14:textId="57D12734" w:rsidR="00D50E0C" w:rsidRPr="008B323E" w:rsidRDefault="00D50E0C" w:rsidP="007B0FB4">
      <w:pPr>
        <w:rPr>
          <w:rFonts w:eastAsia="Times New Roman"/>
          <w:b/>
          <w:bCs/>
          <w:i/>
          <w:iCs/>
        </w:rPr>
      </w:pPr>
    </w:p>
    <w:p w14:paraId="05827FBD" w14:textId="0E1151DE" w:rsidR="00DC2FAF" w:rsidRPr="008B323E" w:rsidRDefault="007B0FB4" w:rsidP="00DC2FAF">
      <w:pPr>
        <w:ind w:left="720" w:hanging="720"/>
        <w:rPr>
          <w:sz w:val="24"/>
          <w:szCs w:val="24"/>
          <w:lang w:eastAsia="en-AU"/>
        </w:rPr>
      </w:pPr>
      <w:r w:rsidRPr="008B323E">
        <w:rPr>
          <w:rFonts w:eastAsia="Times New Roman"/>
          <w:b/>
          <w:bCs/>
          <w:i/>
          <w:iCs/>
          <w:sz w:val="24"/>
          <w:szCs w:val="24"/>
          <w:lang w:eastAsia="en-AU"/>
        </w:rPr>
        <w:t xml:space="preserve">Q: </w:t>
      </w:r>
      <w:r w:rsidRPr="008B323E">
        <w:rPr>
          <w:rFonts w:eastAsia="Times New Roman"/>
          <w:b/>
          <w:bCs/>
          <w:i/>
          <w:iCs/>
          <w:sz w:val="24"/>
          <w:szCs w:val="24"/>
          <w:lang w:eastAsia="en-AU"/>
        </w:rPr>
        <w:tab/>
      </w:r>
      <w:r w:rsidR="008B323E" w:rsidRPr="008B323E">
        <w:rPr>
          <w:rFonts w:eastAsia="Times New Roman"/>
          <w:b/>
          <w:bCs/>
          <w:i/>
          <w:iCs/>
          <w:sz w:val="24"/>
          <w:szCs w:val="24"/>
          <w:lang w:eastAsia="en-AU"/>
        </w:rPr>
        <w:t>What can be done to combat the issue of generic and non-specific risk plant assessments on-site?</w:t>
      </w:r>
    </w:p>
    <w:p w14:paraId="0D7B9F00" w14:textId="17553E26" w:rsidR="0070276A" w:rsidRDefault="0070276A" w:rsidP="0070276A">
      <w:pPr>
        <w:tabs>
          <w:tab w:val="left" w:pos="567"/>
        </w:tabs>
        <w:ind w:left="720" w:hanging="720"/>
        <w:rPr>
          <w:sz w:val="24"/>
          <w:szCs w:val="24"/>
          <w:lang w:eastAsia="en-AU"/>
        </w:rPr>
      </w:pPr>
    </w:p>
    <w:p w14:paraId="3C3E0222" w14:textId="78177DF3" w:rsidR="00DC2FAF" w:rsidRDefault="00DC2FAF" w:rsidP="0070276A">
      <w:pPr>
        <w:tabs>
          <w:tab w:val="left" w:pos="567"/>
        </w:tabs>
        <w:ind w:left="720" w:hanging="720"/>
        <w:rPr>
          <w:lang w:eastAsia="en-AU"/>
        </w:rPr>
      </w:pPr>
      <w:r w:rsidRPr="008B323E">
        <w:rPr>
          <w:lang w:eastAsia="en-AU"/>
        </w:rPr>
        <w:t xml:space="preserve">A: </w:t>
      </w:r>
      <w:r w:rsidRPr="008B323E">
        <w:rPr>
          <w:lang w:eastAsia="en-AU"/>
        </w:rPr>
        <w:tab/>
      </w:r>
      <w:r w:rsidRPr="008B323E">
        <w:rPr>
          <w:lang w:eastAsia="en-AU"/>
        </w:rPr>
        <w:tab/>
      </w:r>
      <w:r w:rsidR="008B323E" w:rsidRPr="008B323E">
        <w:rPr>
          <w:lang w:eastAsia="en-AU"/>
        </w:rPr>
        <w:t>When reviewing plant risk-assessments</w:t>
      </w:r>
      <w:r w:rsidR="008B323E">
        <w:rPr>
          <w:lang w:eastAsia="en-AU"/>
        </w:rPr>
        <w:t>,</w:t>
      </w:r>
      <w:r w:rsidR="008B323E" w:rsidRPr="008B323E">
        <w:rPr>
          <w:lang w:eastAsia="en-AU"/>
        </w:rPr>
        <w:t xml:space="preserve"> checks need to be undertaken to ensure the details are correct and the focus is on the correct item of plant. </w:t>
      </w:r>
      <w:r w:rsidR="008B323E">
        <w:rPr>
          <w:lang w:eastAsia="en-AU"/>
        </w:rPr>
        <w:t>M</w:t>
      </w:r>
      <w:r w:rsidR="008B323E" w:rsidRPr="008B323E">
        <w:rPr>
          <w:lang w:eastAsia="en-AU"/>
        </w:rPr>
        <w:t xml:space="preserve">anufacturers are </w:t>
      </w:r>
      <w:r w:rsidR="008B323E">
        <w:rPr>
          <w:lang w:eastAsia="en-AU"/>
        </w:rPr>
        <w:t xml:space="preserve">often </w:t>
      </w:r>
      <w:r w:rsidR="008B323E" w:rsidRPr="008B323E">
        <w:rPr>
          <w:lang w:eastAsia="en-AU"/>
        </w:rPr>
        <w:t xml:space="preserve">able to provide </w:t>
      </w:r>
      <w:r w:rsidR="008B323E">
        <w:rPr>
          <w:lang w:eastAsia="en-AU"/>
        </w:rPr>
        <w:t>suitable</w:t>
      </w:r>
      <w:r w:rsidR="008B323E" w:rsidRPr="008B323E">
        <w:rPr>
          <w:lang w:eastAsia="en-AU"/>
        </w:rPr>
        <w:t xml:space="preserve"> plant risk assessment for the item of plant. There are other organisations which can also assist and provide plant specific risk assessments. There may be opportunity to capture this when you are onboarding the plant to site and having a check list item confirming the plant risk assessment is plant specific. All details provided on site for the use of plant should be plant specific this includes the plant pre-start.</w:t>
      </w:r>
    </w:p>
    <w:p w14:paraId="3847D295" w14:textId="1740C40F" w:rsidR="009E0D95" w:rsidRDefault="009E0D95">
      <w:pPr>
        <w:spacing w:after="160" w:line="259" w:lineRule="auto"/>
        <w:rPr>
          <w:lang w:eastAsia="en-AU"/>
        </w:rPr>
      </w:pPr>
      <w:r>
        <w:rPr>
          <w:lang w:eastAsia="en-AU"/>
        </w:rPr>
        <w:br w:type="page"/>
      </w:r>
    </w:p>
    <w:p w14:paraId="2AAE2354" w14:textId="77777777" w:rsidR="008B323E" w:rsidRDefault="008B323E" w:rsidP="0070276A">
      <w:pPr>
        <w:tabs>
          <w:tab w:val="left" w:pos="567"/>
        </w:tabs>
        <w:ind w:left="720" w:hanging="720"/>
        <w:rPr>
          <w:lang w:eastAsia="en-AU"/>
        </w:rPr>
      </w:pPr>
    </w:p>
    <w:p w14:paraId="08F02094" w14:textId="6B175EFF" w:rsidR="008B323E" w:rsidRPr="008B323E" w:rsidRDefault="008B323E" w:rsidP="008B323E">
      <w:pPr>
        <w:ind w:left="720" w:hanging="720"/>
        <w:rPr>
          <w:sz w:val="24"/>
          <w:szCs w:val="24"/>
          <w:lang w:eastAsia="en-AU"/>
        </w:rPr>
      </w:pPr>
      <w:r w:rsidRPr="008B323E">
        <w:rPr>
          <w:rFonts w:eastAsia="Times New Roman"/>
          <w:b/>
          <w:bCs/>
          <w:i/>
          <w:iCs/>
          <w:sz w:val="24"/>
          <w:szCs w:val="24"/>
          <w:lang w:eastAsia="en-AU"/>
        </w:rPr>
        <w:t xml:space="preserve">Q: </w:t>
      </w:r>
      <w:r w:rsidRPr="008B323E">
        <w:rPr>
          <w:rFonts w:eastAsia="Times New Roman"/>
          <w:b/>
          <w:bCs/>
          <w:i/>
          <w:iCs/>
          <w:sz w:val="24"/>
          <w:szCs w:val="24"/>
          <w:lang w:eastAsia="en-AU"/>
        </w:rPr>
        <w:tab/>
      </w:r>
      <w:r w:rsidR="002B2ACE">
        <w:rPr>
          <w:rFonts w:eastAsia="Times New Roman"/>
          <w:b/>
          <w:bCs/>
          <w:i/>
          <w:iCs/>
          <w:sz w:val="24"/>
          <w:szCs w:val="24"/>
          <w:lang w:eastAsia="en-AU"/>
        </w:rPr>
        <w:t>Is it necessary to re-inspect c</w:t>
      </w:r>
      <w:r w:rsidR="0054475E" w:rsidRPr="0054475E">
        <w:rPr>
          <w:rFonts w:eastAsia="Times New Roman"/>
          <w:b/>
          <w:bCs/>
          <w:i/>
          <w:iCs/>
          <w:sz w:val="24"/>
          <w:szCs w:val="24"/>
          <w:lang w:eastAsia="en-AU"/>
        </w:rPr>
        <w:t xml:space="preserve">rane pads after </w:t>
      </w:r>
      <w:r w:rsidR="002B2ACE">
        <w:rPr>
          <w:rFonts w:eastAsia="Times New Roman"/>
          <w:b/>
          <w:bCs/>
          <w:i/>
          <w:iCs/>
          <w:sz w:val="24"/>
          <w:szCs w:val="24"/>
          <w:lang w:eastAsia="en-AU"/>
        </w:rPr>
        <w:t xml:space="preserve">an </w:t>
      </w:r>
      <w:r w:rsidR="0054475E" w:rsidRPr="0054475E">
        <w:rPr>
          <w:rFonts w:eastAsia="Times New Roman"/>
          <w:b/>
          <w:bCs/>
          <w:i/>
          <w:iCs/>
          <w:sz w:val="24"/>
          <w:szCs w:val="24"/>
          <w:lang w:eastAsia="en-AU"/>
        </w:rPr>
        <w:t>earthquake?</w:t>
      </w:r>
    </w:p>
    <w:p w14:paraId="7F1E7433" w14:textId="77777777" w:rsidR="008B323E" w:rsidRDefault="008B323E" w:rsidP="008B323E">
      <w:pPr>
        <w:tabs>
          <w:tab w:val="left" w:pos="567"/>
        </w:tabs>
        <w:ind w:left="720" w:hanging="720"/>
        <w:rPr>
          <w:sz w:val="24"/>
          <w:szCs w:val="24"/>
          <w:lang w:eastAsia="en-AU"/>
        </w:rPr>
      </w:pPr>
    </w:p>
    <w:p w14:paraId="4E5CCFB3" w14:textId="3CA390E9" w:rsidR="008B323E" w:rsidRDefault="008B323E" w:rsidP="008B323E">
      <w:pPr>
        <w:tabs>
          <w:tab w:val="left" w:pos="567"/>
        </w:tabs>
        <w:ind w:left="720" w:hanging="720"/>
        <w:rPr>
          <w:lang w:eastAsia="en-AU"/>
        </w:rPr>
      </w:pPr>
      <w:r w:rsidRPr="008B323E">
        <w:rPr>
          <w:lang w:eastAsia="en-AU"/>
        </w:rPr>
        <w:t xml:space="preserve">A: </w:t>
      </w:r>
      <w:r w:rsidRPr="008B323E">
        <w:rPr>
          <w:lang w:eastAsia="en-AU"/>
        </w:rPr>
        <w:tab/>
      </w:r>
      <w:r w:rsidRPr="008B323E">
        <w:rPr>
          <w:lang w:eastAsia="en-AU"/>
        </w:rPr>
        <w:tab/>
      </w:r>
      <w:r w:rsidR="002B2ACE" w:rsidRPr="002B2ACE">
        <w:rPr>
          <w:lang w:eastAsia="en-AU"/>
        </w:rPr>
        <w:t>Any event which has the potential to impact the structural integrity of the crane pad needs to be managed and the system should address this and provide what needs to occur post event i.e. reinspection of the pad prior to commencing works.</w:t>
      </w:r>
    </w:p>
    <w:p w14:paraId="69FB147B" w14:textId="604DAAB8" w:rsidR="002B2ACE" w:rsidRDefault="002B2ACE" w:rsidP="008B323E">
      <w:pPr>
        <w:tabs>
          <w:tab w:val="left" w:pos="567"/>
        </w:tabs>
        <w:ind w:left="720" w:hanging="720"/>
        <w:rPr>
          <w:lang w:eastAsia="en-AU"/>
        </w:rPr>
      </w:pPr>
    </w:p>
    <w:p w14:paraId="20DB1F94" w14:textId="28F208AC" w:rsidR="002B2ACE" w:rsidRPr="008B323E" w:rsidRDefault="002B2ACE" w:rsidP="002B2ACE">
      <w:pPr>
        <w:ind w:left="720" w:hanging="720"/>
        <w:rPr>
          <w:sz w:val="24"/>
          <w:szCs w:val="24"/>
          <w:lang w:eastAsia="en-AU"/>
        </w:rPr>
      </w:pPr>
      <w:r w:rsidRPr="008B323E">
        <w:rPr>
          <w:rFonts w:eastAsia="Times New Roman"/>
          <w:b/>
          <w:bCs/>
          <w:i/>
          <w:iCs/>
          <w:sz w:val="24"/>
          <w:szCs w:val="24"/>
          <w:lang w:eastAsia="en-AU"/>
        </w:rPr>
        <w:t xml:space="preserve">Q: </w:t>
      </w:r>
      <w:r w:rsidRPr="008B323E">
        <w:rPr>
          <w:rFonts w:eastAsia="Times New Roman"/>
          <w:b/>
          <w:bCs/>
          <w:i/>
          <w:iCs/>
          <w:sz w:val="24"/>
          <w:szCs w:val="24"/>
          <w:lang w:eastAsia="en-AU"/>
        </w:rPr>
        <w:tab/>
      </w:r>
      <w:r w:rsidRPr="002B2ACE">
        <w:rPr>
          <w:rFonts w:eastAsia="Times New Roman"/>
          <w:b/>
          <w:bCs/>
          <w:i/>
          <w:iCs/>
          <w:sz w:val="24"/>
          <w:szCs w:val="24"/>
          <w:lang w:eastAsia="en-AU"/>
        </w:rPr>
        <w:t>Regarding F-grade of (hardwood) timber, how should a determination be made for structural adequacy in bending and shear?</w:t>
      </w:r>
    </w:p>
    <w:p w14:paraId="11574669" w14:textId="77777777" w:rsidR="002B2ACE" w:rsidRDefault="002B2ACE" w:rsidP="002B2ACE">
      <w:pPr>
        <w:tabs>
          <w:tab w:val="left" w:pos="567"/>
        </w:tabs>
        <w:ind w:left="720" w:hanging="720"/>
        <w:rPr>
          <w:sz w:val="24"/>
          <w:szCs w:val="24"/>
          <w:lang w:eastAsia="en-AU"/>
        </w:rPr>
      </w:pPr>
    </w:p>
    <w:p w14:paraId="5C34F539" w14:textId="1050A7E6" w:rsidR="002B2ACE" w:rsidRDefault="002B2ACE" w:rsidP="002B2ACE">
      <w:pPr>
        <w:tabs>
          <w:tab w:val="left" w:pos="567"/>
        </w:tabs>
        <w:ind w:left="720" w:hanging="720"/>
        <w:rPr>
          <w:lang w:eastAsia="en-AU"/>
        </w:rPr>
      </w:pPr>
      <w:r w:rsidRPr="008B323E">
        <w:rPr>
          <w:lang w:eastAsia="en-AU"/>
        </w:rPr>
        <w:t xml:space="preserve">A: </w:t>
      </w:r>
      <w:r w:rsidRPr="008B323E">
        <w:rPr>
          <w:lang w:eastAsia="en-AU"/>
        </w:rPr>
        <w:tab/>
      </w:r>
      <w:r w:rsidRPr="008B323E">
        <w:rPr>
          <w:lang w:eastAsia="en-AU"/>
        </w:rPr>
        <w:tab/>
      </w:r>
      <w:r w:rsidRPr="002B2ACE">
        <w:rPr>
          <w:i/>
          <w:iCs/>
          <w:lang w:eastAsia="en-AU"/>
        </w:rPr>
        <w:t>AS1720</w:t>
      </w:r>
      <w:r w:rsidRPr="002B2ACE">
        <w:rPr>
          <w:lang w:eastAsia="en-AU"/>
        </w:rPr>
        <w:t xml:space="preserve"> standard sets out limit state design methods for the structure use of timber. The loading method of timber can impact the capacity greatly, and the designer must establish the correct design actions and capacity factors. As with any structural design, a suitably qualified and experienced engineer should be consulted.</w:t>
      </w:r>
    </w:p>
    <w:p w14:paraId="4AE73C9A" w14:textId="7496EF6E" w:rsidR="002B2ACE" w:rsidRDefault="002B2ACE" w:rsidP="002B2ACE">
      <w:pPr>
        <w:tabs>
          <w:tab w:val="left" w:pos="567"/>
        </w:tabs>
        <w:ind w:left="720" w:hanging="720"/>
        <w:rPr>
          <w:lang w:eastAsia="en-AU"/>
        </w:rPr>
      </w:pPr>
    </w:p>
    <w:p w14:paraId="1CDB6A64" w14:textId="465C436B" w:rsidR="002B2ACE" w:rsidRPr="008B323E" w:rsidRDefault="002B2ACE" w:rsidP="002B2ACE">
      <w:pPr>
        <w:ind w:left="720" w:hanging="720"/>
        <w:rPr>
          <w:sz w:val="24"/>
          <w:szCs w:val="24"/>
          <w:lang w:eastAsia="en-AU"/>
        </w:rPr>
      </w:pPr>
      <w:r w:rsidRPr="008B323E">
        <w:rPr>
          <w:rFonts w:eastAsia="Times New Roman"/>
          <w:b/>
          <w:bCs/>
          <w:i/>
          <w:iCs/>
          <w:sz w:val="24"/>
          <w:szCs w:val="24"/>
          <w:lang w:eastAsia="en-AU"/>
        </w:rPr>
        <w:t xml:space="preserve">Q: </w:t>
      </w:r>
      <w:r w:rsidRPr="008B323E">
        <w:rPr>
          <w:rFonts w:eastAsia="Times New Roman"/>
          <w:b/>
          <w:bCs/>
          <w:i/>
          <w:iCs/>
          <w:sz w:val="24"/>
          <w:szCs w:val="24"/>
          <w:lang w:eastAsia="en-AU"/>
        </w:rPr>
        <w:tab/>
      </w:r>
      <w:r>
        <w:rPr>
          <w:rFonts w:eastAsia="Times New Roman"/>
          <w:b/>
          <w:bCs/>
          <w:i/>
          <w:iCs/>
          <w:sz w:val="24"/>
          <w:szCs w:val="24"/>
          <w:lang w:eastAsia="en-AU"/>
        </w:rPr>
        <w:t>A</w:t>
      </w:r>
      <w:r w:rsidRPr="002B2ACE">
        <w:rPr>
          <w:rFonts w:eastAsia="Times New Roman"/>
          <w:b/>
          <w:bCs/>
          <w:i/>
          <w:iCs/>
          <w:sz w:val="24"/>
          <w:szCs w:val="24"/>
          <w:lang w:eastAsia="en-AU"/>
        </w:rPr>
        <w:t>re OEM software products</w:t>
      </w:r>
      <w:r>
        <w:rPr>
          <w:rFonts w:eastAsia="Times New Roman"/>
          <w:b/>
          <w:bCs/>
          <w:i/>
          <w:iCs/>
          <w:sz w:val="24"/>
          <w:szCs w:val="24"/>
          <w:lang w:eastAsia="en-AU"/>
        </w:rPr>
        <w:t xml:space="preserve"> available</w:t>
      </w:r>
      <w:r w:rsidRPr="002B2ACE">
        <w:rPr>
          <w:rFonts w:eastAsia="Times New Roman"/>
          <w:b/>
          <w:bCs/>
          <w:i/>
          <w:iCs/>
          <w:sz w:val="24"/>
          <w:szCs w:val="24"/>
          <w:lang w:eastAsia="en-AU"/>
        </w:rPr>
        <w:t xml:space="preserve"> that are compatible with Apple </w:t>
      </w:r>
      <w:r>
        <w:rPr>
          <w:rFonts w:eastAsia="Times New Roman"/>
          <w:b/>
          <w:bCs/>
          <w:i/>
          <w:iCs/>
          <w:sz w:val="24"/>
          <w:szCs w:val="24"/>
          <w:lang w:eastAsia="en-AU"/>
        </w:rPr>
        <w:t>computer operating systems</w:t>
      </w:r>
      <w:r w:rsidRPr="002B2ACE">
        <w:rPr>
          <w:rFonts w:eastAsia="Times New Roman"/>
          <w:b/>
          <w:bCs/>
          <w:i/>
          <w:iCs/>
          <w:sz w:val="24"/>
          <w:szCs w:val="24"/>
          <w:lang w:eastAsia="en-AU"/>
        </w:rPr>
        <w:t>?</w:t>
      </w:r>
    </w:p>
    <w:p w14:paraId="288D3507" w14:textId="77777777" w:rsidR="002B2ACE" w:rsidRDefault="002B2ACE" w:rsidP="002B2ACE">
      <w:pPr>
        <w:tabs>
          <w:tab w:val="left" w:pos="567"/>
        </w:tabs>
        <w:ind w:left="720" w:hanging="720"/>
        <w:rPr>
          <w:sz w:val="24"/>
          <w:szCs w:val="24"/>
          <w:lang w:eastAsia="en-AU"/>
        </w:rPr>
      </w:pPr>
    </w:p>
    <w:p w14:paraId="4C3817F2" w14:textId="24A827BC" w:rsidR="002B2ACE" w:rsidRDefault="002B2ACE" w:rsidP="002B2ACE">
      <w:pPr>
        <w:tabs>
          <w:tab w:val="left" w:pos="567"/>
        </w:tabs>
        <w:ind w:left="720" w:hanging="720"/>
        <w:rPr>
          <w:lang w:eastAsia="en-AU"/>
        </w:rPr>
      </w:pPr>
      <w:r w:rsidRPr="008B323E">
        <w:rPr>
          <w:lang w:eastAsia="en-AU"/>
        </w:rPr>
        <w:t xml:space="preserve">A: </w:t>
      </w:r>
      <w:r w:rsidRPr="008B323E">
        <w:rPr>
          <w:lang w:eastAsia="en-AU"/>
        </w:rPr>
        <w:tab/>
      </w:r>
      <w:r w:rsidRPr="008B323E">
        <w:rPr>
          <w:lang w:eastAsia="en-AU"/>
        </w:rPr>
        <w:tab/>
      </w:r>
      <w:r>
        <w:rPr>
          <w:lang w:eastAsia="en-AU"/>
        </w:rPr>
        <w:t>There are various software products available, suitability may depend on the crane in use. Please</w:t>
      </w:r>
      <w:r w:rsidRPr="002B2ACE">
        <w:rPr>
          <w:lang w:eastAsia="en-AU"/>
        </w:rPr>
        <w:t xml:space="preserve"> consult with the crane manufacturer to determine the correct resource; or contact CICA (</w:t>
      </w:r>
      <w:hyperlink r:id="rId8" w:history="1">
        <w:r w:rsidRPr="000122CA">
          <w:rPr>
            <w:rStyle w:val="Hyperlink"/>
            <w:lang w:eastAsia="en-AU"/>
          </w:rPr>
          <w:t>admin@cica.com.au</w:t>
        </w:r>
      </w:hyperlink>
      <w:r w:rsidRPr="002B2ACE">
        <w:rPr>
          <w:lang w:eastAsia="en-AU"/>
        </w:rPr>
        <w:t>) for further information.</w:t>
      </w:r>
    </w:p>
    <w:p w14:paraId="1EFB86EB" w14:textId="77777777" w:rsidR="002B2ACE" w:rsidRDefault="002B2ACE" w:rsidP="002B2ACE">
      <w:pPr>
        <w:tabs>
          <w:tab w:val="left" w:pos="567"/>
        </w:tabs>
        <w:ind w:left="720" w:hanging="720"/>
        <w:rPr>
          <w:lang w:eastAsia="en-AU"/>
        </w:rPr>
      </w:pPr>
    </w:p>
    <w:p w14:paraId="208A147A" w14:textId="6DC247CB" w:rsidR="009E0D95" w:rsidRDefault="009E0D95" w:rsidP="009E0D95">
      <w:pPr>
        <w:ind w:left="720" w:hanging="720"/>
        <w:rPr>
          <w:rFonts w:eastAsia="Times New Roman"/>
          <w:b/>
          <w:bCs/>
          <w:i/>
          <w:iCs/>
          <w:sz w:val="24"/>
          <w:szCs w:val="24"/>
          <w:lang w:eastAsia="en-AU"/>
        </w:rPr>
      </w:pPr>
      <w:r w:rsidRPr="008B323E">
        <w:rPr>
          <w:rFonts w:eastAsia="Times New Roman"/>
          <w:b/>
          <w:bCs/>
          <w:i/>
          <w:iCs/>
          <w:sz w:val="24"/>
          <w:szCs w:val="24"/>
          <w:lang w:eastAsia="en-AU"/>
        </w:rPr>
        <w:t xml:space="preserve">Q: </w:t>
      </w:r>
      <w:r w:rsidRPr="008B323E">
        <w:rPr>
          <w:rFonts w:eastAsia="Times New Roman"/>
          <w:b/>
          <w:bCs/>
          <w:i/>
          <w:iCs/>
          <w:sz w:val="24"/>
          <w:szCs w:val="24"/>
          <w:lang w:eastAsia="en-AU"/>
        </w:rPr>
        <w:tab/>
      </w:r>
      <w:r>
        <w:rPr>
          <w:rFonts w:eastAsia="Times New Roman"/>
          <w:b/>
          <w:bCs/>
          <w:i/>
          <w:iCs/>
          <w:sz w:val="24"/>
          <w:szCs w:val="24"/>
          <w:lang w:eastAsia="en-AU"/>
        </w:rPr>
        <w:t>In reference to the provided formula:</w:t>
      </w:r>
    </w:p>
    <w:p w14:paraId="730239B3" w14:textId="47FDAEDF" w:rsidR="009E0D95" w:rsidRPr="008B323E" w:rsidRDefault="009E0D95" w:rsidP="009E0D95">
      <w:pPr>
        <w:ind w:left="720" w:hanging="720"/>
        <w:jc w:val="center"/>
        <w:rPr>
          <w:sz w:val="24"/>
          <w:szCs w:val="24"/>
          <w:lang w:eastAsia="en-AU"/>
        </w:rPr>
      </w:pPr>
      <w:r>
        <w:rPr>
          <w:noProof/>
        </w:rPr>
        <w:drawing>
          <wp:inline distT="0" distB="0" distL="0" distR="0" wp14:anchorId="08758B64" wp14:editId="15C41623">
            <wp:extent cx="3888000" cy="1220400"/>
            <wp:effectExtent l="19050" t="19050" r="17780" b="18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888000" cy="1220400"/>
                    </a:xfrm>
                    <a:prstGeom prst="rect">
                      <a:avLst/>
                    </a:prstGeom>
                    <a:noFill/>
                    <a:ln>
                      <a:solidFill>
                        <a:schemeClr val="tx1"/>
                      </a:solidFill>
                    </a:ln>
                  </pic:spPr>
                </pic:pic>
              </a:graphicData>
            </a:graphic>
          </wp:inline>
        </w:drawing>
      </w:r>
    </w:p>
    <w:p w14:paraId="5B8BD42B" w14:textId="027FA7EF" w:rsidR="009E0D95" w:rsidRPr="009E0D95" w:rsidRDefault="009E0D95" w:rsidP="009E0D95">
      <w:pPr>
        <w:tabs>
          <w:tab w:val="left" w:pos="567"/>
        </w:tabs>
        <w:ind w:left="720" w:hanging="720"/>
        <w:rPr>
          <w:rFonts w:eastAsia="Times New Roman"/>
          <w:b/>
          <w:bCs/>
          <w:i/>
          <w:iCs/>
          <w:sz w:val="24"/>
          <w:szCs w:val="24"/>
        </w:rPr>
      </w:pPr>
      <w:r>
        <w:rPr>
          <w:lang w:eastAsia="en-AU"/>
        </w:rPr>
        <w:tab/>
      </w:r>
      <w:r w:rsidRPr="009E0D95">
        <w:rPr>
          <w:rFonts w:eastAsia="Times New Roman"/>
          <w:b/>
          <w:bCs/>
          <w:i/>
          <w:iCs/>
          <w:sz w:val="24"/>
          <w:szCs w:val="24"/>
        </w:rPr>
        <w:t xml:space="preserve">Why </w:t>
      </w:r>
      <w:r>
        <w:rPr>
          <w:rFonts w:eastAsia="Times New Roman"/>
          <w:b/>
          <w:bCs/>
          <w:i/>
          <w:iCs/>
          <w:sz w:val="24"/>
          <w:szCs w:val="24"/>
        </w:rPr>
        <w:t>is</w:t>
      </w:r>
      <w:r w:rsidRPr="009E0D95">
        <w:rPr>
          <w:rFonts w:eastAsia="Times New Roman"/>
          <w:b/>
          <w:bCs/>
          <w:i/>
          <w:iCs/>
          <w:sz w:val="24"/>
          <w:szCs w:val="24"/>
        </w:rPr>
        <w:t xml:space="preserve"> 0.65</w:t>
      </w:r>
      <w:r>
        <w:rPr>
          <w:rFonts w:eastAsia="Times New Roman"/>
          <w:b/>
          <w:bCs/>
          <w:i/>
          <w:iCs/>
          <w:sz w:val="24"/>
          <w:szCs w:val="24"/>
        </w:rPr>
        <w:t xml:space="preserve"> used:</w:t>
      </w:r>
    </w:p>
    <w:p w14:paraId="1E576D0F" w14:textId="77777777" w:rsidR="009E0D95" w:rsidRPr="009E0D95" w:rsidRDefault="009E0D95" w:rsidP="009E0D95">
      <w:pPr>
        <w:pStyle w:val="ListParagraph"/>
        <w:numPr>
          <w:ilvl w:val="1"/>
          <w:numId w:val="7"/>
        </w:numPr>
        <w:rPr>
          <w:rFonts w:eastAsia="Times New Roman"/>
          <w:b/>
          <w:bCs/>
          <w:i/>
          <w:iCs/>
          <w:sz w:val="24"/>
          <w:szCs w:val="24"/>
        </w:rPr>
      </w:pPr>
      <w:r w:rsidRPr="009E0D95">
        <w:rPr>
          <w:rFonts w:eastAsia="Times New Roman"/>
          <w:b/>
          <w:bCs/>
          <w:i/>
          <w:iCs/>
          <w:sz w:val="24"/>
          <w:szCs w:val="24"/>
        </w:rPr>
        <w:t>is this to calculate a conservative pressure?</w:t>
      </w:r>
    </w:p>
    <w:p w14:paraId="009439C8" w14:textId="019D44CB" w:rsidR="009E0D95" w:rsidRPr="009E0D95" w:rsidRDefault="009E0D95" w:rsidP="009E0D95">
      <w:pPr>
        <w:pStyle w:val="ListParagraph"/>
        <w:numPr>
          <w:ilvl w:val="1"/>
          <w:numId w:val="7"/>
        </w:numPr>
        <w:tabs>
          <w:tab w:val="left" w:pos="567"/>
        </w:tabs>
        <w:rPr>
          <w:sz w:val="24"/>
          <w:szCs w:val="24"/>
          <w:lang w:eastAsia="en-AU"/>
        </w:rPr>
      </w:pPr>
      <w:r w:rsidRPr="009E0D95">
        <w:rPr>
          <w:rFonts w:eastAsia="Times New Roman"/>
          <w:b/>
          <w:bCs/>
          <w:i/>
          <w:iCs/>
          <w:sz w:val="24"/>
          <w:szCs w:val="24"/>
        </w:rPr>
        <w:t>are there different factors for different cranes/ outrigger pads?</w:t>
      </w:r>
    </w:p>
    <w:p w14:paraId="6EC74581" w14:textId="77777777" w:rsidR="009E0D95" w:rsidRDefault="009E0D95" w:rsidP="002B2ACE">
      <w:pPr>
        <w:tabs>
          <w:tab w:val="left" w:pos="567"/>
        </w:tabs>
        <w:ind w:left="720" w:hanging="720"/>
        <w:rPr>
          <w:lang w:eastAsia="en-AU"/>
        </w:rPr>
      </w:pPr>
    </w:p>
    <w:p w14:paraId="066D5321" w14:textId="53EAB8E1" w:rsidR="009E0D95" w:rsidRDefault="009E0D95" w:rsidP="009E0D95">
      <w:pPr>
        <w:tabs>
          <w:tab w:val="left" w:pos="567"/>
        </w:tabs>
        <w:ind w:left="720" w:hanging="720"/>
        <w:rPr>
          <w:lang w:eastAsia="en-AU"/>
        </w:rPr>
      </w:pPr>
      <w:r w:rsidRPr="008B323E">
        <w:rPr>
          <w:lang w:eastAsia="en-AU"/>
        </w:rPr>
        <w:t xml:space="preserve">A: </w:t>
      </w:r>
      <w:r w:rsidRPr="008B323E">
        <w:rPr>
          <w:lang w:eastAsia="en-AU"/>
        </w:rPr>
        <w:tab/>
      </w:r>
      <w:r w:rsidRPr="008B323E">
        <w:rPr>
          <w:lang w:eastAsia="en-AU"/>
        </w:rPr>
        <w:tab/>
      </w:r>
      <w:r>
        <w:rPr>
          <w:lang w:eastAsia="en-AU"/>
        </w:rPr>
        <w:t>This formula is a reasonable approximation for maximum ground pressure applied by the outriggers, and is</w:t>
      </w:r>
      <w:r w:rsidRPr="009E0D95">
        <w:rPr>
          <w:lang w:eastAsia="en-AU"/>
        </w:rPr>
        <w:t xml:space="preserve"> </w:t>
      </w:r>
      <w:r>
        <w:rPr>
          <w:lang w:eastAsia="en-AU"/>
        </w:rPr>
        <w:t>useful</w:t>
      </w:r>
      <w:r w:rsidRPr="009E0D95">
        <w:rPr>
          <w:lang w:eastAsia="en-AU"/>
        </w:rPr>
        <w:t xml:space="preserve"> when the manufacturer’s data is unavailable or hard to obtain.</w:t>
      </w:r>
    </w:p>
    <w:p w14:paraId="720D3F12" w14:textId="4016EC66" w:rsidR="009E0D95" w:rsidRDefault="009E0D95" w:rsidP="009E0D95">
      <w:pPr>
        <w:pStyle w:val="ListParagraph"/>
        <w:numPr>
          <w:ilvl w:val="0"/>
          <w:numId w:val="10"/>
        </w:numPr>
        <w:tabs>
          <w:tab w:val="left" w:pos="567"/>
        </w:tabs>
        <w:rPr>
          <w:lang w:eastAsia="en-AU"/>
        </w:rPr>
      </w:pPr>
      <w:r>
        <w:rPr>
          <w:lang w:eastAsia="en-AU"/>
        </w:rPr>
        <w:t>The 0.65 factor is a conservative factor, which accounts for consideration of the load reacting across multiple outriggers.</w:t>
      </w:r>
    </w:p>
    <w:p w14:paraId="1706A848" w14:textId="63308765" w:rsidR="002B2ACE" w:rsidRDefault="009E0D95" w:rsidP="009E0D95">
      <w:pPr>
        <w:pStyle w:val="ListParagraph"/>
        <w:numPr>
          <w:ilvl w:val="0"/>
          <w:numId w:val="9"/>
        </w:numPr>
        <w:tabs>
          <w:tab w:val="left" w:pos="567"/>
        </w:tabs>
        <w:rPr>
          <w:lang w:eastAsia="en-AU"/>
        </w:rPr>
      </w:pPr>
      <w:r>
        <w:rPr>
          <w:lang w:eastAsia="en-AU"/>
        </w:rPr>
        <w:t>For this particular formula, there are no other factors for different cranes / outrigger pads.</w:t>
      </w:r>
    </w:p>
    <w:p w14:paraId="5C43E87A" w14:textId="343A8A9B" w:rsidR="007B0FB4" w:rsidRDefault="007B0FB4" w:rsidP="007B0FB4">
      <w:pPr>
        <w:pBdr>
          <w:bottom w:val="single" w:sz="6" w:space="1" w:color="auto"/>
        </w:pBdr>
        <w:ind w:left="720" w:hanging="720"/>
        <w:rPr>
          <w:sz w:val="24"/>
          <w:szCs w:val="24"/>
          <w:lang w:eastAsia="en-AU"/>
        </w:rPr>
      </w:pPr>
    </w:p>
    <w:p w14:paraId="2B7802E4" w14:textId="3613BF91" w:rsidR="007B0FB4" w:rsidRPr="002B2ACE" w:rsidRDefault="007B0FB4" w:rsidP="007B0FB4">
      <w:pPr>
        <w:ind w:left="720" w:hanging="720"/>
        <w:rPr>
          <w:lang w:eastAsia="en-AU"/>
        </w:rPr>
      </w:pPr>
    </w:p>
    <w:p w14:paraId="2EA8F63E" w14:textId="40C68B1C" w:rsidR="007B0FB4" w:rsidRPr="002B2ACE" w:rsidRDefault="00703E69" w:rsidP="00703E69">
      <w:pPr>
        <w:rPr>
          <w:lang w:eastAsia="en-AU"/>
        </w:rPr>
      </w:pPr>
      <w:r w:rsidRPr="002B2ACE">
        <w:rPr>
          <w:rFonts w:eastAsia="Times New Roman"/>
          <w:lang w:eastAsia="en-AU"/>
        </w:rPr>
        <w:t xml:space="preserve">Information on the Hazard 2020 Safety Campaign, and videos from the session and previous webinars are available at </w:t>
      </w:r>
      <w:hyperlink r:id="rId11" w:history="1">
        <w:r w:rsidRPr="002B2ACE">
          <w:rPr>
            <w:rStyle w:val="Hyperlink"/>
            <w:rFonts w:eastAsia="Times New Roman"/>
            <w:lang w:eastAsia="en-AU"/>
          </w:rPr>
          <w:t>www.fsc.gov.au/hazard-2020</w:t>
        </w:r>
      </w:hyperlink>
      <w:r w:rsidRPr="002B2ACE">
        <w:rPr>
          <w:rStyle w:val="Hyperlink"/>
          <w:rFonts w:eastAsia="Times New Roman"/>
          <w:lang w:eastAsia="en-AU"/>
        </w:rPr>
        <w:t xml:space="preserve">. </w:t>
      </w:r>
      <w:r w:rsidR="007B0FB4" w:rsidRPr="002B2ACE">
        <w:rPr>
          <w:lang w:eastAsia="en-AU"/>
        </w:rPr>
        <w:t xml:space="preserve">If you have additional questions please email </w:t>
      </w:r>
      <w:hyperlink r:id="rId12" w:history="1">
        <w:r w:rsidR="007B0FB4" w:rsidRPr="002B2ACE">
          <w:rPr>
            <w:rStyle w:val="Hyperlink"/>
            <w:lang w:eastAsia="en-AU"/>
          </w:rPr>
          <w:t>ofsc@jobs.gov.au</w:t>
        </w:r>
      </w:hyperlink>
      <w:r w:rsidR="0015736D" w:rsidRPr="002B2ACE">
        <w:rPr>
          <w:lang w:eastAsia="en-AU"/>
        </w:rPr>
        <w:t xml:space="preserve">. </w:t>
      </w:r>
    </w:p>
    <w:sectPr w:rsidR="007B0FB4" w:rsidRPr="002B2ACE" w:rsidSect="0031148F">
      <w:headerReference w:type="default" r:id="rId13"/>
      <w:footerReference w:type="default" r:id="rId14"/>
      <w:pgSz w:w="11906" w:h="16838"/>
      <w:pgMar w:top="2552" w:right="1274" w:bottom="1418" w:left="1440" w:header="708"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50964" w14:textId="77777777" w:rsidR="00983EC6" w:rsidRDefault="00983EC6" w:rsidP="00A10A3D">
      <w:r>
        <w:separator/>
      </w:r>
    </w:p>
  </w:endnote>
  <w:endnote w:type="continuationSeparator" w:id="0">
    <w:p w14:paraId="19A2D209" w14:textId="77777777" w:rsidR="00983EC6" w:rsidRDefault="00983EC6" w:rsidP="00A1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48F80" w14:textId="56DF0559" w:rsidR="00513849" w:rsidRPr="00513849" w:rsidRDefault="00513849" w:rsidP="00513849">
    <w:pPr>
      <w:pStyle w:val="Footer"/>
      <w:jc w:val="right"/>
      <w:rPr>
        <w:color w:val="FFFFFF" w:themeColor="background1"/>
        <w:sz w:val="28"/>
        <w:szCs w:val="28"/>
      </w:rPr>
    </w:pPr>
    <w:r>
      <w:rPr>
        <w:noProof/>
        <w:lang w:eastAsia="en-AU"/>
      </w:rPr>
      <w:drawing>
        <wp:anchor distT="0" distB="0" distL="114300" distR="114300" simplePos="0" relativeHeight="251660288" behindDoc="1" locked="0" layoutInCell="1" allowOverlap="1" wp14:anchorId="7D3FCBF0" wp14:editId="62BA73F3">
          <wp:simplePos x="0" y="0"/>
          <wp:positionH relativeFrom="column">
            <wp:posOffset>-904875</wp:posOffset>
          </wp:positionH>
          <wp:positionV relativeFrom="paragraph">
            <wp:posOffset>-19050</wp:posOffset>
          </wp:positionV>
          <wp:extent cx="7581900" cy="530860"/>
          <wp:effectExtent l="0" t="0" r="0" b="2540"/>
          <wp:wrapNone/>
          <wp:docPr id="21" name="Picture 21" descr="Decorative"/>
          <wp:cNvGraphicFramePr/>
          <a:graphic xmlns:a="http://schemas.openxmlformats.org/drawingml/2006/main">
            <a:graphicData uri="http://schemas.openxmlformats.org/drawingml/2006/picture">
              <pic:pic xmlns:pic="http://schemas.openxmlformats.org/drawingml/2006/picture">
                <pic:nvPicPr>
                  <pic:cNvPr id="5" name="Picture 5" descr="Decorative"/>
                  <pic:cNvPicPr/>
                </pic:nvPicPr>
                <pic:blipFill>
                  <a:blip r:embed="rId1">
                    <a:extLst>
                      <a:ext uri="{28A0092B-C50C-407E-A947-70E740481C1C}">
                        <a14:useLocalDpi xmlns:a14="http://schemas.microsoft.com/office/drawing/2010/main" val="0"/>
                      </a:ext>
                    </a:extLst>
                  </a:blip>
                  <a:stretch>
                    <a:fillRect/>
                  </a:stretch>
                </pic:blipFill>
                <pic:spPr>
                  <a:xfrm>
                    <a:off x="0" y="0"/>
                    <a:ext cx="7581900" cy="530860"/>
                  </a:xfrm>
                  <a:prstGeom prst="rect">
                    <a:avLst/>
                  </a:prstGeom>
                </pic:spPr>
              </pic:pic>
            </a:graphicData>
          </a:graphic>
          <wp14:sizeRelH relativeFrom="page">
            <wp14:pctWidth>0</wp14:pctWidth>
          </wp14:sizeRelH>
          <wp14:sizeRelV relativeFrom="page">
            <wp14:pctHeight>0</wp14:pctHeight>
          </wp14:sizeRelV>
        </wp:anchor>
      </w:drawing>
    </w:r>
    <w:sdt>
      <w:sdtPr>
        <w:rPr>
          <w:color w:val="FFFFFF" w:themeColor="background1"/>
          <w:sz w:val="28"/>
          <w:szCs w:val="28"/>
        </w:rPr>
        <w:id w:val="583727237"/>
        <w:docPartObj>
          <w:docPartGallery w:val="Page Numbers (Bottom of Page)"/>
          <w:docPartUnique/>
        </w:docPartObj>
      </w:sdtPr>
      <w:sdtEndPr>
        <w:rPr>
          <w:noProof/>
        </w:rPr>
      </w:sdtEndPr>
      <w:sdtContent>
        <w:r w:rsidRPr="00513849">
          <w:rPr>
            <w:color w:val="FFFFFF" w:themeColor="background1"/>
            <w:sz w:val="28"/>
            <w:szCs w:val="28"/>
          </w:rPr>
          <w:fldChar w:fldCharType="begin"/>
        </w:r>
        <w:r w:rsidRPr="00513849">
          <w:rPr>
            <w:color w:val="FFFFFF" w:themeColor="background1"/>
            <w:sz w:val="28"/>
            <w:szCs w:val="28"/>
          </w:rPr>
          <w:instrText xml:space="preserve"> PAGE   \* MERGEFORMAT </w:instrText>
        </w:r>
        <w:r w:rsidRPr="00513849">
          <w:rPr>
            <w:color w:val="FFFFFF" w:themeColor="background1"/>
            <w:sz w:val="28"/>
            <w:szCs w:val="28"/>
          </w:rPr>
          <w:fldChar w:fldCharType="separate"/>
        </w:r>
        <w:r w:rsidRPr="00513849">
          <w:rPr>
            <w:noProof/>
            <w:color w:val="FFFFFF" w:themeColor="background1"/>
            <w:sz w:val="28"/>
            <w:szCs w:val="28"/>
          </w:rPr>
          <w:t>2</w:t>
        </w:r>
        <w:r w:rsidRPr="00513849">
          <w:rPr>
            <w:noProof/>
            <w:color w:val="FFFFFF" w:themeColor="background1"/>
            <w:sz w:val="28"/>
            <w:szCs w:val="2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140C8" w14:textId="77777777" w:rsidR="00983EC6" w:rsidRDefault="00983EC6" w:rsidP="00A10A3D">
      <w:r>
        <w:separator/>
      </w:r>
    </w:p>
  </w:footnote>
  <w:footnote w:type="continuationSeparator" w:id="0">
    <w:p w14:paraId="2E3A4BE7" w14:textId="77777777" w:rsidR="00983EC6" w:rsidRDefault="00983EC6" w:rsidP="00A10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3F644" w14:textId="6CBE1604" w:rsidR="00A10A3D" w:rsidRDefault="00A10A3D">
    <w:pPr>
      <w:pStyle w:val="Header"/>
    </w:pPr>
    <w:r w:rsidRPr="00A10A3D">
      <w:rPr>
        <w:noProof/>
      </w:rPr>
      <w:drawing>
        <wp:anchor distT="0" distB="0" distL="114300" distR="114300" simplePos="0" relativeHeight="251658240" behindDoc="1" locked="0" layoutInCell="1" allowOverlap="1" wp14:anchorId="535F89A5" wp14:editId="72F4807F">
          <wp:simplePos x="0" y="0"/>
          <wp:positionH relativeFrom="column">
            <wp:posOffset>-904875</wp:posOffset>
          </wp:positionH>
          <wp:positionV relativeFrom="paragraph">
            <wp:posOffset>-440055</wp:posOffset>
          </wp:positionV>
          <wp:extent cx="7545062" cy="1400175"/>
          <wp:effectExtent l="0" t="0" r="0" b="0"/>
          <wp:wrapNone/>
          <wp:docPr id="20" name="Picture 20" descr="Text&#10;&#10;Description automatically generated">
            <a:extLst xmlns:a="http://schemas.openxmlformats.org/drawingml/2006/main">
              <a:ext uri="{FF2B5EF4-FFF2-40B4-BE49-F238E27FC236}">
                <a16:creationId xmlns:a16="http://schemas.microsoft.com/office/drawing/2014/main" id="{9859F994-7FB3-4A5C-AAE9-BEF634E703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Text&#10;&#10;Description automatically generated">
                    <a:extLst>
                      <a:ext uri="{FF2B5EF4-FFF2-40B4-BE49-F238E27FC236}">
                        <a16:creationId xmlns:a16="http://schemas.microsoft.com/office/drawing/2014/main" id="{9859F994-7FB3-4A5C-AAE9-BEF634E7031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7234" cy="14024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49540F"/>
    <w:multiLevelType w:val="hybridMultilevel"/>
    <w:tmpl w:val="657846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2EF36D23"/>
    <w:multiLevelType w:val="hybridMultilevel"/>
    <w:tmpl w:val="E95621AA"/>
    <w:lvl w:ilvl="0" w:tplc="2A4A9F62">
      <w:numFmt w:val="bullet"/>
      <w:lvlText w:val="-"/>
      <w:lvlJc w:val="left"/>
      <w:pPr>
        <w:ind w:left="930" w:hanging="57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A80F7F"/>
    <w:multiLevelType w:val="hybridMultilevel"/>
    <w:tmpl w:val="7BD62F1A"/>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4A777562"/>
    <w:multiLevelType w:val="hybridMultilevel"/>
    <w:tmpl w:val="1A56B1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5C795E86"/>
    <w:multiLevelType w:val="hybridMultilevel"/>
    <w:tmpl w:val="1BDADC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6E1C656C"/>
    <w:multiLevelType w:val="hybridMultilevel"/>
    <w:tmpl w:val="75E2F7D0"/>
    <w:lvl w:ilvl="0" w:tplc="2A4A9F62">
      <w:numFmt w:val="bullet"/>
      <w:lvlText w:val="-"/>
      <w:lvlJc w:val="left"/>
      <w:pPr>
        <w:ind w:left="1290" w:hanging="57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71E65218"/>
    <w:multiLevelType w:val="hybridMultilevel"/>
    <w:tmpl w:val="4C281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9754EF3"/>
    <w:multiLevelType w:val="hybridMultilevel"/>
    <w:tmpl w:val="2C02A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9DA6AC9"/>
    <w:multiLevelType w:val="hybridMultilevel"/>
    <w:tmpl w:val="EB12DA8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1"/>
  </w:num>
  <w:num w:numId="5">
    <w:abstractNumId w:val="5"/>
  </w:num>
  <w:num w:numId="6">
    <w:abstractNumId w:val="2"/>
  </w:num>
  <w:num w:numId="7">
    <w:abstractNumId w:val="0"/>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B15"/>
    <w:rsid w:val="00007862"/>
    <w:rsid w:val="00010916"/>
    <w:rsid w:val="00013F98"/>
    <w:rsid w:val="00017508"/>
    <w:rsid w:val="000518BB"/>
    <w:rsid w:val="000559F2"/>
    <w:rsid w:val="000A70D6"/>
    <w:rsid w:val="000B687F"/>
    <w:rsid w:val="00111899"/>
    <w:rsid w:val="00155D57"/>
    <w:rsid w:val="0015736D"/>
    <w:rsid w:val="00192E81"/>
    <w:rsid w:val="00194C03"/>
    <w:rsid w:val="00196C43"/>
    <w:rsid w:val="001C25CB"/>
    <w:rsid w:val="001D591A"/>
    <w:rsid w:val="001E0219"/>
    <w:rsid w:val="00200B5A"/>
    <w:rsid w:val="00200F33"/>
    <w:rsid w:val="00266081"/>
    <w:rsid w:val="00283637"/>
    <w:rsid w:val="00285886"/>
    <w:rsid w:val="00297BE6"/>
    <w:rsid w:val="002B2ACE"/>
    <w:rsid w:val="002C0503"/>
    <w:rsid w:val="002C0C70"/>
    <w:rsid w:val="0031148F"/>
    <w:rsid w:val="0032284E"/>
    <w:rsid w:val="003A7344"/>
    <w:rsid w:val="004173E2"/>
    <w:rsid w:val="00463530"/>
    <w:rsid w:val="004D48E3"/>
    <w:rsid w:val="004F0C3D"/>
    <w:rsid w:val="00513849"/>
    <w:rsid w:val="00516248"/>
    <w:rsid w:val="0054475E"/>
    <w:rsid w:val="0056443A"/>
    <w:rsid w:val="00696334"/>
    <w:rsid w:val="006C4D13"/>
    <w:rsid w:val="0070276A"/>
    <w:rsid w:val="00703E69"/>
    <w:rsid w:val="00755EE5"/>
    <w:rsid w:val="007B0FB4"/>
    <w:rsid w:val="007E1B50"/>
    <w:rsid w:val="008344CC"/>
    <w:rsid w:val="008719B8"/>
    <w:rsid w:val="00894A31"/>
    <w:rsid w:val="008B2F73"/>
    <w:rsid w:val="008B323E"/>
    <w:rsid w:val="008E106F"/>
    <w:rsid w:val="00982680"/>
    <w:rsid w:val="00983EC6"/>
    <w:rsid w:val="009E0D95"/>
    <w:rsid w:val="00A10A3D"/>
    <w:rsid w:val="00A81F2E"/>
    <w:rsid w:val="00B2458B"/>
    <w:rsid w:val="00B42221"/>
    <w:rsid w:val="00BD1BC9"/>
    <w:rsid w:val="00BF579B"/>
    <w:rsid w:val="00C65035"/>
    <w:rsid w:val="00C74284"/>
    <w:rsid w:val="00CC1981"/>
    <w:rsid w:val="00D50E0C"/>
    <w:rsid w:val="00D64B11"/>
    <w:rsid w:val="00D9013F"/>
    <w:rsid w:val="00DC2FAF"/>
    <w:rsid w:val="00DC5BFF"/>
    <w:rsid w:val="00E13B15"/>
    <w:rsid w:val="00E8558B"/>
    <w:rsid w:val="00EC783A"/>
    <w:rsid w:val="00F07539"/>
    <w:rsid w:val="00F355C6"/>
    <w:rsid w:val="00F832A0"/>
    <w:rsid w:val="00FA5D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954CD0"/>
  <w15:chartTrackingRefBased/>
  <w15:docId w15:val="{1A54A1B7-6674-43FF-87DF-1D252045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A3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A31"/>
    <w:pPr>
      <w:ind w:left="720"/>
    </w:pPr>
  </w:style>
  <w:style w:type="paragraph" w:styleId="Header">
    <w:name w:val="header"/>
    <w:basedOn w:val="Normal"/>
    <w:link w:val="HeaderChar"/>
    <w:uiPriority w:val="99"/>
    <w:unhideWhenUsed/>
    <w:rsid w:val="00A10A3D"/>
    <w:pPr>
      <w:tabs>
        <w:tab w:val="center" w:pos="4513"/>
        <w:tab w:val="right" w:pos="9026"/>
      </w:tabs>
    </w:pPr>
  </w:style>
  <w:style w:type="character" w:customStyle="1" w:styleId="HeaderChar">
    <w:name w:val="Header Char"/>
    <w:basedOn w:val="DefaultParagraphFont"/>
    <w:link w:val="Header"/>
    <w:uiPriority w:val="99"/>
    <w:rsid w:val="00A10A3D"/>
    <w:rPr>
      <w:rFonts w:ascii="Calibri" w:hAnsi="Calibri" w:cs="Calibri"/>
    </w:rPr>
  </w:style>
  <w:style w:type="paragraph" w:styleId="Footer">
    <w:name w:val="footer"/>
    <w:basedOn w:val="Normal"/>
    <w:link w:val="FooterChar"/>
    <w:uiPriority w:val="99"/>
    <w:unhideWhenUsed/>
    <w:rsid w:val="00A10A3D"/>
    <w:pPr>
      <w:tabs>
        <w:tab w:val="center" w:pos="4513"/>
        <w:tab w:val="right" w:pos="9026"/>
      </w:tabs>
    </w:pPr>
  </w:style>
  <w:style w:type="character" w:customStyle="1" w:styleId="FooterChar">
    <w:name w:val="Footer Char"/>
    <w:basedOn w:val="DefaultParagraphFont"/>
    <w:link w:val="Footer"/>
    <w:uiPriority w:val="99"/>
    <w:rsid w:val="00A10A3D"/>
    <w:rPr>
      <w:rFonts w:ascii="Calibri" w:hAnsi="Calibri" w:cs="Calibri"/>
    </w:rPr>
  </w:style>
  <w:style w:type="character" w:styleId="Hyperlink">
    <w:name w:val="Hyperlink"/>
    <w:basedOn w:val="DefaultParagraphFont"/>
    <w:uiPriority w:val="99"/>
    <w:unhideWhenUsed/>
    <w:rsid w:val="007B0FB4"/>
    <w:rPr>
      <w:color w:val="0563C1" w:themeColor="hyperlink"/>
      <w:u w:val="single"/>
    </w:rPr>
  </w:style>
  <w:style w:type="character" w:styleId="UnresolvedMention">
    <w:name w:val="Unresolved Mention"/>
    <w:basedOn w:val="DefaultParagraphFont"/>
    <w:uiPriority w:val="99"/>
    <w:semiHidden/>
    <w:unhideWhenUsed/>
    <w:rsid w:val="007B0FB4"/>
    <w:rPr>
      <w:color w:val="605E5C"/>
      <w:shd w:val="clear" w:color="auto" w:fill="E1DFDD"/>
    </w:rPr>
  </w:style>
  <w:style w:type="character" w:styleId="FollowedHyperlink">
    <w:name w:val="FollowedHyperlink"/>
    <w:basedOn w:val="DefaultParagraphFont"/>
    <w:uiPriority w:val="99"/>
    <w:semiHidden/>
    <w:unhideWhenUsed/>
    <w:rsid w:val="001573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754237">
      <w:bodyDiv w:val="1"/>
      <w:marLeft w:val="0"/>
      <w:marRight w:val="0"/>
      <w:marTop w:val="0"/>
      <w:marBottom w:val="0"/>
      <w:divBdr>
        <w:top w:val="none" w:sz="0" w:space="0" w:color="auto"/>
        <w:left w:val="none" w:sz="0" w:space="0" w:color="auto"/>
        <w:bottom w:val="none" w:sz="0" w:space="0" w:color="auto"/>
        <w:right w:val="none" w:sz="0" w:space="0" w:color="auto"/>
      </w:divBdr>
    </w:div>
    <w:div w:id="1244990559">
      <w:bodyDiv w:val="1"/>
      <w:marLeft w:val="0"/>
      <w:marRight w:val="0"/>
      <w:marTop w:val="0"/>
      <w:marBottom w:val="0"/>
      <w:divBdr>
        <w:top w:val="none" w:sz="0" w:space="0" w:color="auto"/>
        <w:left w:val="none" w:sz="0" w:space="0" w:color="auto"/>
        <w:bottom w:val="none" w:sz="0" w:space="0" w:color="auto"/>
        <w:right w:val="none" w:sz="0" w:space="0" w:color="auto"/>
      </w:divBdr>
    </w:div>
    <w:div w:id="1611007653">
      <w:bodyDiv w:val="1"/>
      <w:marLeft w:val="0"/>
      <w:marRight w:val="0"/>
      <w:marTop w:val="0"/>
      <w:marBottom w:val="0"/>
      <w:divBdr>
        <w:top w:val="none" w:sz="0" w:space="0" w:color="auto"/>
        <w:left w:val="none" w:sz="0" w:space="0" w:color="auto"/>
        <w:bottom w:val="none" w:sz="0" w:space="0" w:color="auto"/>
        <w:right w:val="none" w:sz="0" w:space="0" w:color="auto"/>
      </w:divBdr>
    </w:div>
    <w:div w:id="1636644784">
      <w:bodyDiv w:val="1"/>
      <w:marLeft w:val="0"/>
      <w:marRight w:val="0"/>
      <w:marTop w:val="0"/>
      <w:marBottom w:val="0"/>
      <w:divBdr>
        <w:top w:val="none" w:sz="0" w:space="0" w:color="auto"/>
        <w:left w:val="none" w:sz="0" w:space="0" w:color="auto"/>
        <w:bottom w:val="none" w:sz="0" w:space="0" w:color="auto"/>
        <w:right w:val="none" w:sz="0" w:space="0" w:color="auto"/>
      </w:divBdr>
    </w:div>
    <w:div w:id="1937054777">
      <w:bodyDiv w:val="1"/>
      <w:marLeft w:val="0"/>
      <w:marRight w:val="0"/>
      <w:marTop w:val="0"/>
      <w:marBottom w:val="0"/>
      <w:divBdr>
        <w:top w:val="none" w:sz="0" w:space="0" w:color="auto"/>
        <w:left w:val="none" w:sz="0" w:space="0" w:color="auto"/>
        <w:bottom w:val="none" w:sz="0" w:space="0" w:color="auto"/>
        <w:right w:val="none" w:sz="0" w:space="0" w:color="auto"/>
      </w:divBdr>
    </w:div>
    <w:div w:id="204709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cica.com.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sc@jobs.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c.gov.au/hazard-2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cid:image001.png@01D7B074.DF4A6A9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2A41B-D26E-4DB7-940F-B3C8CC638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MARLTON,Christopher</dc:creator>
  <cp:keywords/>
  <dc:description/>
  <cp:lastModifiedBy>MARLTON,Christopher</cp:lastModifiedBy>
  <cp:revision>20</cp:revision>
  <cp:lastPrinted>2021-10-14T00:13:00Z</cp:lastPrinted>
  <dcterms:created xsi:type="dcterms:W3CDTF">2021-07-23T09:08:00Z</dcterms:created>
  <dcterms:modified xsi:type="dcterms:W3CDTF">2021-10-14T00:13:00Z</dcterms:modified>
</cp:coreProperties>
</file>