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F80F" w14:textId="105F6EF0" w:rsidR="00C10C19" w:rsidRPr="00E83D9B" w:rsidRDefault="00EF1579" w:rsidP="00D9048E">
      <w:pPr>
        <w:pStyle w:val="Title"/>
        <w:spacing w:after="200"/>
        <w:ind w:left="1276"/>
        <w:contextualSpacing w:val="0"/>
        <w:rPr>
          <w:sz w:val="48"/>
        </w:rPr>
      </w:pPr>
      <w:r w:rsidRPr="00A13CB9">
        <w:rPr>
          <w:rFonts w:eastAsia="Times New Roman" w:cs="Times New Roman"/>
          <w:b w:val="0"/>
          <w:noProof/>
          <w:sz w:val="44"/>
          <w:szCs w:val="44"/>
          <w:lang w:eastAsia="en-AU"/>
        </w:rPr>
        <w:drawing>
          <wp:anchor distT="0" distB="0" distL="114300" distR="114300" simplePos="0" relativeHeight="251652608" behindDoc="0" locked="0" layoutInCell="1" allowOverlap="1" wp14:anchorId="6BBC1762" wp14:editId="04E71A7F">
            <wp:simplePos x="0" y="0"/>
            <wp:positionH relativeFrom="margin">
              <wp:posOffset>-151130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sdt>
        <w:sdtPr>
          <w:rPr>
            <w:sz w:val="40"/>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r w:rsidR="00E83D9B" w:rsidRPr="00E83D9B">
            <w:rPr>
              <w:sz w:val="40"/>
            </w:rPr>
            <w:t>Fact Sheet</w:t>
          </w:r>
          <w:r w:rsidR="00C05B1D">
            <w:rPr>
              <w:sz w:val="40"/>
            </w:rPr>
            <w:t xml:space="preserve"> – Applying the Scheme to Directly funded building work</w:t>
          </w:r>
        </w:sdtContent>
      </w:sdt>
    </w:p>
    <w:p w14:paraId="0144333E" w14:textId="77777777" w:rsidR="004D54E7" w:rsidRPr="00E83D9B" w:rsidRDefault="004D54E7" w:rsidP="001940E3">
      <w:pPr>
        <w:pStyle w:val="Title"/>
        <w:spacing w:line="20" w:lineRule="atLeast"/>
        <w:ind w:left="1276" w:right="-119"/>
        <w:rPr>
          <w:sz w:val="40"/>
        </w:rPr>
        <w:sectPr w:rsidR="004D54E7" w:rsidRPr="00E83D9B"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306E8094" w14:textId="66E8004E" w:rsidR="00A951A5" w:rsidRPr="00BB7B3D" w:rsidRDefault="00A951A5" w:rsidP="001940E3">
      <w:pPr>
        <w:spacing w:line="20" w:lineRule="atLeast"/>
      </w:pPr>
      <w:r w:rsidRPr="00B6518B">
        <w:t xml:space="preserve">The </w:t>
      </w:r>
      <w:r w:rsidRPr="00FF10C4">
        <w:rPr>
          <w:rFonts w:cstheme="minorHAnsi"/>
        </w:rPr>
        <w:t>Work Health and Safety Accreditation Scheme</w:t>
      </w:r>
      <w:r w:rsidR="00620DC5">
        <w:rPr>
          <w:rFonts w:cstheme="minorHAnsi"/>
        </w:rPr>
        <w:t xml:space="preserve"> (the Scheme)</w:t>
      </w:r>
      <w:r w:rsidRPr="00BB7B3D">
        <w:t xml:space="preserve"> operates such that, subject to certain thresholds, only </w:t>
      </w:r>
      <w:r w:rsidR="009077B4">
        <w:t>builders</w:t>
      </w:r>
      <w:r w:rsidRPr="00BB7B3D">
        <w:t xml:space="preserve"> who are accredited under the Scheme can enter into </w:t>
      </w:r>
      <w:r w:rsidR="005F3976">
        <w:t xml:space="preserve">head </w:t>
      </w:r>
      <w:r w:rsidRPr="00BB7B3D">
        <w:t xml:space="preserve">contracts for building work funded directly or indirectly by the </w:t>
      </w:r>
      <w:r w:rsidR="00620DC5">
        <w:t>Commonwealth or a corporate Commonwealth entity</w:t>
      </w:r>
      <w:r w:rsidRPr="00BB7B3D">
        <w:t>.</w:t>
      </w:r>
    </w:p>
    <w:p w14:paraId="08464FF0" w14:textId="607AF213" w:rsidR="00286747" w:rsidRPr="00BB7B3D" w:rsidRDefault="00286747" w:rsidP="00286747">
      <w:pPr>
        <w:spacing w:line="20" w:lineRule="atLeast"/>
      </w:pPr>
      <w:r>
        <w:t xml:space="preserve">The information within this factsheet and the flowchart at </w:t>
      </w:r>
      <w:r w:rsidRPr="00DD0C46">
        <w:rPr>
          <w:u w:val="single"/>
        </w:rPr>
        <w:t>Appendix 1</w:t>
      </w:r>
      <w:r>
        <w:t xml:space="preserve"> can assist organisations in understanding whether the Scheme applies to individual projects. </w:t>
      </w:r>
    </w:p>
    <w:p w14:paraId="1A478A4E" w14:textId="48F67D97" w:rsidR="00A951A5" w:rsidRDefault="00A951A5" w:rsidP="001940E3">
      <w:pPr>
        <w:spacing w:line="20" w:lineRule="atLeast"/>
      </w:pPr>
      <w:r w:rsidRPr="00BB7B3D">
        <w:t xml:space="preserve">For more information on what constitutes building </w:t>
      </w:r>
      <w:r>
        <w:t>work</w:t>
      </w:r>
      <w:r w:rsidRPr="00BB7B3D">
        <w:t xml:space="preserve">, refer to our fact sheet </w:t>
      </w:r>
      <w:r w:rsidRPr="00BB7B3D">
        <w:rPr>
          <w:b/>
          <w:bCs/>
        </w:rPr>
        <w:t>Definition</w:t>
      </w:r>
      <w:r w:rsidR="00620DC5">
        <w:rPr>
          <w:b/>
          <w:bCs/>
        </w:rPr>
        <w:t>s</w:t>
      </w:r>
      <w:r w:rsidRPr="00BB7B3D">
        <w:rPr>
          <w:b/>
          <w:bCs/>
        </w:rPr>
        <w:t xml:space="preserve"> of </w:t>
      </w:r>
      <w:r w:rsidR="00620DC5">
        <w:rPr>
          <w:b/>
          <w:bCs/>
        </w:rPr>
        <w:t>‘</w:t>
      </w:r>
      <w:r w:rsidR="004B6E1E">
        <w:rPr>
          <w:b/>
          <w:bCs/>
        </w:rPr>
        <w:t>B</w:t>
      </w:r>
      <w:r w:rsidR="00620DC5">
        <w:rPr>
          <w:b/>
          <w:bCs/>
        </w:rPr>
        <w:t xml:space="preserve">uilder’ and </w:t>
      </w:r>
      <w:r w:rsidRPr="00BB7B3D">
        <w:rPr>
          <w:b/>
          <w:bCs/>
        </w:rPr>
        <w:t>‘</w:t>
      </w:r>
      <w:r w:rsidR="004B6E1E">
        <w:rPr>
          <w:b/>
          <w:bCs/>
        </w:rPr>
        <w:t>B</w:t>
      </w:r>
      <w:r w:rsidRPr="00BB7B3D">
        <w:rPr>
          <w:b/>
          <w:bCs/>
        </w:rPr>
        <w:t xml:space="preserve">uilding </w:t>
      </w:r>
      <w:r w:rsidR="004B6E1E">
        <w:rPr>
          <w:b/>
          <w:bCs/>
        </w:rPr>
        <w:t>W</w:t>
      </w:r>
      <w:r w:rsidRPr="00BB7B3D">
        <w:rPr>
          <w:b/>
          <w:bCs/>
        </w:rPr>
        <w:t>ork’</w:t>
      </w:r>
      <w:r w:rsidRPr="00BB7B3D">
        <w:t>.</w:t>
      </w:r>
      <w:r w:rsidR="00620DC5">
        <w:t xml:space="preserve"> </w:t>
      </w:r>
      <w:r w:rsidR="00620DC5" w:rsidRPr="001D3B48">
        <w:t xml:space="preserve">For further information on the Scheme and how it applies to </w:t>
      </w:r>
      <w:r w:rsidR="00620DC5">
        <w:t>in</w:t>
      </w:r>
      <w:r w:rsidR="00620DC5" w:rsidRPr="001D3B48">
        <w:t xml:space="preserve">directly funded building work, refer to the fact sheets </w:t>
      </w:r>
      <w:r w:rsidR="00620DC5" w:rsidRPr="00004070">
        <w:rPr>
          <w:b/>
          <w:bCs/>
        </w:rPr>
        <w:t xml:space="preserve">Applying the Scheme to </w:t>
      </w:r>
      <w:r w:rsidR="00620DC5">
        <w:rPr>
          <w:b/>
          <w:bCs/>
        </w:rPr>
        <w:t>in</w:t>
      </w:r>
      <w:r w:rsidR="00620DC5" w:rsidRPr="00004070">
        <w:rPr>
          <w:b/>
          <w:bCs/>
        </w:rPr>
        <w:t>directly funded building work</w:t>
      </w:r>
      <w:r w:rsidR="00620DC5" w:rsidRPr="001D3B48">
        <w:t xml:space="preserve"> and </w:t>
      </w:r>
      <w:r w:rsidR="00620DC5" w:rsidRPr="00004070">
        <w:rPr>
          <w:b/>
          <w:bCs/>
        </w:rPr>
        <w:t xml:space="preserve">Contracting for Australian Government </w:t>
      </w:r>
      <w:r w:rsidR="004B6E1E">
        <w:rPr>
          <w:b/>
          <w:bCs/>
        </w:rPr>
        <w:t>f</w:t>
      </w:r>
      <w:r w:rsidR="00620DC5" w:rsidRPr="00004070">
        <w:rPr>
          <w:b/>
          <w:bCs/>
        </w:rPr>
        <w:t xml:space="preserve">unded </w:t>
      </w:r>
      <w:r w:rsidR="004B6E1E">
        <w:rPr>
          <w:b/>
          <w:bCs/>
        </w:rPr>
        <w:t>b</w:t>
      </w:r>
      <w:r w:rsidR="00620DC5" w:rsidRPr="00004070">
        <w:rPr>
          <w:b/>
          <w:bCs/>
        </w:rPr>
        <w:t xml:space="preserve">uilding </w:t>
      </w:r>
      <w:r w:rsidR="004B6E1E">
        <w:rPr>
          <w:b/>
          <w:bCs/>
        </w:rPr>
        <w:t>w</w:t>
      </w:r>
      <w:r w:rsidR="00620DC5" w:rsidRPr="00004070">
        <w:rPr>
          <w:b/>
          <w:bCs/>
        </w:rPr>
        <w:t>ork</w:t>
      </w:r>
      <w:r w:rsidR="00620DC5">
        <w:t>.</w:t>
      </w:r>
    </w:p>
    <w:p w14:paraId="45919DD4" w14:textId="77777777" w:rsidR="00A951A5" w:rsidRPr="00D9048E" w:rsidRDefault="00A951A5" w:rsidP="00C05B1D">
      <w:pPr>
        <w:pStyle w:val="Heading1"/>
        <w:rPr>
          <w:sz w:val="24"/>
          <w:szCs w:val="24"/>
        </w:rPr>
      </w:pPr>
      <w:r w:rsidRPr="00D9048E">
        <w:rPr>
          <w:sz w:val="24"/>
          <w:szCs w:val="24"/>
        </w:rPr>
        <w:t>What is directly funded building work?</w:t>
      </w:r>
    </w:p>
    <w:p w14:paraId="7E6094C8" w14:textId="3F22A7D1" w:rsidR="00A951A5" w:rsidRPr="00BB7B3D" w:rsidRDefault="00A951A5" w:rsidP="001940E3">
      <w:pPr>
        <w:spacing w:line="20" w:lineRule="atLeast"/>
      </w:pPr>
      <w:r w:rsidRPr="00BB7B3D">
        <w:t xml:space="preserve">Projects </w:t>
      </w:r>
      <w:proofErr w:type="gramStart"/>
      <w:r w:rsidRPr="00BB7B3D">
        <w:t>are considered to be</w:t>
      </w:r>
      <w:proofErr w:type="gramEnd"/>
      <w:r w:rsidRPr="00BB7B3D">
        <w:t xml:space="preserve"> directly funded where an Australian Government </w:t>
      </w:r>
      <w:r w:rsidR="009753A1">
        <w:t>A</w:t>
      </w:r>
      <w:r w:rsidRPr="00BB7B3D">
        <w:t>gency has responsibility for the project funding and development.</w:t>
      </w:r>
    </w:p>
    <w:p w14:paraId="5A38BF2E" w14:textId="77777777" w:rsidR="00A951A5" w:rsidRPr="00BB7B3D" w:rsidRDefault="00A951A5" w:rsidP="001940E3">
      <w:pPr>
        <w:spacing w:line="20" w:lineRule="atLeast"/>
      </w:pPr>
      <w:r w:rsidRPr="00BB7B3D">
        <w:t>Directly funded building work includes projects where the Australian Government enters into contracts with persons who:</w:t>
      </w:r>
    </w:p>
    <w:p w14:paraId="4E0B31BC" w14:textId="77777777" w:rsidR="00A951A5" w:rsidRPr="00BB7B3D" w:rsidRDefault="00A951A5" w:rsidP="001940E3">
      <w:pPr>
        <w:pStyle w:val="ListBullet"/>
        <w:spacing w:line="20" w:lineRule="atLeast"/>
        <w:ind w:left="369" w:right="-120" w:hanging="369"/>
      </w:pPr>
      <w:r w:rsidRPr="00BB7B3D">
        <w:t>will carry out the building work; or</w:t>
      </w:r>
    </w:p>
    <w:p w14:paraId="1E7FD3F6" w14:textId="77777777" w:rsidR="00A951A5" w:rsidRPr="0034585B" w:rsidRDefault="00A951A5" w:rsidP="001940E3">
      <w:pPr>
        <w:pStyle w:val="ListBullet"/>
        <w:spacing w:line="20" w:lineRule="atLeast"/>
        <w:ind w:left="369" w:right="-120" w:hanging="369"/>
      </w:pPr>
      <w:r w:rsidRPr="00BB7B3D">
        <w:t>may arrange for building work to be carried out.</w:t>
      </w:r>
    </w:p>
    <w:p w14:paraId="28F355F7" w14:textId="77777777" w:rsidR="00A951A5" w:rsidRPr="00BB7B3D" w:rsidRDefault="00A951A5" w:rsidP="001940E3">
      <w:pPr>
        <w:spacing w:line="20" w:lineRule="atLeast"/>
      </w:pPr>
      <w:r w:rsidRPr="00BB7B3D">
        <w:t>This includes building work that the Australian Government facilitates directly by agreement, for example, Build Own Operate (BOO), Build Own Operate Transfer (BOOT), and pre-commitment leases. All pre-commitment leases are covered by the Scheme, and where they are funded by the Australian Government, the direct threshold will apply.</w:t>
      </w:r>
    </w:p>
    <w:p w14:paraId="1A35B727" w14:textId="77777777" w:rsidR="00A951A5" w:rsidRPr="00BB7B3D" w:rsidRDefault="00A951A5" w:rsidP="001940E3">
      <w:pPr>
        <w:spacing w:line="20" w:lineRule="atLeast"/>
      </w:pPr>
      <w:r w:rsidRPr="00BB7B3D">
        <w:t>Examples of directly funded building work include:</w:t>
      </w:r>
      <w:r w:rsidR="001940E3" w:rsidRPr="001940E3">
        <w:rPr>
          <w:rFonts w:cstheme="minorHAnsi"/>
          <w:noProof/>
        </w:rPr>
        <w:t xml:space="preserve"> </w:t>
      </w:r>
    </w:p>
    <w:p w14:paraId="19C02584" w14:textId="77777777" w:rsidR="00A951A5" w:rsidRPr="00BB7B3D" w:rsidRDefault="00A951A5" w:rsidP="001940E3">
      <w:pPr>
        <w:pStyle w:val="ListBullet"/>
        <w:spacing w:line="20" w:lineRule="atLeast"/>
        <w:ind w:left="369" w:right="-120" w:hanging="369"/>
      </w:pPr>
      <w:r w:rsidRPr="00BB7B3D">
        <w:t>a new Medicare office</w:t>
      </w:r>
    </w:p>
    <w:p w14:paraId="7B6C0454" w14:textId="77777777" w:rsidR="00A951A5" w:rsidRPr="00BB7B3D" w:rsidRDefault="00A951A5" w:rsidP="001940E3">
      <w:pPr>
        <w:pStyle w:val="ListBullet"/>
        <w:spacing w:line="20" w:lineRule="atLeast"/>
        <w:ind w:left="369" w:right="-120" w:hanging="369"/>
      </w:pPr>
      <w:r w:rsidRPr="00BB7B3D">
        <w:t>Department of Defence facilities</w:t>
      </w:r>
    </w:p>
    <w:p w14:paraId="79EF0060" w14:textId="77777777" w:rsidR="00A951A5" w:rsidRPr="00BB7B3D" w:rsidRDefault="00A951A5" w:rsidP="00DD0C46">
      <w:pPr>
        <w:pStyle w:val="ListBullet"/>
        <w:spacing w:after="200" w:line="20" w:lineRule="atLeast"/>
        <w:ind w:left="369" w:right="-119" w:hanging="369"/>
      </w:pPr>
      <w:r w:rsidRPr="00BB7B3D">
        <w:t>a fit-out or refurbishment of existing Australian Government office accommodation.</w:t>
      </w:r>
    </w:p>
    <w:p w14:paraId="60EE5870" w14:textId="77777777" w:rsidR="00A951A5" w:rsidRPr="00D9048E" w:rsidRDefault="00A951A5" w:rsidP="00C05B1D">
      <w:pPr>
        <w:pStyle w:val="Heading1"/>
        <w:rPr>
          <w:sz w:val="24"/>
          <w:szCs w:val="24"/>
        </w:rPr>
      </w:pPr>
      <w:r w:rsidRPr="00D9048E">
        <w:rPr>
          <w:sz w:val="24"/>
          <w:szCs w:val="24"/>
        </w:rPr>
        <w:t>What thresholds apply to directly funded building work?</w:t>
      </w:r>
    </w:p>
    <w:p w14:paraId="32C39A61" w14:textId="2E5392FC" w:rsidR="00A951A5" w:rsidRPr="00F34F97" w:rsidRDefault="00A951A5" w:rsidP="001940E3">
      <w:pPr>
        <w:spacing w:line="20" w:lineRule="atLeast"/>
      </w:pPr>
      <w:r w:rsidRPr="00F34F97">
        <w:t xml:space="preserve">The Scheme applies to </w:t>
      </w:r>
      <w:r w:rsidR="00472E9D">
        <w:t xml:space="preserve">all </w:t>
      </w:r>
      <w:r w:rsidRPr="00F34F97">
        <w:t>projects</w:t>
      </w:r>
      <w:r w:rsidR="00472E9D">
        <w:t xml:space="preserve"> </w:t>
      </w:r>
      <w:r w:rsidRPr="00F34F97">
        <w:t xml:space="preserve">that are directly funded by the </w:t>
      </w:r>
      <w:r w:rsidR="00620DC5">
        <w:t>Commonwealth or a corporate Commonwealth entity</w:t>
      </w:r>
      <w:r w:rsidR="000402DF" w:rsidRPr="00F34F97">
        <w:t xml:space="preserve"> </w:t>
      </w:r>
      <w:r w:rsidR="000402DF">
        <w:t>which include building work</w:t>
      </w:r>
      <w:r w:rsidR="00472E9D">
        <w:t>.</w:t>
      </w:r>
      <w:r w:rsidRPr="00F34F97">
        <w:t xml:space="preserve"> </w:t>
      </w:r>
      <w:r w:rsidR="00472E9D">
        <w:t>An accredited builder must be engaged if a ‘head contract for building work’ under the project has a value of at least $4 million (GST inclusive).</w:t>
      </w:r>
    </w:p>
    <w:p w14:paraId="2BAAB817" w14:textId="3D17B82A" w:rsidR="00A951A5" w:rsidRDefault="00C56C25" w:rsidP="001940E3">
      <w:pPr>
        <w:spacing w:line="20" w:lineRule="atLeast"/>
      </w:pPr>
      <w:r>
        <w:rPr>
          <w:iCs/>
        </w:rPr>
        <w:t>An accredited builder will not be required</w:t>
      </w:r>
      <w:r w:rsidR="000402DF">
        <w:rPr>
          <w:iCs/>
        </w:rPr>
        <w:t xml:space="preserve"> to undertake building</w:t>
      </w:r>
      <w:r w:rsidR="00FB6EE7">
        <w:rPr>
          <w:iCs/>
        </w:rPr>
        <w:t xml:space="preserve"> work</w:t>
      </w:r>
      <w:r w:rsidR="000402DF">
        <w:rPr>
          <w:iCs/>
        </w:rPr>
        <w:t xml:space="preserve"> under the project</w:t>
      </w:r>
      <w:r>
        <w:rPr>
          <w:iCs/>
        </w:rPr>
        <w:t xml:space="preserve"> if </w:t>
      </w:r>
      <w:r w:rsidR="00A951A5" w:rsidRPr="00A52D62">
        <w:t xml:space="preserve">the value of the </w:t>
      </w:r>
      <w:r>
        <w:t xml:space="preserve">‘head contract for building work’ </w:t>
      </w:r>
      <w:r w:rsidR="00A951A5" w:rsidRPr="00A52D62">
        <w:t>is below the specified direct funding threshold.</w:t>
      </w:r>
    </w:p>
    <w:p w14:paraId="0C8B0A13" w14:textId="2F8CC349" w:rsidR="00A750D9" w:rsidRPr="009753A1" w:rsidRDefault="00A750D9" w:rsidP="009753A1">
      <w:pPr>
        <w:spacing w:line="20" w:lineRule="atLeast"/>
        <w:rPr>
          <w:iCs/>
        </w:rPr>
      </w:pPr>
      <w:bookmarkStart w:id="1" w:name="_Hlk63324372"/>
      <w:r w:rsidRPr="009753A1">
        <w:rPr>
          <w:iCs/>
        </w:rPr>
        <w:t xml:space="preserve">The flowchart at </w:t>
      </w:r>
      <w:r w:rsidRPr="009753A1">
        <w:rPr>
          <w:iCs/>
          <w:u w:val="single"/>
        </w:rPr>
        <w:t>Appendix 1</w:t>
      </w:r>
      <w:r w:rsidRPr="009753A1">
        <w:rPr>
          <w:iCs/>
        </w:rPr>
        <w:t xml:space="preserve"> provides further assistance in determining whether an accredited builder must be engaged for a project.</w:t>
      </w:r>
    </w:p>
    <w:bookmarkEnd w:id="1"/>
    <w:p w14:paraId="25066564" w14:textId="77777777" w:rsidR="000402DF" w:rsidRPr="00D9048E" w:rsidRDefault="000402DF" w:rsidP="000402DF">
      <w:pPr>
        <w:pStyle w:val="Heading1"/>
        <w:rPr>
          <w:sz w:val="24"/>
          <w:szCs w:val="24"/>
        </w:rPr>
      </w:pPr>
      <w:r w:rsidRPr="00D9048E">
        <w:rPr>
          <w:sz w:val="24"/>
          <w:szCs w:val="24"/>
        </w:rPr>
        <w:t>What is a head contract for building work?</w:t>
      </w:r>
    </w:p>
    <w:p w14:paraId="7C66E70A" w14:textId="22861DD3" w:rsidR="00012BB7" w:rsidRDefault="00012BB7" w:rsidP="00C5488D">
      <w:pPr>
        <w:spacing w:line="20" w:lineRule="atLeast"/>
      </w:pPr>
      <w:r w:rsidRPr="009B4E68">
        <w:t xml:space="preserve">A ‘head contract for building work’ is </w:t>
      </w:r>
      <w:r w:rsidRPr="00E95723">
        <w:t xml:space="preserve">the </w:t>
      </w:r>
      <w:proofErr w:type="gramStart"/>
      <w:r w:rsidRPr="00E95723">
        <w:t>highest level</w:t>
      </w:r>
      <w:proofErr w:type="gramEnd"/>
      <w:r w:rsidRPr="00E95723">
        <w:t xml:space="preserve"> contract or funding agreement enacted for a project </w:t>
      </w:r>
      <w:r w:rsidRPr="009B4E68">
        <w:t>that includes building work and where the entity entering into the contract</w:t>
      </w:r>
      <w:r>
        <w:t xml:space="preserve"> or agreement</w:t>
      </w:r>
      <w:r w:rsidRPr="009B4E68">
        <w:t xml:space="preserve"> undertakes the building work themselves. This entity </w:t>
      </w:r>
      <w:r>
        <w:t>is</w:t>
      </w:r>
      <w:r w:rsidRPr="009B4E68">
        <w:t xml:space="preserve"> </w:t>
      </w:r>
      <w:r>
        <w:t>defined as</w:t>
      </w:r>
      <w:r w:rsidRPr="009B4E68">
        <w:t xml:space="preserve"> a ‘builder’ </w:t>
      </w:r>
      <w:r w:rsidR="004F7D60">
        <w:t>for the purposes of the Scheme</w:t>
      </w:r>
      <w:r>
        <w:t xml:space="preserve">. </w:t>
      </w:r>
    </w:p>
    <w:p w14:paraId="1661D151" w14:textId="77777777" w:rsidR="00012BB7" w:rsidRDefault="00012BB7" w:rsidP="00C5488D">
      <w:pPr>
        <w:spacing w:line="20" w:lineRule="atLeast"/>
      </w:pPr>
      <w:r>
        <w:t>The total value of the contract or agreement must be considered when establishing whether the $4 million threshold has been reached, regardless of the value of the building works component of the contract or agreement.</w:t>
      </w:r>
    </w:p>
    <w:p w14:paraId="5E71CB4D" w14:textId="3FF56C7C" w:rsidR="00012BB7" w:rsidRDefault="00012BB7" w:rsidP="009753A1">
      <w:pPr>
        <w:spacing w:line="20" w:lineRule="atLeast"/>
      </w:pPr>
      <w:r>
        <w:t>Where a</w:t>
      </w:r>
      <w:r w:rsidR="00DD0C46">
        <w:t xml:space="preserve">n Australian Government Agency enters </w:t>
      </w:r>
      <w:r>
        <w:t>into a contract or funding agreement to complete a project that includes building work</w:t>
      </w:r>
      <w:r w:rsidRPr="007E0F95">
        <w:t>, but that entity will not be undertaking the building work themselves</w:t>
      </w:r>
      <w:r>
        <w:t xml:space="preserve"> (for example a contract entered into with a Project Management company)</w:t>
      </w:r>
      <w:r w:rsidRPr="007E0F95">
        <w:t>, this contract</w:t>
      </w:r>
      <w:r>
        <w:t xml:space="preserve"> or agreement is</w:t>
      </w:r>
      <w:r w:rsidRPr="007E0F95">
        <w:t xml:space="preserve"> not considered to be a ‘head contract for building </w:t>
      </w:r>
      <w:r w:rsidRPr="002539A5">
        <w:t xml:space="preserve">work’. For this project, the ‘head contract for building work’ will sit at a lower contractual level dependent on who is engaged to undertake the building work. </w:t>
      </w:r>
      <w:r w:rsidR="009474ED" w:rsidRPr="002539A5">
        <w:t xml:space="preserve">The </w:t>
      </w:r>
      <w:r w:rsidR="009474ED" w:rsidRPr="002539A5">
        <w:lastRenderedPageBreak/>
        <w:t xml:space="preserve">highest level contract or agreement that </w:t>
      </w:r>
      <w:r w:rsidR="009474ED">
        <w:t xml:space="preserve">is enacted with </w:t>
      </w:r>
      <w:r w:rsidR="004B6E1E">
        <w:t>a</w:t>
      </w:r>
      <w:r w:rsidR="009474ED">
        <w:t xml:space="preserve"> different entity, that:</w:t>
      </w:r>
    </w:p>
    <w:p w14:paraId="4E912F2D" w14:textId="77777777" w:rsidR="00012BB7" w:rsidRDefault="00012BB7" w:rsidP="009753A1">
      <w:pPr>
        <w:pStyle w:val="ListBullet"/>
        <w:spacing w:before="120" w:after="0" w:line="240" w:lineRule="auto"/>
        <w:ind w:left="357" w:hanging="357"/>
        <w:contextualSpacing w:val="0"/>
      </w:pPr>
      <w:r>
        <w:t>forms part of the funded project; and</w:t>
      </w:r>
    </w:p>
    <w:p w14:paraId="32CBA1E6" w14:textId="77777777" w:rsidR="00012BB7" w:rsidRDefault="00012BB7" w:rsidP="00820682">
      <w:pPr>
        <w:pStyle w:val="ListBullet"/>
        <w:spacing w:after="200" w:line="240" w:lineRule="auto"/>
        <w:ind w:left="357" w:hanging="357"/>
        <w:contextualSpacing w:val="0"/>
      </w:pPr>
      <w:r>
        <w:t>includes building work that will be undertaken by the different entity;</w:t>
      </w:r>
    </w:p>
    <w:p w14:paraId="281907DF" w14:textId="67A5B8D6" w:rsidR="003676E7" w:rsidRDefault="00012BB7" w:rsidP="009753A1">
      <w:pPr>
        <w:pStyle w:val="ListBullet"/>
        <w:numPr>
          <w:ilvl w:val="0"/>
          <w:numId w:val="0"/>
        </w:numPr>
        <w:spacing w:after="200"/>
      </w:pPr>
      <w:r>
        <w:t>will constitute a ‘head contract for building work’.</w:t>
      </w:r>
    </w:p>
    <w:p w14:paraId="44D83DA0" w14:textId="5647FEB3" w:rsidR="003676E7" w:rsidRPr="004B6E1E" w:rsidRDefault="003676E7" w:rsidP="00C5488D">
      <w:pPr>
        <w:spacing w:line="20" w:lineRule="atLeast"/>
      </w:pPr>
      <w:r w:rsidRPr="004B6E1E">
        <w:t xml:space="preserve">There may be more than one ‘head contract for building work’ under an individual project. For example, a </w:t>
      </w:r>
      <w:r w:rsidR="003D7DFB">
        <w:t>corporate Commonwealth entity</w:t>
      </w:r>
      <w:r w:rsidRPr="004B6E1E">
        <w:t xml:space="preserve"> may choose to undertake a project in three discr</w:t>
      </w:r>
      <w:r w:rsidR="009753A1" w:rsidRPr="004B6E1E">
        <w:t>ete</w:t>
      </w:r>
      <w:r w:rsidRPr="004B6E1E">
        <w:t xml:space="preserve"> stages as follows:</w:t>
      </w:r>
    </w:p>
    <w:p w14:paraId="36C10DF9" w14:textId="77777777" w:rsidR="003676E7" w:rsidRPr="004B6E1E" w:rsidRDefault="003676E7" w:rsidP="003676E7">
      <w:pPr>
        <w:pStyle w:val="ListBullet"/>
        <w:spacing w:line="240" w:lineRule="auto"/>
      </w:pPr>
      <w:r w:rsidRPr="004B6E1E">
        <w:t>Stage 1 – Demolitions and site clearance</w:t>
      </w:r>
    </w:p>
    <w:p w14:paraId="2741E40C" w14:textId="77777777" w:rsidR="003676E7" w:rsidRPr="004B6E1E" w:rsidRDefault="003676E7" w:rsidP="003676E7">
      <w:pPr>
        <w:pStyle w:val="ListBullet"/>
        <w:spacing w:line="240" w:lineRule="auto"/>
      </w:pPr>
      <w:r w:rsidRPr="004B6E1E">
        <w:t>Stage 2 – Establishment of Building foundations</w:t>
      </w:r>
    </w:p>
    <w:p w14:paraId="2DD34274" w14:textId="7C7530B8" w:rsidR="003676E7" w:rsidRPr="004B6E1E" w:rsidRDefault="003676E7" w:rsidP="00820682">
      <w:pPr>
        <w:pStyle w:val="ListBullet"/>
        <w:spacing w:after="200" w:line="240" w:lineRule="auto"/>
        <w:ind w:left="357" w:hanging="357"/>
        <w:contextualSpacing w:val="0"/>
      </w:pPr>
      <w:r w:rsidRPr="004B6E1E">
        <w:t>Stage 3 – Building construction</w:t>
      </w:r>
    </w:p>
    <w:p w14:paraId="1A803E06" w14:textId="2352D5E4" w:rsidR="003676E7" w:rsidRDefault="003676E7" w:rsidP="00C5488D">
      <w:pPr>
        <w:spacing w:line="20" w:lineRule="atLeast"/>
      </w:pPr>
      <w:r w:rsidRPr="004B6E1E">
        <w:t xml:space="preserve">If the </w:t>
      </w:r>
      <w:r w:rsidR="003D7DFB">
        <w:t>corporate Commonwealth entity</w:t>
      </w:r>
      <w:r w:rsidRPr="004B6E1E">
        <w:t xml:space="preserve"> issues separate tenders for each stage and engages different entities to undertake the building works under each stage, the separate contracts or funding agreements for each stage will all constitute a ‘head contract for building work’.</w:t>
      </w:r>
    </w:p>
    <w:p w14:paraId="023F9081" w14:textId="6292808B" w:rsidR="00FB6EE7" w:rsidRPr="00D9048E" w:rsidRDefault="000402DF" w:rsidP="005478D5">
      <w:pPr>
        <w:pStyle w:val="Heading1"/>
        <w:rPr>
          <w:sz w:val="24"/>
          <w:szCs w:val="24"/>
        </w:rPr>
      </w:pPr>
      <w:r w:rsidRPr="00D9048E">
        <w:rPr>
          <w:sz w:val="24"/>
          <w:szCs w:val="24"/>
        </w:rPr>
        <w:t>Examples of how the direct funding threshold appl</w:t>
      </w:r>
      <w:r w:rsidR="00FB6EE7" w:rsidRPr="00D9048E">
        <w:rPr>
          <w:sz w:val="24"/>
          <w:szCs w:val="24"/>
        </w:rPr>
        <w:t>ies</w:t>
      </w:r>
    </w:p>
    <w:p w14:paraId="644BD944" w14:textId="40651E13" w:rsidR="000402DF" w:rsidRPr="00F14753" w:rsidRDefault="000402DF" w:rsidP="00C5488D">
      <w:pPr>
        <w:spacing w:line="20" w:lineRule="atLeast"/>
        <w:rPr>
          <w:bCs/>
        </w:rPr>
      </w:pPr>
      <w:r>
        <w:rPr>
          <w:bCs/>
        </w:rPr>
        <w:t xml:space="preserve">The </w:t>
      </w:r>
      <w:r w:rsidRPr="00F14753">
        <w:rPr>
          <w:bCs/>
        </w:rPr>
        <w:t>following examples explain how th</w:t>
      </w:r>
      <w:r>
        <w:rPr>
          <w:bCs/>
        </w:rPr>
        <w:t xml:space="preserve">e Scheme thresholds are applied </w:t>
      </w:r>
      <w:r w:rsidRPr="00C5488D">
        <w:t>in</w:t>
      </w:r>
      <w:r w:rsidRPr="00F14753">
        <w:rPr>
          <w:bCs/>
        </w:rPr>
        <w:t xml:space="preserve"> practice:</w:t>
      </w:r>
    </w:p>
    <w:p w14:paraId="4CDAE1DD" w14:textId="77777777" w:rsidR="000402DF" w:rsidRPr="005C6784" w:rsidRDefault="000402DF" w:rsidP="000402DF">
      <w:pPr>
        <w:rPr>
          <w:bCs/>
          <w:u w:val="single"/>
        </w:rPr>
      </w:pPr>
      <w:r w:rsidRPr="005C6784">
        <w:rPr>
          <w:bCs/>
          <w:u w:val="single"/>
        </w:rPr>
        <w:t>Example 1:</w:t>
      </w:r>
    </w:p>
    <w:p w14:paraId="5F3E318E" w14:textId="55426690" w:rsidR="00447200" w:rsidRDefault="000402DF" w:rsidP="00C5488D">
      <w:pPr>
        <w:spacing w:line="20" w:lineRule="atLeast"/>
        <w:rPr>
          <w:bCs/>
        </w:rPr>
      </w:pPr>
      <w:r>
        <w:rPr>
          <w:bCs/>
        </w:rPr>
        <w:t>A</w:t>
      </w:r>
      <w:r w:rsidR="004B6E1E">
        <w:rPr>
          <w:bCs/>
        </w:rPr>
        <w:t xml:space="preserve"> corporate</w:t>
      </w:r>
      <w:r w:rsidR="00FB6EE7">
        <w:rPr>
          <w:bCs/>
        </w:rPr>
        <w:t xml:space="preserve"> Commonwealth entity issues a tender </w:t>
      </w:r>
      <w:r w:rsidR="00447200">
        <w:rPr>
          <w:bCs/>
        </w:rPr>
        <w:t>for the construction of a data centre which includes construction of the physical building plus the supply and installation of equipment. The expected cost of the project is around $10 million comprising $6 million for the cost of the building and $4 million for the equipment.</w:t>
      </w:r>
    </w:p>
    <w:p w14:paraId="66F89027" w14:textId="501CB346" w:rsidR="00447200" w:rsidRDefault="00447200" w:rsidP="00C5488D">
      <w:pPr>
        <w:spacing w:line="20" w:lineRule="atLeast"/>
        <w:rPr>
          <w:bCs/>
        </w:rPr>
      </w:pPr>
      <w:r w:rsidRPr="00F14753">
        <w:rPr>
          <w:bCs/>
        </w:rPr>
        <w:t xml:space="preserve">Two tenders are submitted. Tender one outlines that the full project will be </w:t>
      </w:r>
      <w:r w:rsidRPr="00C5488D">
        <w:t>undertaken</w:t>
      </w:r>
      <w:r w:rsidRPr="00F14753">
        <w:rPr>
          <w:bCs/>
        </w:rPr>
        <w:t xml:space="preserve"> by the tendering entity. Tender two indicates that the tendering entity will act as a project manager and separately subcontract the centre build and supply/installation of equipment.</w:t>
      </w:r>
    </w:p>
    <w:p w14:paraId="05DD8E20" w14:textId="61FB7262" w:rsidR="00AA3423" w:rsidRDefault="00447200" w:rsidP="00C5488D">
      <w:pPr>
        <w:spacing w:line="20" w:lineRule="atLeast"/>
        <w:rPr>
          <w:bCs/>
        </w:rPr>
      </w:pPr>
      <w:r w:rsidRPr="00F14753">
        <w:rPr>
          <w:bCs/>
        </w:rPr>
        <w:t xml:space="preserve">If tender one is selected, the entity would be required to be accredited under the Scheme to meet the legislative </w:t>
      </w:r>
      <w:r w:rsidRPr="00C5488D">
        <w:t>requirements</w:t>
      </w:r>
      <w:r w:rsidRPr="00F14753">
        <w:rPr>
          <w:bCs/>
        </w:rPr>
        <w:t>. This is because the contract that will be entered into is over $4</w:t>
      </w:r>
      <w:r>
        <w:rPr>
          <w:bCs/>
        </w:rPr>
        <w:t> </w:t>
      </w:r>
      <w:r w:rsidRPr="00F14753">
        <w:rPr>
          <w:bCs/>
        </w:rPr>
        <w:t>m</w:t>
      </w:r>
      <w:r>
        <w:rPr>
          <w:bCs/>
        </w:rPr>
        <w:t>illion</w:t>
      </w:r>
      <w:r w:rsidRPr="00F14753">
        <w:rPr>
          <w:bCs/>
        </w:rPr>
        <w:t xml:space="preserve"> and includes building work that will be undertaken by the entity signing the contract.</w:t>
      </w:r>
    </w:p>
    <w:p w14:paraId="0417C52A" w14:textId="6FCA7E66" w:rsidR="000402DF" w:rsidRPr="00F14753" w:rsidRDefault="00447200" w:rsidP="00C5488D">
      <w:pPr>
        <w:spacing w:line="20" w:lineRule="atLeast"/>
        <w:rPr>
          <w:bCs/>
        </w:rPr>
      </w:pPr>
      <w:r w:rsidRPr="00F14753">
        <w:rPr>
          <w:bCs/>
        </w:rPr>
        <w:t>If tender two is selected, the entity would not require accreditation</w:t>
      </w:r>
      <w:r>
        <w:rPr>
          <w:bCs/>
        </w:rPr>
        <w:t xml:space="preserve"> however</w:t>
      </w:r>
      <w:r w:rsidRPr="00F14753">
        <w:rPr>
          <w:bCs/>
        </w:rPr>
        <w:t xml:space="preserve"> </w:t>
      </w:r>
      <w:r w:rsidR="00AA3423">
        <w:rPr>
          <w:bCs/>
        </w:rPr>
        <w:t xml:space="preserve">it is likely that an accredited builder will need to be engaged to undertake the </w:t>
      </w:r>
      <w:r w:rsidR="00AA3423" w:rsidRPr="00C5488D">
        <w:t>building</w:t>
      </w:r>
      <w:r w:rsidR="00AA3423">
        <w:rPr>
          <w:bCs/>
        </w:rPr>
        <w:t xml:space="preserve"> construction. This will be dependent on the value of any </w:t>
      </w:r>
      <w:r>
        <w:rPr>
          <w:bCs/>
        </w:rPr>
        <w:t>‘head contract for building work’</w:t>
      </w:r>
      <w:r w:rsidRPr="00F14753">
        <w:rPr>
          <w:bCs/>
        </w:rPr>
        <w:t xml:space="preserve"> </w:t>
      </w:r>
      <w:r>
        <w:rPr>
          <w:bCs/>
        </w:rPr>
        <w:t>under the project</w:t>
      </w:r>
      <w:r w:rsidR="00AA3423">
        <w:rPr>
          <w:bCs/>
        </w:rPr>
        <w:t>. An accredited builder will be required if the contract value is at least</w:t>
      </w:r>
      <w:r w:rsidRPr="00F14753">
        <w:rPr>
          <w:bCs/>
        </w:rPr>
        <w:t xml:space="preserve"> $4</w:t>
      </w:r>
      <w:r>
        <w:rPr>
          <w:bCs/>
        </w:rPr>
        <w:t> </w:t>
      </w:r>
      <w:r w:rsidRPr="00F14753">
        <w:rPr>
          <w:bCs/>
        </w:rPr>
        <w:t>m</w:t>
      </w:r>
      <w:r>
        <w:rPr>
          <w:bCs/>
        </w:rPr>
        <w:t>illion</w:t>
      </w:r>
      <w:r w:rsidR="00AA3423">
        <w:rPr>
          <w:bCs/>
        </w:rPr>
        <w:t>.</w:t>
      </w:r>
    </w:p>
    <w:p w14:paraId="1EF382A0" w14:textId="4A18D844" w:rsidR="000402DF" w:rsidRPr="005C6784" w:rsidRDefault="000402DF" w:rsidP="000402DF">
      <w:pPr>
        <w:rPr>
          <w:bCs/>
          <w:u w:val="single"/>
        </w:rPr>
      </w:pPr>
      <w:r w:rsidRPr="005C6784">
        <w:rPr>
          <w:bCs/>
          <w:u w:val="single"/>
        </w:rPr>
        <w:t>Example 2:</w:t>
      </w:r>
    </w:p>
    <w:p w14:paraId="0A504209" w14:textId="24024E36" w:rsidR="005478D5" w:rsidRDefault="000402DF" w:rsidP="00C5488D">
      <w:pPr>
        <w:spacing w:line="20" w:lineRule="atLeast"/>
        <w:rPr>
          <w:bCs/>
        </w:rPr>
      </w:pPr>
      <w:r>
        <w:rPr>
          <w:bCs/>
        </w:rPr>
        <w:t xml:space="preserve">A </w:t>
      </w:r>
      <w:r w:rsidR="00AA3423">
        <w:rPr>
          <w:bCs/>
        </w:rPr>
        <w:t xml:space="preserve">Commonwealth </w:t>
      </w:r>
      <w:r w:rsidR="004B6E1E">
        <w:rPr>
          <w:bCs/>
        </w:rPr>
        <w:t>d</w:t>
      </w:r>
      <w:r w:rsidR="00AA3423">
        <w:rPr>
          <w:bCs/>
        </w:rPr>
        <w:t xml:space="preserve">epartment </w:t>
      </w:r>
      <w:proofErr w:type="gramStart"/>
      <w:r w:rsidR="00AA3423">
        <w:rPr>
          <w:bCs/>
        </w:rPr>
        <w:t>enters into</w:t>
      </w:r>
      <w:proofErr w:type="gramEnd"/>
      <w:r w:rsidR="00AA3423">
        <w:rPr>
          <w:bCs/>
        </w:rPr>
        <w:t xml:space="preserve"> a contract </w:t>
      </w:r>
      <w:r w:rsidR="00D906E2">
        <w:rPr>
          <w:bCs/>
        </w:rPr>
        <w:t xml:space="preserve">valued at $6m </w:t>
      </w:r>
      <w:r w:rsidR="00AA3423">
        <w:rPr>
          <w:bCs/>
        </w:rPr>
        <w:t xml:space="preserve">for the cleaning and maintenance of </w:t>
      </w:r>
      <w:r w:rsidR="00AA3423" w:rsidRPr="00C5488D">
        <w:t>its</w:t>
      </w:r>
      <w:r w:rsidR="00AA3423">
        <w:rPr>
          <w:bCs/>
        </w:rPr>
        <w:t xml:space="preserve"> office building. </w:t>
      </w:r>
      <w:r w:rsidR="005478D5">
        <w:rPr>
          <w:bCs/>
        </w:rPr>
        <w:t xml:space="preserve">Even though the maintenance component of the contract will involve minor building works, the contract is not considered to be a ‘head contract for building works’ because all maintenance activities </w:t>
      </w:r>
      <w:r w:rsidR="001C5F07">
        <w:rPr>
          <w:bCs/>
        </w:rPr>
        <w:t>will</w:t>
      </w:r>
      <w:r w:rsidR="005478D5">
        <w:rPr>
          <w:bCs/>
        </w:rPr>
        <w:t xml:space="preserve"> be subcontracted to another entity on a six</w:t>
      </w:r>
      <w:r w:rsidR="001F261A">
        <w:rPr>
          <w:bCs/>
        </w:rPr>
        <w:t>-</w:t>
      </w:r>
      <w:r w:rsidR="005478D5">
        <w:rPr>
          <w:bCs/>
        </w:rPr>
        <w:t>monthly</w:t>
      </w:r>
      <w:r w:rsidR="002B1578">
        <w:rPr>
          <w:bCs/>
        </w:rPr>
        <w:t xml:space="preserve"> basis</w:t>
      </w:r>
      <w:r w:rsidR="005478D5">
        <w:rPr>
          <w:bCs/>
        </w:rPr>
        <w:t>.</w:t>
      </w:r>
    </w:p>
    <w:p w14:paraId="5193D16C" w14:textId="2827B718" w:rsidR="000402DF" w:rsidRDefault="005478D5" w:rsidP="00C5488D">
      <w:pPr>
        <w:spacing w:line="20" w:lineRule="atLeast"/>
        <w:rPr>
          <w:bCs/>
        </w:rPr>
      </w:pPr>
      <w:r>
        <w:rPr>
          <w:bCs/>
        </w:rPr>
        <w:t>The</w:t>
      </w:r>
      <w:r w:rsidR="001C5F07">
        <w:rPr>
          <w:bCs/>
        </w:rPr>
        <w:t>se</w:t>
      </w:r>
      <w:r>
        <w:rPr>
          <w:bCs/>
        </w:rPr>
        <w:t xml:space="preserve"> subcontract</w:t>
      </w:r>
      <w:r w:rsidR="002B1578">
        <w:rPr>
          <w:bCs/>
        </w:rPr>
        <w:t xml:space="preserve">s </w:t>
      </w:r>
      <w:r w:rsidR="001C5F07">
        <w:rPr>
          <w:bCs/>
        </w:rPr>
        <w:t xml:space="preserve">will </w:t>
      </w:r>
      <w:proofErr w:type="gramStart"/>
      <w:r w:rsidR="001C5F07">
        <w:rPr>
          <w:bCs/>
        </w:rPr>
        <w:t>be</w:t>
      </w:r>
      <w:r w:rsidR="002B1578">
        <w:rPr>
          <w:bCs/>
        </w:rPr>
        <w:t xml:space="preserve"> considered to be</w:t>
      </w:r>
      <w:proofErr w:type="gramEnd"/>
      <w:r w:rsidR="002B1578">
        <w:rPr>
          <w:bCs/>
        </w:rPr>
        <w:t xml:space="preserve"> ‘head contracts for building work’</w:t>
      </w:r>
      <w:r w:rsidR="001C5F07">
        <w:rPr>
          <w:bCs/>
        </w:rPr>
        <w:t xml:space="preserve"> for the purposes of the Scheme</w:t>
      </w:r>
      <w:r w:rsidR="002B1578">
        <w:rPr>
          <w:bCs/>
        </w:rPr>
        <w:t xml:space="preserve">. In this case, an accredited builder will not be required to undertake the maintenance works as the value of </w:t>
      </w:r>
      <w:r w:rsidR="002B1578" w:rsidRPr="00C5488D">
        <w:t>the</w:t>
      </w:r>
      <w:r w:rsidR="002B1578">
        <w:rPr>
          <w:bCs/>
        </w:rPr>
        <w:t xml:space="preserve"> six-monthly contracts will normally be around $200,000</w:t>
      </w:r>
      <w:r w:rsidR="001C5F07">
        <w:rPr>
          <w:bCs/>
        </w:rPr>
        <w:t>.</w:t>
      </w:r>
    </w:p>
    <w:p w14:paraId="21F1250C" w14:textId="162315EA" w:rsidR="000402DF" w:rsidRPr="002B1578" w:rsidRDefault="002B1578" w:rsidP="002B1578">
      <w:pPr>
        <w:rPr>
          <w:bCs/>
          <w:u w:val="single"/>
        </w:rPr>
      </w:pPr>
      <w:r w:rsidRPr="002B1578">
        <w:rPr>
          <w:bCs/>
          <w:u w:val="single"/>
        </w:rPr>
        <w:t>Example 3:</w:t>
      </w:r>
    </w:p>
    <w:p w14:paraId="216743C7" w14:textId="613D294B" w:rsidR="002B1578" w:rsidRDefault="002B1578" w:rsidP="00C5488D">
      <w:pPr>
        <w:spacing w:line="20" w:lineRule="atLeast"/>
        <w:rPr>
          <w:bCs/>
        </w:rPr>
      </w:pPr>
      <w:r>
        <w:rPr>
          <w:bCs/>
        </w:rPr>
        <w:t xml:space="preserve">A </w:t>
      </w:r>
      <w:r w:rsidR="00953BF8">
        <w:rPr>
          <w:bCs/>
        </w:rPr>
        <w:t xml:space="preserve">corporate </w:t>
      </w:r>
      <w:r>
        <w:rPr>
          <w:bCs/>
        </w:rPr>
        <w:t xml:space="preserve">Commonwealth entity issues a tender to upgrade the fire systems within its building. The expected cost of </w:t>
      </w:r>
      <w:r w:rsidRPr="00C5488D">
        <w:t>the</w:t>
      </w:r>
      <w:r>
        <w:rPr>
          <w:bCs/>
        </w:rPr>
        <w:t xml:space="preserve"> project will be around $</w:t>
      </w:r>
      <w:r w:rsidR="001F261A">
        <w:rPr>
          <w:bCs/>
        </w:rPr>
        <w:t xml:space="preserve">8.5 million. A preferred tenderer is selected and the contract for works is expected to total $7.7 million. This contract </w:t>
      </w:r>
      <w:proofErr w:type="gramStart"/>
      <w:r w:rsidR="001F261A">
        <w:rPr>
          <w:bCs/>
        </w:rPr>
        <w:t>is considered to be</w:t>
      </w:r>
      <w:proofErr w:type="gramEnd"/>
      <w:r w:rsidR="001F261A">
        <w:rPr>
          <w:bCs/>
        </w:rPr>
        <w:t xml:space="preserve"> a ‘head contract for building work’ for the purposes of the </w:t>
      </w:r>
      <w:r w:rsidR="00567D51">
        <w:rPr>
          <w:bCs/>
        </w:rPr>
        <w:t>S</w:t>
      </w:r>
      <w:r w:rsidR="001F261A">
        <w:rPr>
          <w:bCs/>
        </w:rPr>
        <w:t>cheme and can only be entered into with an accredited builder as the value exceeds the threshold.</w:t>
      </w:r>
    </w:p>
    <w:p w14:paraId="382C4AE1" w14:textId="3AB30C40" w:rsidR="00286747" w:rsidRDefault="001F261A" w:rsidP="00286747">
      <w:pPr>
        <w:spacing w:line="20" w:lineRule="atLeast"/>
        <w:rPr>
          <w:bCs/>
        </w:rPr>
      </w:pPr>
      <w:r>
        <w:rPr>
          <w:bCs/>
        </w:rPr>
        <w:t xml:space="preserve">As the preferred tenderer is </w:t>
      </w:r>
      <w:r w:rsidRPr="00286747">
        <w:rPr>
          <w:bCs/>
        </w:rPr>
        <w:t>currently</w:t>
      </w:r>
      <w:r>
        <w:rPr>
          <w:bCs/>
        </w:rPr>
        <w:t xml:space="preserve"> in the process of applying for accreditation, the contract signing will need to be delayed until accreditation is achieved. Alternatively, the </w:t>
      </w:r>
      <w:r w:rsidR="00953BF8">
        <w:rPr>
          <w:bCs/>
        </w:rPr>
        <w:t xml:space="preserve">corporate </w:t>
      </w:r>
      <w:r>
        <w:rPr>
          <w:bCs/>
        </w:rPr>
        <w:t>Commonwealth entity will need to contract with another suitable tenderer that already holds accreditation under the Scheme.</w:t>
      </w:r>
    </w:p>
    <w:p w14:paraId="6424B2AA" w14:textId="6934691A" w:rsidR="00286747" w:rsidRDefault="00286747">
      <w:pPr>
        <w:rPr>
          <w:bCs/>
        </w:rPr>
      </w:pPr>
      <w:r>
        <w:rPr>
          <w:bCs/>
        </w:rPr>
        <w:br w:type="page"/>
      </w:r>
    </w:p>
    <w:p w14:paraId="3085E74B" w14:textId="77777777" w:rsidR="003A1E75" w:rsidRDefault="003A1E75" w:rsidP="00286747">
      <w:pPr>
        <w:spacing w:line="20" w:lineRule="atLeast"/>
        <w:rPr>
          <w:bCs/>
        </w:rPr>
        <w:sectPr w:rsidR="003A1E75" w:rsidSect="00E83D9B">
          <w:headerReference w:type="default" r:id="rId13"/>
          <w:footerReference w:type="default" r:id="rId14"/>
          <w:type w:val="continuous"/>
          <w:pgSz w:w="11906" w:h="16838"/>
          <w:pgMar w:top="1985" w:right="1440" w:bottom="1440" w:left="1440" w:header="708" w:footer="405" w:gutter="0"/>
          <w:cols w:num="2" w:space="708"/>
          <w:docGrid w:linePitch="360"/>
        </w:sectPr>
      </w:pPr>
    </w:p>
    <w:p w14:paraId="7F5A6BE6" w14:textId="2F83307C" w:rsidR="003A1E75" w:rsidRDefault="00A750D9" w:rsidP="00286747">
      <w:pPr>
        <w:spacing w:line="20" w:lineRule="atLeast"/>
        <w:rPr>
          <w:bCs/>
        </w:rPr>
        <w:sectPr w:rsidR="003A1E75" w:rsidSect="003A1E75">
          <w:pgSz w:w="11906" w:h="16838"/>
          <w:pgMar w:top="1985" w:right="1440" w:bottom="1440" w:left="1440" w:header="708" w:footer="405" w:gutter="0"/>
          <w:cols w:num="2" w:space="708"/>
          <w:docGrid w:linePitch="360"/>
        </w:sectPr>
      </w:pPr>
      <w:r w:rsidRPr="003676E7">
        <w:rPr>
          <w:bCs/>
          <w:noProof/>
          <w:lang w:eastAsia="en-AU"/>
        </w:rPr>
        <w:lastRenderedPageBreak/>
        <mc:AlternateContent>
          <mc:Choice Requires="wps">
            <w:drawing>
              <wp:anchor distT="0" distB="0" distL="114300" distR="114300" simplePos="0" relativeHeight="251654656" behindDoc="1" locked="0" layoutInCell="1" allowOverlap="1" wp14:anchorId="48E2DCCC" wp14:editId="736FB4AC">
                <wp:simplePos x="0" y="0"/>
                <wp:positionH relativeFrom="margin">
                  <wp:align>right</wp:align>
                </wp:positionH>
                <wp:positionV relativeFrom="paragraph">
                  <wp:posOffset>7676</wp:posOffset>
                </wp:positionV>
                <wp:extent cx="2695575" cy="3193774"/>
                <wp:effectExtent l="0" t="0" r="28575" b="26035"/>
                <wp:wrapNone/>
                <wp:docPr id="3" name="Text Box 3"/>
                <wp:cNvGraphicFramePr/>
                <a:graphic xmlns:a="http://schemas.openxmlformats.org/drawingml/2006/main">
                  <a:graphicData uri="http://schemas.microsoft.com/office/word/2010/wordprocessingShape">
                    <wps:wsp>
                      <wps:cNvSpPr txBox="1"/>
                      <wps:spPr>
                        <a:xfrm>
                          <a:off x="0" y="0"/>
                          <a:ext cx="2695575" cy="3193774"/>
                        </a:xfrm>
                        <a:prstGeom prst="rect">
                          <a:avLst/>
                        </a:prstGeom>
                        <a:noFill/>
                        <a:ln w="6350">
                          <a:solidFill>
                            <a:srgbClr val="C00000"/>
                          </a:solidFill>
                        </a:ln>
                      </wps:spPr>
                      <wps:txbx>
                        <w:txbxContent>
                          <w:p w14:paraId="1C21230D" w14:textId="792B2E9D" w:rsidR="003A1E75" w:rsidRPr="009C1375" w:rsidRDefault="003A1E75" w:rsidP="003A1E75">
                            <w:pPr>
                              <w:spacing w:line="240" w:lineRule="auto"/>
                              <w:rPr>
                                <w:szCs w:val="20"/>
                              </w:rPr>
                            </w:pPr>
                            <w:r w:rsidRPr="009C1375">
                              <w:rPr>
                                <w:szCs w:val="20"/>
                              </w:rPr>
                              <w:t xml:space="preserve">This fact sheet was last </w:t>
                            </w:r>
                            <w:r w:rsidRPr="00820682">
                              <w:rPr>
                                <w:szCs w:val="20"/>
                              </w:rPr>
                              <w:t xml:space="preserve">updated </w:t>
                            </w:r>
                            <w:r w:rsidR="00820682" w:rsidRPr="00953BF8">
                              <w:rPr>
                                <w:szCs w:val="20"/>
                              </w:rPr>
                              <w:t xml:space="preserve">15 </w:t>
                            </w:r>
                            <w:r w:rsidR="00953BF8" w:rsidRPr="00953BF8">
                              <w:rPr>
                                <w:szCs w:val="20"/>
                              </w:rPr>
                              <w:t>April</w:t>
                            </w:r>
                            <w:r w:rsidR="00820682" w:rsidRPr="00953BF8">
                              <w:rPr>
                                <w:szCs w:val="20"/>
                              </w:rPr>
                              <w:t xml:space="preserve"> 2021</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2DCCC" id="_x0000_t202" coordsize="21600,21600" o:spt="202" path="m,l,21600r21600,l21600,xe">
                <v:stroke joinstyle="miter"/>
                <v:path gradientshapeok="t" o:connecttype="rect"/>
              </v:shapetype>
              <v:shape id="Text Box 3" o:spid="_x0000_s1026" type="#_x0000_t202" style="position:absolute;margin-left:161.05pt;margin-top:.6pt;width:212.25pt;height:251.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" filled="f" strokecolor="#c00000" strokeweight=".5pt">
                <v:textbox>
                  <w:txbxContent>
                    <w:p w14:paraId="1C21230D" w14:textId="792B2E9D" w:rsidR="003A1E75" w:rsidRPr="009C1375" w:rsidRDefault="003A1E75" w:rsidP="003A1E75">
                      <w:pPr>
                        <w:spacing w:line="240" w:lineRule="auto"/>
                        <w:rPr>
                          <w:szCs w:val="20"/>
                        </w:rPr>
                      </w:pPr>
                      <w:r w:rsidRPr="009C1375">
                        <w:rPr>
                          <w:szCs w:val="20"/>
                        </w:rPr>
                        <w:t xml:space="preserve">This fact sheet was last </w:t>
                      </w:r>
                      <w:r w:rsidRPr="00820682">
                        <w:rPr>
                          <w:szCs w:val="20"/>
                        </w:rPr>
                        <w:t xml:space="preserve">updated </w:t>
                      </w:r>
                      <w:r w:rsidR="00820682" w:rsidRPr="00953BF8">
                        <w:rPr>
                          <w:szCs w:val="20"/>
                        </w:rPr>
                        <w:t xml:space="preserve">15 </w:t>
                      </w:r>
                      <w:r w:rsidR="00953BF8" w:rsidRPr="00953BF8">
                        <w:rPr>
                          <w:szCs w:val="20"/>
                        </w:rPr>
                        <w:t>April</w:t>
                      </w:r>
                      <w:r w:rsidR="00820682" w:rsidRPr="00953BF8">
                        <w:rPr>
                          <w:szCs w:val="20"/>
                        </w:rPr>
                        <w:t xml:space="preserve"> 2021</w:t>
                      </w:r>
                      <w:r w:rsidRPr="009C1375">
                        <w:rPr>
                          <w:szCs w:val="20"/>
                        </w:rPr>
                        <w:t>. The Office of the Federal Safety Commissioner (OFSC) has prepared this fact sheet for general information only, and it does not replace professional advice. This fact sheet is derived from a variety of sources and has been prepared without taking into account your individual objectives, situations or needs. You should consider your personal circumstances, and if appropriate, seek independent legal, financial or other professional advice before acting. The OFSC has endeavoured to ensure the currency and completeness of the information in this fact sheet at the time of publication; however, this information may change over time. The OFSC expressly disclaims any liability caused, whether directly or indirectly, to any person in respect of any action taken on the basis of the content of this fact sheet.</w:t>
                      </w:r>
                    </w:p>
                  </w:txbxContent>
                </v:textbox>
                <w10:wrap anchorx="margin"/>
              </v:shape>
            </w:pict>
          </mc:Fallback>
        </mc:AlternateContent>
      </w:r>
      <w:r w:rsidRPr="003676E7">
        <w:rPr>
          <w:bCs/>
          <w:noProof/>
          <w:lang w:eastAsia="en-AU"/>
        </w:rPr>
        <mc:AlternateContent>
          <mc:Choice Requires="wps">
            <w:drawing>
              <wp:anchor distT="0" distB="0" distL="114300" distR="114300" simplePos="0" relativeHeight="251647488" behindDoc="1" locked="0" layoutInCell="1" allowOverlap="1" wp14:anchorId="294B3BB6" wp14:editId="2EEC8C41">
                <wp:simplePos x="0" y="0"/>
                <wp:positionH relativeFrom="margin">
                  <wp:align>left</wp:align>
                </wp:positionH>
                <wp:positionV relativeFrom="paragraph">
                  <wp:posOffset>-276</wp:posOffset>
                </wp:positionV>
                <wp:extent cx="2705100" cy="1190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705100" cy="1190625"/>
                        </a:xfrm>
                        <a:prstGeom prst="rect">
                          <a:avLst/>
                        </a:prstGeom>
                        <a:solidFill>
                          <a:schemeClr val="bg1">
                            <a:lumMod val="20000"/>
                            <a:lumOff val="80000"/>
                          </a:schemeClr>
                        </a:solidFill>
                        <a:ln w="6350">
                          <a:noFill/>
                        </a:ln>
                      </wps:spPr>
                      <wps:txbx>
                        <w:txbxContent>
                          <w:p w14:paraId="73C01B6F" w14:textId="77777777" w:rsidR="00A951A5" w:rsidRPr="00DB79B9" w:rsidRDefault="00A951A5" w:rsidP="00A951A5">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2BE95BF3" w14:textId="77777777"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2793F09" w14:textId="77777777"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70741A3A" w14:textId="4D1519AF"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6739CA">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B3BB6" id="Text Box 1" o:spid="_x0000_s1027" type="#_x0000_t202" style="position:absolute;margin-left:0;margin-top:0;width:213pt;height:93.7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" fillcolor="#e5e5e5 [668]" stroked="f" strokeweight=".5pt">
                <v:textbox>
                  <w:txbxContent>
                    <w:p w14:paraId="73C01B6F" w14:textId="77777777" w:rsidR="00A951A5" w:rsidRPr="00DB79B9" w:rsidRDefault="00A951A5" w:rsidP="00A951A5">
                      <w:pPr>
                        <w:rPr>
                          <w:rFonts w:ascii="Calibri" w:eastAsiaTheme="majorEastAsia" w:hAnsi="Calibri" w:cstheme="majorBidi"/>
                          <w:b/>
                          <w:bCs/>
                          <w:sz w:val="28"/>
                          <w:szCs w:val="26"/>
                        </w:rPr>
                      </w:pPr>
                      <w:r w:rsidRPr="00DB79B9">
                        <w:rPr>
                          <w:rFonts w:ascii="Calibri" w:eastAsiaTheme="majorEastAsia" w:hAnsi="Calibri" w:cstheme="majorBidi"/>
                          <w:b/>
                          <w:bCs/>
                          <w:sz w:val="28"/>
                          <w:szCs w:val="26"/>
                        </w:rPr>
                        <w:t>F</w:t>
                      </w:r>
                      <w:r>
                        <w:rPr>
                          <w:rFonts w:ascii="Calibri" w:eastAsiaTheme="majorEastAsia" w:hAnsi="Calibri" w:cstheme="majorBidi"/>
                          <w:b/>
                          <w:bCs/>
                          <w:sz w:val="28"/>
                          <w:szCs w:val="26"/>
                        </w:rPr>
                        <w:t>or further information</w:t>
                      </w:r>
                      <w:r w:rsidRPr="00DB79B9">
                        <w:rPr>
                          <w:rFonts w:ascii="Calibri" w:eastAsiaTheme="majorEastAsia" w:hAnsi="Calibri" w:cstheme="majorBidi"/>
                          <w:b/>
                          <w:bCs/>
                          <w:sz w:val="28"/>
                          <w:szCs w:val="26"/>
                        </w:rPr>
                        <w:t>:</w:t>
                      </w:r>
                    </w:p>
                    <w:p w14:paraId="2BE95BF3" w14:textId="77777777"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32793F09" w14:textId="77777777"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Contact the FSC Assist Line on </w:t>
                      </w:r>
                      <w:r w:rsidRPr="00DB79B9">
                        <w:rPr>
                          <w:b/>
                          <w:szCs w:val="20"/>
                        </w:rPr>
                        <w:t>1800 652 500</w:t>
                      </w:r>
                    </w:p>
                    <w:p w14:paraId="70741A3A" w14:textId="4D1519AF" w:rsidR="00A951A5" w:rsidRPr="00DB79B9" w:rsidRDefault="00A951A5" w:rsidP="00A951A5">
                      <w:pPr>
                        <w:pStyle w:val="ListParagraph"/>
                        <w:numPr>
                          <w:ilvl w:val="0"/>
                          <w:numId w:val="23"/>
                        </w:numPr>
                        <w:spacing w:line="240" w:lineRule="auto"/>
                        <w:ind w:left="284" w:hanging="284"/>
                        <w:rPr>
                          <w:szCs w:val="20"/>
                        </w:rPr>
                      </w:pPr>
                      <w:r w:rsidRPr="00DB79B9">
                        <w:rPr>
                          <w:szCs w:val="20"/>
                        </w:rPr>
                        <w:t xml:space="preserve">Contact the OFSC via email at </w:t>
                      </w:r>
                      <w:r w:rsidRPr="00DB79B9">
                        <w:rPr>
                          <w:b/>
                          <w:szCs w:val="20"/>
                        </w:rPr>
                        <w:t>ofsc@</w:t>
                      </w:r>
                      <w:r w:rsidR="006739CA">
                        <w:rPr>
                          <w:b/>
                          <w:szCs w:val="20"/>
                        </w:rPr>
                        <w:t>dewr.gov.au</w:t>
                      </w:r>
                    </w:p>
                  </w:txbxContent>
                </v:textbox>
                <w10:wrap anchorx="margin"/>
              </v:shape>
            </w:pict>
          </mc:Fallback>
        </mc:AlternateContent>
      </w:r>
    </w:p>
    <w:bookmarkEnd w:id="0"/>
    <w:p w14:paraId="4628275A" w14:textId="77777777" w:rsidR="00D50894" w:rsidRDefault="00D50894" w:rsidP="00D50894">
      <w:pPr>
        <w:spacing w:after="0" w:line="0" w:lineRule="atLeast"/>
        <w:jc w:val="center"/>
        <w:rPr>
          <w:noProof/>
        </w:rPr>
      </w:pPr>
    </w:p>
    <w:p w14:paraId="5EADFEC7" w14:textId="476343AD" w:rsidR="00996523" w:rsidRPr="009077B4" w:rsidRDefault="00D50894" w:rsidP="00D50894">
      <w:pPr>
        <w:spacing w:after="0" w:line="0" w:lineRule="atLeast"/>
        <w:ind w:left="-284"/>
        <w:jc w:val="center"/>
      </w:pPr>
      <w:r w:rsidRPr="00D50894">
        <w:rPr>
          <w:rFonts w:ascii="+flowchart" w:hAnsi="+flowchart"/>
          <w:noProof/>
        </w:rPr>
        <w:drawing>
          <wp:inline distT="0" distB="0" distL="0" distR="0" wp14:anchorId="2AC37A15" wp14:editId="3EE1D45F">
            <wp:extent cx="6492057" cy="8288977"/>
            <wp:effectExtent l="0" t="0" r="4445" b="0"/>
            <wp:docPr id="4" name="Picture 4" descr="This flowchart assists Commonwealth Agencies to establish whether an accredited builder is required to undertake any building work that forms part of a project that is directly funded by th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flowchart assists Commonwealth Agencies to establish whether an accredited builder is required to undertake any building work that forms part of a project that is directly funded by the agency."/>
                    <pic:cNvPicPr/>
                  </pic:nvPicPr>
                  <pic:blipFill rotWithShape="1">
                    <a:blip r:embed="rId15"/>
                    <a:srcRect l="30959" t="8471" r="31870" b="9526"/>
                    <a:stretch/>
                  </pic:blipFill>
                  <pic:spPr bwMode="auto">
                    <a:xfrm>
                      <a:off x="0" y="0"/>
                      <a:ext cx="6562916" cy="8379449"/>
                    </a:xfrm>
                    <a:prstGeom prst="rect">
                      <a:avLst/>
                    </a:prstGeom>
                    <a:ln>
                      <a:noFill/>
                    </a:ln>
                    <a:extLst>
                      <a:ext uri="{53640926-AAD7-44D8-BBD7-CCE9431645EC}">
                        <a14:shadowObscured xmlns:a14="http://schemas.microsoft.com/office/drawing/2010/main"/>
                      </a:ext>
                    </a:extLst>
                  </pic:spPr>
                </pic:pic>
              </a:graphicData>
            </a:graphic>
          </wp:inline>
        </w:drawing>
      </w:r>
    </w:p>
    <w:sectPr w:rsidR="00996523" w:rsidRPr="009077B4" w:rsidSect="00C5488D">
      <w:headerReference w:type="default" r:id="rId16"/>
      <w:pgSz w:w="11906" w:h="16838"/>
      <w:pgMar w:top="1134" w:right="1134" w:bottom="1134"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D1E2" w14:textId="77777777" w:rsidR="00130923" w:rsidRDefault="00130923" w:rsidP="00130923">
      <w:pPr>
        <w:spacing w:after="0" w:line="240" w:lineRule="auto"/>
      </w:pPr>
      <w:r>
        <w:separator/>
      </w:r>
    </w:p>
  </w:endnote>
  <w:endnote w:type="continuationSeparator" w:id="0">
    <w:p w14:paraId="7D56831B"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owchar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F836"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0" locked="0" layoutInCell="1" allowOverlap="1" wp14:anchorId="0AAAA3A3" wp14:editId="4F546554">
          <wp:simplePos x="0" y="0"/>
          <wp:positionH relativeFrom="page">
            <wp:align>left</wp:align>
          </wp:positionH>
          <wp:positionV relativeFrom="paragraph">
            <wp:posOffset>-204470</wp:posOffset>
          </wp:positionV>
          <wp:extent cx="7663180" cy="706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3180" cy="70612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F5A0" w14:textId="00E59D38" w:rsidR="003242B9" w:rsidRDefault="002A261E"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9A541B">
          <w:rPr>
            <w:noProof/>
          </w:rPr>
          <w:t>5</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4F8D5" w14:textId="77777777" w:rsidR="00130923" w:rsidRDefault="00130923" w:rsidP="00130923">
      <w:pPr>
        <w:spacing w:after="0" w:line="240" w:lineRule="auto"/>
      </w:pPr>
      <w:r>
        <w:separator/>
      </w:r>
    </w:p>
  </w:footnote>
  <w:footnote w:type="continuationSeparator" w:id="0">
    <w:p w14:paraId="34C494EA"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D22D" w14:textId="2F8CCEC5" w:rsidR="00560CA0" w:rsidRDefault="00286747" w:rsidP="00560CA0">
    <w:pPr>
      <w:pStyle w:val="Header"/>
      <w:jc w:val="right"/>
    </w:pPr>
    <w:r w:rsidRPr="00286747">
      <w:t>Fact Sheet – Applying the Scheme to Directly funded building work</w:t>
    </w:r>
    <w:r w:rsidRPr="00286747" w:rsidDel="0028674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266D" w14:textId="1586F999" w:rsidR="003A1E75" w:rsidRDefault="003A1E75" w:rsidP="00560CA0">
    <w:pPr>
      <w:pStyle w:val="Header"/>
      <w:jc w:val="right"/>
    </w:pPr>
    <w:r>
      <w:t>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EE7D36"/>
    <w:multiLevelType w:val="hybridMultilevel"/>
    <w:tmpl w:val="FBD00CCC"/>
    <w:lvl w:ilvl="0" w:tplc="32763B48">
      <w:start w:val="1"/>
      <w:numFmt w:val="bullet"/>
      <w:pStyle w:val="OFSCBullets"/>
      <w:lvlText w:val=""/>
      <w:lvlJc w:val="left"/>
      <w:pPr>
        <w:ind w:left="720" w:hanging="360"/>
      </w:pPr>
      <w:rPr>
        <w:rFonts w:ascii="Wingdings" w:hAnsi="Wingdings"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0"/>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5"/>
  </w:num>
  <w:num w:numId="21">
    <w:abstractNumId w:val="15"/>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12BB7"/>
    <w:rsid w:val="00024E24"/>
    <w:rsid w:val="00034EAA"/>
    <w:rsid w:val="00036355"/>
    <w:rsid w:val="000402DF"/>
    <w:rsid w:val="000861A6"/>
    <w:rsid w:val="000B1D63"/>
    <w:rsid w:val="000E6BA0"/>
    <w:rsid w:val="000E6FBB"/>
    <w:rsid w:val="000F3BA2"/>
    <w:rsid w:val="001175BF"/>
    <w:rsid w:val="001262A0"/>
    <w:rsid w:val="00130923"/>
    <w:rsid w:val="00137CCA"/>
    <w:rsid w:val="001414F3"/>
    <w:rsid w:val="00143FCD"/>
    <w:rsid w:val="00147556"/>
    <w:rsid w:val="001940E3"/>
    <w:rsid w:val="001A377B"/>
    <w:rsid w:val="001B6467"/>
    <w:rsid w:val="001C5F07"/>
    <w:rsid w:val="001F261A"/>
    <w:rsid w:val="00223EB1"/>
    <w:rsid w:val="00236917"/>
    <w:rsid w:val="00242C02"/>
    <w:rsid w:val="00243D6B"/>
    <w:rsid w:val="002854D6"/>
    <w:rsid w:val="00286747"/>
    <w:rsid w:val="002A1999"/>
    <w:rsid w:val="002A261E"/>
    <w:rsid w:val="002B06E6"/>
    <w:rsid w:val="002B1578"/>
    <w:rsid w:val="002D271F"/>
    <w:rsid w:val="002D6386"/>
    <w:rsid w:val="00305B35"/>
    <w:rsid w:val="003242B9"/>
    <w:rsid w:val="00337C08"/>
    <w:rsid w:val="003676E7"/>
    <w:rsid w:val="00367BAD"/>
    <w:rsid w:val="003A1E75"/>
    <w:rsid w:val="003D4D85"/>
    <w:rsid w:val="003D67FC"/>
    <w:rsid w:val="003D7DFB"/>
    <w:rsid w:val="00406E5A"/>
    <w:rsid w:val="004262CE"/>
    <w:rsid w:val="00447200"/>
    <w:rsid w:val="00455B34"/>
    <w:rsid w:val="00472E9D"/>
    <w:rsid w:val="004741F0"/>
    <w:rsid w:val="0048762C"/>
    <w:rsid w:val="00497819"/>
    <w:rsid w:val="004B256F"/>
    <w:rsid w:val="004B6E1E"/>
    <w:rsid w:val="004C5911"/>
    <w:rsid w:val="004D54E7"/>
    <w:rsid w:val="004F5344"/>
    <w:rsid w:val="004F7D60"/>
    <w:rsid w:val="005113B6"/>
    <w:rsid w:val="00531817"/>
    <w:rsid w:val="005478D5"/>
    <w:rsid w:val="00554120"/>
    <w:rsid w:val="00560CA0"/>
    <w:rsid w:val="005624F3"/>
    <w:rsid w:val="00567D51"/>
    <w:rsid w:val="005811EF"/>
    <w:rsid w:val="005B0878"/>
    <w:rsid w:val="005C15C0"/>
    <w:rsid w:val="005D004E"/>
    <w:rsid w:val="005E4990"/>
    <w:rsid w:val="005F3976"/>
    <w:rsid w:val="00610654"/>
    <w:rsid w:val="00620DC5"/>
    <w:rsid w:val="0067026C"/>
    <w:rsid w:val="006739CA"/>
    <w:rsid w:val="006A3A7F"/>
    <w:rsid w:val="006A5BDD"/>
    <w:rsid w:val="006B1639"/>
    <w:rsid w:val="006C00F8"/>
    <w:rsid w:val="006C4B6A"/>
    <w:rsid w:val="006E2D49"/>
    <w:rsid w:val="007208ED"/>
    <w:rsid w:val="007414AF"/>
    <w:rsid w:val="007468FC"/>
    <w:rsid w:val="00755C89"/>
    <w:rsid w:val="00765ABB"/>
    <w:rsid w:val="00792CA3"/>
    <w:rsid w:val="007B2FDD"/>
    <w:rsid w:val="007F7F1E"/>
    <w:rsid w:val="00820682"/>
    <w:rsid w:val="0083468A"/>
    <w:rsid w:val="0084292A"/>
    <w:rsid w:val="00842D43"/>
    <w:rsid w:val="00856D1C"/>
    <w:rsid w:val="00876AC0"/>
    <w:rsid w:val="00893E0D"/>
    <w:rsid w:val="009077B4"/>
    <w:rsid w:val="009116EA"/>
    <w:rsid w:val="00923C84"/>
    <w:rsid w:val="00933671"/>
    <w:rsid w:val="00941CC6"/>
    <w:rsid w:val="009474ED"/>
    <w:rsid w:val="00953BF8"/>
    <w:rsid w:val="00972DD5"/>
    <w:rsid w:val="009753A1"/>
    <w:rsid w:val="00984879"/>
    <w:rsid w:val="00985632"/>
    <w:rsid w:val="00991B63"/>
    <w:rsid w:val="00996523"/>
    <w:rsid w:val="009A541B"/>
    <w:rsid w:val="009B2428"/>
    <w:rsid w:val="009B5CB7"/>
    <w:rsid w:val="009C54DA"/>
    <w:rsid w:val="00A31242"/>
    <w:rsid w:val="00A37E7A"/>
    <w:rsid w:val="00A52530"/>
    <w:rsid w:val="00A551BF"/>
    <w:rsid w:val="00A70524"/>
    <w:rsid w:val="00A72A8A"/>
    <w:rsid w:val="00A73406"/>
    <w:rsid w:val="00A750D9"/>
    <w:rsid w:val="00A904EC"/>
    <w:rsid w:val="00A951A5"/>
    <w:rsid w:val="00AA3423"/>
    <w:rsid w:val="00AC65DA"/>
    <w:rsid w:val="00B2722A"/>
    <w:rsid w:val="00B618BA"/>
    <w:rsid w:val="00BD2B2D"/>
    <w:rsid w:val="00C05B1D"/>
    <w:rsid w:val="00C05E74"/>
    <w:rsid w:val="00C10C19"/>
    <w:rsid w:val="00C5488D"/>
    <w:rsid w:val="00C5649C"/>
    <w:rsid w:val="00C56C25"/>
    <w:rsid w:val="00C65CB0"/>
    <w:rsid w:val="00C75486"/>
    <w:rsid w:val="00C8202C"/>
    <w:rsid w:val="00C92A5B"/>
    <w:rsid w:val="00CA46EC"/>
    <w:rsid w:val="00D1394D"/>
    <w:rsid w:val="00D44A32"/>
    <w:rsid w:val="00D50894"/>
    <w:rsid w:val="00D903FD"/>
    <w:rsid w:val="00D9048E"/>
    <w:rsid w:val="00D906E2"/>
    <w:rsid w:val="00D94BC5"/>
    <w:rsid w:val="00D96C08"/>
    <w:rsid w:val="00D97E8C"/>
    <w:rsid w:val="00DD0C46"/>
    <w:rsid w:val="00E314E9"/>
    <w:rsid w:val="00E83D9B"/>
    <w:rsid w:val="00EB31F6"/>
    <w:rsid w:val="00EC7CAF"/>
    <w:rsid w:val="00ED43D2"/>
    <w:rsid w:val="00EE3B8C"/>
    <w:rsid w:val="00EF1579"/>
    <w:rsid w:val="00EF4A38"/>
    <w:rsid w:val="00F5755C"/>
    <w:rsid w:val="00F7119F"/>
    <w:rsid w:val="00F80948"/>
    <w:rsid w:val="00F82270"/>
    <w:rsid w:val="00FA7E5B"/>
    <w:rsid w:val="00FB0AEA"/>
    <w:rsid w:val="00FB10CB"/>
    <w:rsid w:val="00FB6EE7"/>
    <w:rsid w:val="00FB7BFD"/>
    <w:rsid w:val="00FC35E5"/>
    <w:rsid w:val="00FE7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C4F0CA"/>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47"/>
    <w:rPr>
      <w:sz w:val="20"/>
    </w:rPr>
  </w:style>
  <w:style w:type="paragraph" w:styleId="Heading1">
    <w:name w:val="heading 1"/>
    <w:basedOn w:val="Heading2"/>
    <w:next w:val="Normal"/>
    <w:link w:val="Heading1Char"/>
    <w:uiPriority w:val="9"/>
    <w:qFormat/>
    <w:rsid w:val="00C05B1D"/>
    <w:pPr>
      <w:spacing w:before="0" w:line="20" w:lineRule="atLeast"/>
      <w:ind w:right="-119"/>
      <w:outlineLvl w:val="0"/>
    </w:p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C05B1D"/>
    <w:rPr>
      <w:rFonts w:ascii="Calibri" w:eastAsiaTheme="majorEastAsia" w:hAnsi="Calibri" w:cstheme="majorBidi"/>
      <w:b/>
      <w:bCs/>
      <w:sz w:val="28"/>
      <w:szCs w:val="26"/>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customStyle="1" w:styleId="OFSCBullets">
    <w:name w:val="OFSC Bullets"/>
    <w:basedOn w:val="Normal"/>
    <w:autoRedefine/>
    <w:rsid w:val="00A951A5"/>
    <w:pPr>
      <w:numPr>
        <w:numId w:val="19"/>
      </w:numPr>
      <w:suppressAutoHyphens/>
      <w:autoSpaceDE w:val="0"/>
      <w:autoSpaceDN w:val="0"/>
      <w:adjustRightInd w:val="0"/>
      <w:spacing w:after="100" w:line="240" w:lineRule="auto"/>
      <w:textAlignment w:val="center"/>
    </w:pPr>
    <w:rPr>
      <w:rFonts w:eastAsia="Times New Roman" w:cstheme="minorHAnsi"/>
      <w:color w:val="000000"/>
      <w:sz w:val="19"/>
      <w:szCs w:val="19"/>
      <w:lang w:val="en-GB" w:eastAsia="en-AU"/>
    </w:rPr>
  </w:style>
  <w:style w:type="paragraph" w:customStyle="1" w:styleId="OFSCHeading2">
    <w:name w:val="OFSC Heading 2"/>
    <w:basedOn w:val="Normal"/>
    <w:qFormat/>
    <w:rsid w:val="00A951A5"/>
    <w:pPr>
      <w:suppressAutoHyphens/>
      <w:autoSpaceDE w:val="0"/>
      <w:autoSpaceDN w:val="0"/>
      <w:adjustRightInd w:val="0"/>
      <w:spacing w:after="100" w:line="240" w:lineRule="auto"/>
      <w:textAlignment w:val="center"/>
    </w:pPr>
    <w:rPr>
      <w:rFonts w:eastAsia="Times New Roman" w:cstheme="minorHAnsi"/>
      <w:color w:val="C00000"/>
      <w:sz w:val="26"/>
      <w:szCs w:val="26"/>
      <w:lang w:val="en-GB" w:eastAsia="en-AU"/>
    </w:rPr>
  </w:style>
  <w:style w:type="paragraph" w:styleId="Revision">
    <w:name w:val="Revision"/>
    <w:hidden/>
    <w:uiPriority w:val="99"/>
    <w:semiHidden/>
    <w:rsid w:val="00C5488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owchar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FC35-762B-4A4B-B71D-0EFFEF8B900F}">
  <ds:schemaRefs>
    <ds:schemaRef ds:uri="http://purl.org/dc/dcmitype/"/>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2315CA-E6CB-4F8C-9941-82BDD4B3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64159-6E42-41B7-BA03-EC9324DCC775}">
  <ds:schemaRefs>
    <ds:schemaRef ds:uri="http://schemas.microsoft.com/sharepoint/v3/contenttype/forms"/>
  </ds:schemaRefs>
</ds:datastoreItem>
</file>

<file path=customXml/itemProps4.xml><?xml version="1.0" encoding="utf-8"?>
<ds:datastoreItem xmlns:ds="http://schemas.openxmlformats.org/officeDocument/2006/customXml" ds:itemID="{952C2563-7A91-4B35-AB93-C3BF64D8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1131</Words>
  <Characters>6128</Characters>
  <Application>Microsoft Office Word</Application>
  <DocSecurity>0</DocSecurity>
  <Lines>177</Lines>
  <Paragraphs>43</Paragraphs>
  <ScaleCrop>false</ScaleCrop>
  <HeadingPairs>
    <vt:vector size="2" baseType="variant">
      <vt:variant>
        <vt:lpstr>Title</vt:lpstr>
      </vt:variant>
      <vt:variant>
        <vt:i4>1</vt:i4>
      </vt:variant>
    </vt:vector>
  </HeadingPairs>
  <TitlesOfParts>
    <vt:vector size="1" baseType="lpstr">
      <vt:lpstr>Fact Sheet – Applying the Scheme to Directly funded building work</vt:lpstr>
    </vt:vector>
  </TitlesOfParts>
  <Company>Australian Government</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Applying the Scheme to Directly funded building work</dc:title>
  <dc:creator>Danny Thomas</dc:creator>
  <cp:lastModifiedBy>MATTON-JOHNSON,Elanor</cp:lastModifiedBy>
  <cp:revision>5</cp:revision>
  <cp:lastPrinted>2022-08-26T02:18:00Z</cp:lastPrinted>
  <dcterms:created xsi:type="dcterms:W3CDTF">2022-07-21T06:18:00Z</dcterms:created>
  <dcterms:modified xsi:type="dcterms:W3CDTF">2022-08-26T02:18:00Z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2022-07-21T06:18:39Z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3cc002ee-ccd9-4ed8-bf4f-58216d0103f9</vt:lpwstr>
  </property>
  <property fmtid="{D5CDD505-2E9C-101B-9397-08002B2CF9AE}" pid="9" name="MSIP_Label_79d889eb-932f-4752-8739-64d25806ef64_ContentBits">
    <vt:lpwstr>0</vt:lpwstr>
  </property>
</Properties>
</file>