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CDAB" w14:textId="77777777" w:rsidR="000E6FBB" w:rsidRDefault="00CB6293" w:rsidP="00F0443A">
      <w:pPr>
        <w:tabs>
          <w:tab w:val="left" w:pos="3810"/>
        </w:tabs>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4272F78E" wp14:editId="419EC919">
            <wp:simplePos x="0" y="0"/>
            <wp:positionH relativeFrom="page">
              <wp:posOffset>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r w:rsidR="00F0443A">
        <w:tab/>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55840085" w14:textId="77777777" w:rsidR="004D54E7" w:rsidRPr="00F120BE" w:rsidRDefault="00E56DD8" w:rsidP="00F120BE">
          <w:pPr>
            <w:pStyle w:val="Title"/>
            <w:ind w:left="1276" w:right="-119"/>
            <w:sectPr w:rsidR="004D54E7" w:rsidRPr="00F120BE" w:rsidSect="00923C84">
              <w:footerReference w:type="default" r:id="rId12"/>
              <w:type w:val="continuous"/>
              <w:pgSz w:w="11906" w:h="16838"/>
              <w:pgMar w:top="0" w:right="1440" w:bottom="1440" w:left="238" w:header="709" w:footer="567" w:gutter="0"/>
              <w:cols w:space="708"/>
              <w:docGrid w:linePitch="360"/>
            </w:sectPr>
          </w:pPr>
          <w:r>
            <w:rPr>
              <w:sz w:val="44"/>
              <w:szCs w:val="44"/>
            </w:rPr>
            <w:t>Strategies to Decrease Risk: Musculoskeletal Safety Initiatives</w:t>
          </w:r>
        </w:p>
      </w:sdtContent>
    </w:sdt>
    <w:bookmarkStart w:id="0" w:name="_Toc364946114" w:displacedByCustomXml="prev"/>
    <w:p w14:paraId="4414E1A2" w14:textId="77777777" w:rsidR="00F120BE" w:rsidRDefault="00F120BE" w:rsidP="00F120BE">
      <w:pPr>
        <w:pStyle w:val="OFSCHeading2"/>
      </w:pPr>
      <w:r>
        <w:t>Background</w:t>
      </w:r>
    </w:p>
    <w:p w14:paraId="7020CC3B" w14:textId="77777777" w:rsidR="00F120BE" w:rsidRDefault="00F120BE" w:rsidP="00F120BE">
      <w:pPr>
        <w:pStyle w:val="NoSpacing"/>
      </w:pPr>
      <w:r w:rsidRPr="000A38A2">
        <w:t xml:space="preserve">Musculoskeletal injuries are common in the building and construction industry. Despite the mechanisation of many tasks, heavy and awkward work persists and often leads to soft tissue injuries to the back, neck and shoulders. Such incidents don’t have the immediate visual impact of other injuries such as cuts and lacerations, bruising or fractures. Workers are also often treated by their regular GP off site and </w:t>
      </w:r>
      <w:proofErr w:type="gramStart"/>
      <w:r w:rsidRPr="000A38A2">
        <w:t>at a later date</w:t>
      </w:r>
      <w:proofErr w:type="gramEnd"/>
      <w:r w:rsidRPr="000A38A2">
        <w:t xml:space="preserve">. All of this means that many musculoskeletal injuries are out of sight; </w:t>
      </w:r>
      <w:proofErr w:type="gramStart"/>
      <w:r w:rsidRPr="000A38A2">
        <w:t>however</w:t>
      </w:r>
      <w:proofErr w:type="gramEnd"/>
      <w:r w:rsidRPr="000A38A2">
        <w:t xml:space="preserve"> they should </w:t>
      </w:r>
      <w:r>
        <w:t>never</w:t>
      </w:r>
      <w:r w:rsidRPr="000A38A2">
        <w:t xml:space="preserve"> be out of mind. These kinds of injuries often result in at least a couple of d</w:t>
      </w:r>
      <w:r>
        <w:t xml:space="preserve">ays off work for employees and </w:t>
      </w:r>
      <w:r w:rsidRPr="000A38A2">
        <w:t>can develop into chronic pain.</w:t>
      </w:r>
    </w:p>
    <w:p w14:paraId="3547DF1B" w14:textId="77777777" w:rsidR="00F120BE" w:rsidRPr="000A38A2" w:rsidRDefault="00F120BE" w:rsidP="00F120BE">
      <w:pPr>
        <w:pStyle w:val="NoSpacing"/>
      </w:pPr>
    </w:p>
    <w:p w14:paraId="2146E966" w14:textId="77777777" w:rsidR="00F120BE" w:rsidRDefault="00F120BE" w:rsidP="00F120BE">
      <w:pPr>
        <w:pStyle w:val="NoSpacing"/>
      </w:pPr>
      <w:r w:rsidRPr="000A38A2">
        <w:t>A reduction in musculoskeletal injuries has been identified as a national priority in the Australian Work Health and Safety Strategy 2012-2022. One of the Strategy’s three targets to be achieved by 2022 is “a reduction in the incidence rate of claims for musculoskeletal disorders resulting in one or more weeks off work of at least 30 per cent” (</w:t>
      </w:r>
      <w:r>
        <w:t xml:space="preserve">Australian Work Health and Safety Strategy 2012-2022, </w:t>
      </w:r>
      <w:r w:rsidRPr="000A38A2">
        <w:t xml:space="preserve">Safe Work Australia). </w:t>
      </w:r>
    </w:p>
    <w:p w14:paraId="3874B8AF" w14:textId="77777777" w:rsidR="00F120BE" w:rsidRPr="000A38A2" w:rsidRDefault="00F120BE" w:rsidP="00F120BE">
      <w:pPr>
        <w:pStyle w:val="NoSpacing"/>
      </w:pPr>
    </w:p>
    <w:p w14:paraId="70DDE81D" w14:textId="77777777" w:rsidR="00F120BE" w:rsidRDefault="00F120BE" w:rsidP="00F120BE">
      <w:pPr>
        <w:pStyle w:val="NoSpacing"/>
      </w:pPr>
      <w:proofErr w:type="gramStart"/>
      <w:r w:rsidRPr="000A38A2">
        <w:t>A number of</w:t>
      </w:r>
      <w:proofErr w:type="gramEnd"/>
      <w:r w:rsidRPr="000A38A2">
        <w:t xml:space="preserve"> accredited companies are implementing initiatives </w:t>
      </w:r>
      <w:r>
        <w:t>that</w:t>
      </w:r>
      <w:r w:rsidRPr="000A38A2">
        <w:t xml:space="preserve"> go beyond simple manual handling training</w:t>
      </w:r>
      <w:r>
        <w:t xml:space="preserve">, </w:t>
      </w:r>
      <w:r w:rsidRPr="000A38A2">
        <w:t xml:space="preserve">in order to reduce the number and severity of musculoskeletal injuries. The companies include Telstra Corporation Limited, Lend Lease Project Management &amp; Construction (Australia) Pty Limited, VOS Construction and Joinery Pty Ltd, and the Dinmore to Goodna Joint Venture (D2GJV) comprising </w:t>
      </w:r>
      <w:proofErr w:type="spellStart"/>
      <w:r w:rsidRPr="000A38A2">
        <w:t>Abigroup</w:t>
      </w:r>
      <w:proofErr w:type="spellEnd"/>
      <w:r w:rsidRPr="000A38A2">
        <w:t xml:space="preserve"> Contractors, Seymour Whyte Constructions and Fulton Hogan Industries. </w:t>
      </w:r>
    </w:p>
    <w:p w14:paraId="0C1E98E0" w14:textId="77777777" w:rsidR="00F120BE" w:rsidRDefault="00F120BE" w:rsidP="00F120BE">
      <w:pPr>
        <w:pStyle w:val="NoSpacing"/>
      </w:pPr>
    </w:p>
    <w:p w14:paraId="0CDB7211" w14:textId="77777777" w:rsidR="00F120BE" w:rsidRDefault="00F120BE" w:rsidP="00F120BE">
      <w:pPr>
        <w:pStyle w:val="OFSCHeading2"/>
      </w:pPr>
      <w:r>
        <w:t>Telstra Corporation Limited</w:t>
      </w:r>
    </w:p>
    <w:p w14:paraId="59B39B7D" w14:textId="77777777" w:rsidR="00F120BE" w:rsidRDefault="00F120BE" w:rsidP="00F120BE">
      <w:pPr>
        <w:pStyle w:val="NoSpacing"/>
      </w:pPr>
      <w:r w:rsidRPr="000A38A2">
        <w:t>Telstra sought to reduce the instance</w:t>
      </w:r>
      <w:r>
        <w:t>s</w:t>
      </w:r>
      <w:r w:rsidRPr="000A38A2">
        <w:t xml:space="preserve"> of musculoskeletal injuries through the launch of their ‘Musculoskeletal Health Strategy’ and ‘Ergo</w:t>
      </w:r>
      <w:r>
        <w:t xml:space="preserve">nomic Injury Early Response’. </w:t>
      </w:r>
      <w:r w:rsidRPr="000A38A2">
        <w:t xml:space="preserve">Telstra’s ‘Musculoskeletal Health Strategy’ aims to assist </w:t>
      </w:r>
      <w:r w:rsidRPr="000A38A2">
        <w:t xml:space="preserve">workers </w:t>
      </w:r>
      <w:r>
        <w:t xml:space="preserve">to </w:t>
      </w:r>
      <w:r w:rsidRPr="000A38A2">
        <w:t>understand how the task, the environment around them, their lifestyle and time demands can contribute to the risk of musculoskeletal injury. As one of Telstra’s WHS manager</w:t>
      </w:r>
      <w:r>
        <w:t>s</w:t>
      </w:r>
      <w:r w:rsidRPr="000A38A2">
        <w:t xml:space="preserve"> </w:t>
      </w:r>
      <w:proofErr w:type="gramStart"/>
      <w:r w:rsidRPr="000A38A2">
        <w:t>stated</w:t>
      </w:r>
      <w:proofErr w:type="gramEnd"/>
      <w:r w:rsidRPr="000A38A2">
        <w:t xml:space="preserve"> “it is about looking beyond the task being undertaken and taking ownership and action to remove the risk to their health”. </w:t>
      </w:r>
      <w:r>
        <w:t>T</w:t>
      </w:r>
      <w:r w:rsidRPr="000A38A2">
        <w:t>he ‘Ergonomic Injury Early Response’ initiative is designed to pre</w:t>
      </w:r>
      <w:r>
        <w:t>vent injury by intervening earl</w:t>
      </w:r>
      <w:r w:rsidRPr="000A38A2">
        <w:t xml:space="preserve">y and </w:t>
      </w:r>
      <w:r>
        <w:t>providing</w:t>
      </w:r>
      <w:r w:rsidRPr="000A38A2">
        <w:t xml:space="preserve"> workers </w:t>
      </w:r>
      <w:r>
        <w:t xml:space="preserve">with </w:t>
      </w:r>
      <w:r w:rsidRPr="000A38A2">
        <w:t xml:space="preserve">strategies to change the way they are working and provide them with the right tools and knowledge for removing or reducing soft tissue injury risks. It will also allow injured workers to return to pre-injury duties as soon as possible. </w:t>
      </w:r>
    </w:p>
    <w:p w14:paraId="5A60F5C8" w14:textId="77777777" w:rsidR="00F120BE" w:rsidRPr="000A38A2" w:rsidRDefault="00F120BE" w:rsidP="00F120BE">
      <w:pPr>
        <w:pStyle w:val="NoSpacing"/>
      </w:pPr>
    </w:p>
    <w:p w14:paraId="54C1DEA9" w14:textId="77777777" w:rsidR="00F120BE" w:rsidRPr="000A38A2" w:rsidRDefault="00F120BE" w:rsidP="00F120BE">
      <w:pPr>
        <w:pStyle w:val="NoSpacing"/>
      </w:pPr>
      <w:r w:rsidRPr="000A38A2">
        <w:t>Both of these initiatives are in the early stages of development and implementation</w:t>
      </w:r>
      <w:r>
        <w:t>;</w:t>
      </w:r>
      <w:r w:rsidRPr="000A38A2">
        <w:t xml:space="preserve"> </w:t>
      </w:r>
      <w:proofErr w:type="gramStart"/>
      <w:r w:rsidRPr="000A38A2">
        <w:t>however</w:t>
      </w:r>
      <w:proofErr w:type="gramEnd"/>
      <w:r w:rsidRPr="000A38A2">
        <w:t xml:space="preserve"> what has been </w:t>
      </w:r>
      <w:r>
        <w:t>observed thus far</w:t>
      </w:r>
      <w:r w:rsidRPr="000A38A2">
        <w:t xml:space="preserve"> is encouraging. Feedback from Telstra’s workforce has been very positive, </w:t>
      </w:r>
      <w:r>
        <w:t xml:space="preserve">and </w:t>
      </w:r>
      <w:r w:rsidRPr="000A38A2">
        <w:t>the material and guidance has been described as “usable, fresh and relevant”. The company intends to constantly measure incidents, injuries and return to work rates to establish if the desired reduction in musculoskeletal injuries is achieved.</w:t>
      </w:r>
    </w:p>
    <w:p w14:paraId="2C87CD8A" w14:textId="77777777" w:rsidR="00F120BE" w:rsidRDefault="00F120BE" w:rsidP="00F120BE">
      <w:pPr>
        <w:pStyle w:val="NoSpacing"/>
      </w:pPr>
    </w:p>
    <w:p w14:paraId="70E5004B" w14:textId="77777777" w:rsidR="00F120BE" w:rsidRDefault="00F120BE" w:rsidP="00F120BE">
      <w:pPr>
        <w:pStyle w:val="OFSCHeading2"/>
      </w:pPr>
      <w:r>
        <w:t>Lend Lease Project Management and Construction (Australia) Pty Limited</w:t>
      </w:r>
    </w:p>
    <w:p w14:paraId="1C49434C" w14:textId="77777777" w:rsidR="00F120BE" w:rsidRDefault="00F120BE" w:rsidP="00F120BE">
      <w:pPr>
        <w:pStyle w:val="NoSpacing"/>
      </w:pPr>
      <w:r w:rsidRPr="000A38A2">
        <w:t>Lend Lease ordinarily manages musculoskeletal safety through its Environmental Health and Safety system (EHS) on a risk assessment basis. However, recently the company’s New South Wales and Queensland Regional Business Units (RBUs) have begun their own local awareness programs.</w:t>
      </w:r>
    </w:p>
    <w:p w14:paraId="41A76C70" w14:textId="77777777" w:rsidR="00F120BE" w:rsidRPr="000A38A2" w:rsidRDefault="00F120BE" w:rsidP="00F120BE">
      <w:pPr>
        <w:pStyle w:val="NoSpacing"/>
        <w:rPr>
          <w:b/>
        </w:rPr>
      </w:pPr>
    </w:p>
    <w:p w14:paraId="4EF7D682" w14:textId="77777777" w:rsidR="00F120BE" w:rsidRDefault="00F120BE" w:rsidP="00F120BE">
      <w:pPr>
        <w:pStyle w:val="NoSpacing"/>
      </w:pPr>
      <w:r w:rsidRPr="000A38A2">
        <w:t>The NSW program comprises an awareness session with a local EHS manager for all apprentices, construction workers, foreman and selected construction managers, complemented by a practical session with an industry</w:t>
      </w:r>
      <w:r>
        <w:t>-</w:t>
      </w:r>
      <w:r w:rsidRPr="000A38A2">
        <w:t xml:space="preserve">recognised occupational therapist. The occupational therapist offers practical sessions on movement and bending while undertaking activities, and on improving general flexibility and range of </w:t>
      </w:r>
      <w:r w:rsidRPr="000A38A2">
        <w:lastRenderedPageBreak/>
        <w:t>movement. The idea is to give employees the tools they need to keep themselves injury free</w:t>
      </w:r>
      <w:r>
        <w:t>,</w:t>
      </w:r>
      <w:r w:rsidRPr="000A38A2">
        <w:t xml:space="preserve"> which in turn should reduce injury rates.</w:t>
      </w:r>
      <w:r>
        <w:t xml:space="preserve"> </w:t>
      </w:r>
    </w:p>
    <w:p w14:paraId="14ED208E" w14:textId="77777777" w:rsidR="00F120BE" w:rsidRDefault="00F120BE" w:rsidP="00F120BE">
      <w:pPr>
        <w:pStyle w:val="NoSpacing"/>
      </w:pPr>
      <w:r w:rsidRPr="00F35F78">
        <w:t>In 2012 the Queensland RBU partnered with the Queensland Government in the ‘</w:t>
      </w:r>
      <w:proofErr w:type="spellStart"/>
      <w:r w:rsidRPr="00F35F78">
        <w:t>PErforM</w:t>
      </w:r>
      <w:proofErr w:type="spellEnd"/>
      <w:r w:rsidRPr="00F35F78">
        <w:t xml:space="preserve"> Initiative</w:t>
      </w:r>
      <w:r>
        <w:t>’,</w:t>
      </w:r>
      <w:r w:rsidRPr="00F35F78">
        <w:t xml:space="preserve"> developed jointly by Workplace Health and Safety Queensland (WHSQ), the University of Queensland and the Curtin University of Technology.  </w:t>
      </w:r>
      <w:proofErr w:type="spellStart"/>
      <w:r w:rsidRPr="00F35F78">
        <w:t>PErforM</w:t>
      </w:r>
      <w:proofErr w:type="spellEnd"/>
      <w:r w:rsidRPr="00F35F78">
        <w:t xml:space="preserve"> is a simple manual task risk management program based on participative ergonomics</w:t>
      </w:r>
      <w:r>
        <w:t>:</w:t>
      </w:r>
      <w:r w:rsidRPr="00F35F78">
        <w:t xml:space="preserve"> an internationally recommended approach for reducing musculoskeletal disorders. The initiative provides a framework to help employers engage with workers at all levels to identify, assess and control manual task risks within their workplace</w:t>
      </w:r>
      <w:r>
        <w:t>.</w:t>
      </w:r>
      <w:r w:rsidRPr="00F35F78">
        <w:t xml:space="preserve"> </w:t>
      </w:r>
      <w:r>
        <w:t>T</w:t>
      </w:r>
      <w:r w:rsidRPr="00F35F78">
        <w:t xml:space="preserve">he </w:t>
      </w:r>
      <w:r>
        <w:t>philosophy</w:t>
      </w:r>
      <w:r w:rsidRPr="00F35F78">
        <w:t xml:space="preserve"> </w:t>
      </w:r>
      <w:r>
        <w:t>behind</w:t>
      </w:r>
      <w:r w:rsidRPr="00F35F78">
        <w:t xml:space="preserve"> </w:t>
      </w:r>
      <w:proofErr w:type="spellStart"/>
      <w:r w:rsidRPr="00F35F78">
        <w:t>PErforM</w:t>
      </w:r>
      <w:proofErr w:type="spellEnd"/>
      <w:r w:rsidRPr="00F35F78">
        <w:t xml:space="preserve"> is that </w:t>
      </w:r>
      <w:r>
        <w:t>workers are</w:t>
      </w:r>
      <w:r w:rsidRPr="00F35F78">
        <w:t xml:space="preserve"> the expert</w:t>
      </w:r>
      <w:r>
        <w:t>s</w:t>
      </w:r>
      <w:r w:rsidRPr="00F35F78">
        <w:t xml:space="preserve"> </w:t>
      </w:r>
      <w:r>
        <w:t>at</w:t>
      </w:r>
      <w:r w:rsidRPr="00F35F78">
        <w:t xml:space="preserve"> performing their </w:t>
      </w:r>
      <w:r>
        <w:t xml:space="preserve">own </w:t>
      </w:r>
      <w:r w:rsidRPr="00F35F78">
        <w:t xml:space="preserve">work tasks. </w:t>
      </w:r>
      <w:proofErr w:type="gramStart"/>
      <w:r w:rsidRPr="00F35F78">
        <w:t>A number of</w:t>
      </w:r>
      <w:proofErr w:type="gramEnd"/>
      <w:r w:rsidRPr="00F35F78">
        <w:t xml:space="preserve"> Lend Lease’s Queensland employees have been through the training ready for implementation. </w:t>
      </w:r>
    </w:p>
    <w:p w14:paraId="6806AD91" w14:textId="77777777" w:rsidR="00F120BE" w:rsidRPr="00F35F78" w:rsidRDefault="00F120BE" w:rsidP="00F120BE">
      <w:pPr>
        <w:pStyle w:val="NoSpacing"/>
      </w:pPr>
    </w:p>
    <w:p w14:paraId="633D868A" w14:textId="77777777" w:rsidR="00F120BE" w:rsidRDefault="00F120BE" w:rsidP="00F120BE">
      <w:pPr>
        <w:pStyle w:val="NoSpacing"/>
      </w:pPr>
      <w:r w:rsidRPr="000A38A2">
        <w:t xml:space="preserve">Lend Lease have so far found that all sessions in NSW received positive feedback from program participants. </w:t>
      </w:r>
      <w:r>
        <w:t>During the program p</w:t>
      </w:r>
      <w:r w:rsidRPr="000A38A2">
        <w:t xml:space="preserve">articipants were required to undertake a specific basic risk assessment of a hazardous manual task scenario. Results from a review of these assessments indicate a raised level of awareness on the part of participants. </w:t>
      </w:r>
    </w:p>
    <w:p w14:paraId="4A5F476E" w14:textId="77777777" w:rsidR="00F120BE" w:rsidRDefault="00F120BE" w:rsidP="00F120BE">
      <w:pPr>
        <w:pStyle w:val="NoSpacing"/>
      </w:pPr>
    </w:p>
    <w:p w14:paraId="444424FF" w14:textId="77777777" w:rsidR="00F120BE" w:rsidRDefault="00F120BE" w:rsidP="00F120BE">
      <w:pPr>
        <w:pStyle w:val="OFSCHeading2"/>
      </w:pPr>
      <w:r>
        <w:t>VOS Construction and Joinery Pty Ltd</w:t>
      </w:r>
      <w:r w:rsidRPr="00126BA2">
        <w:t xml:space="preserve"> </w:t>
      </w:r>
    </w:p>
    <w:p w14:paraId="054C22E8" w14:textId="77777777" w:rsidR="00F120BE" w:rsidRDefault="00F120BE" w:rsidP="00F120BE">
      <w:pPr>
        <w:pStyle w:val="NoSpacing"/>
      </w:pPr>
      <w:r w:rsidRPr="000A38A2">
        <w:t>In 2012 VOS Construction</w:t>
      </w:r>
      <w:r>
        <w:t xml:space="preserve"> and Joinery</w:t>
      </w:r>
      <w:r w:rsidRPr="000A38A2">
        <w:t xml:space="preserve"> reviewed its injury statistics and found that the majority involved “soft tissue” injuries to backs, necks and shoulders. In order to reduce the high number of musculoskeletal injuries VOS </w:t>
      </w:r>
      <w:r>
        <w:t>became</w:t>
      </w:r>
      <w:r w:rsidRPr="000A38A2">
        <w:t xml:space="preserve"> creative and implemented the ‘Back Care Sessions’, a </w:t>
      </w:r>
      <w:proofErr w:type="gramStart"/>
      <w:r w:rsidRPr="000A38A2">
        <w:t>two hour</w:t>
      </w:r>
      <w:proofErr w:type="gramEnd"/>
      <w:r w:rsidRPr="000A38A2">
        <w:t xml:space="preserve"> presentation by an exercise physiologist who has previously worked with the Australian Cricket Team.  The initiative provides a holistic approach which doesn’t </w:t>
      </w:r>
      <w:r>
        <w:t>limit itself to</w:t>
      </w:r>
      <w:r w:rsidRPr="000A38A2">
        <w:t xml:space="preserve"> </w:t>
      </w:r>
      <w:r>
        <w:t>focusing on</w:t>
      </w:r>
      <w:r w:rsidRPr="000A38A2">
        <w:t xml:space="preserve"> manual handling skills. Regardless of such skills</w:t>
      </w:r>
      <w:r>
        <w:t>,</w:t>
      </w:r>
      <w:r w:rsidRPr="000A38A2">
        <w:t xml:space="preserve"> if workers do not maintain a high level of fitness and strength</w:t>
      </w:r>
      <w:r>
        <w:t>—</w:t>
      </w:r>
      <w:r w:rsidRPr="000A38A2">
        <w:t>especially around their ‘core’ muscles</w:t>
      </w:r>
      <w:r>
        <w:t>—</w:t>
      </w:r>
      <w:r w:rsidRPr="000A38A2">
        <w:t xml:space="preserve">they can still </w:t>
      </w:r>
      <w:r>
        <w:t>suffer an injury</w:t>
      </w:r>
      <w:r w:rsidRPr="000A38A2">
        <w:t>.</w:t>
      </w:r>
    </w:p>
    <w:p w14:paraId="54E3D0B5" w14:textId="77777777" w:rsidR="00F120BE" w:rsidRPr="000A38A2" w:rsidRDefault="00F120BE" w:rsidP="00F120BE">
      <w:pPr>
        <w:pStyle w:val="NoSpacing"/>
      </w:pPr>
      <w:r w:rsidRPr="000A38A2">
        <w:t xml:space="preserve">  </w:t>
      </w:r>
    </w:p>
    <w:p w14:paraId="42CA92F6" w14:textId="77777777" w:rsidR="00F120BE" w:rsidRDefault="00F120BE" w:rsidP="00F120BE">
      <w:pPr>
        <w:pStyle w:val="NoSpacing"/>
      </w:pPr>
      <w:r w:rsidRPr="000A38A2">
        <w:t>VOS’s presentation equipped workers with strategies for maintaining the ‘curve’ in one’s back, something vital to preventing injury, along with daily exercises designed to keep the muscles that protect the back, neck and shoulders strong. Follow up one</w:t>
      </w:r>
      <w:r>
        <w:t>-</w:t>
      </w:r>
      <w:r w:rsidRPr="000A38A2">
        <w:t>on</w:t>
      </w:r>
      <w:r>
        <w:t>-</w:t>
      </w:r>
      <w:r w:rsidRPr="000A38A2">
        <w:t>one sessions were available for interested workers</w:t>
      </w:r>
      <w:r>
        <w:t>,</w:t>
      </w:r>
      <w:r w:rsidRPr="000A38A2">
        <w:t xml:space="preserve"> </w:t>
      </w:r>
      <w:r>
        <w:t>with</w:t>
      </w:r>
      <w:r w:rsidRPr="000A38A2">
        <w:t xml:space="preserve"> individual exercise plans devised. </w:t>
      </w:r>
    </w:p>
    <w:p w14:paraId="7074ADB9" w14:textId="77777777" w:rsidR="00F120BE" w:rsidRDefault="00F120BE" w:rsidP="00F120BE">
      <w:pPr>
        <w:pStyle w:val="NoSpacing"/>
      </w:pPr>
      <w:r w:rsidRPr="000A38A2">
        <w:t xml:space="preserve">VOS has received excellent anecdotal feedback from employees who had “niggles” here and there, </w:t>
      </w:r>
      <w:r>
        <w:t xml:space="preserve">with many stating that their pain has ceased </w:t>
      </w:r>
      <w:r w:rsidRPr="000A38A2">
        <w:t>after</w:t>
      </w:r>
      <w:r>
        <w:t xml:space="preserve"> </w:t>
      </w:r>
      <w:r>
        <w:t>they</w:t>
      </w:r>
      <w:r w:rsidRPr="000A38A2">
        <w:t xml:space="preserve"> </w:t>
      </w:r>
      <w:r>
        <w:t>implemented</w:t>
      </w:r>
      <w:r w:rsidRPr="000A38A2">
        <w:t xml:space="preserve"> their personal exercise program. VOS has also experienced a reduction in Lost Time Injuries (LTIs) so far in the 2012-2013 financial year; </w:t>
      </w:r>
      <w:r>
        <w:t>though</w:t>
      </w:r>
      <w:r w:rsidRPr="000A38A2">
        <w:t xml:space="preserve"> more data will be necessary to determine the role the ‘Back Care Sessions’ </w:t>
      </w:r>
      <w:r>
        <w:t xml:space="preserve">have played in this reduction. </w:t>
      </w:r>
    </w:p>
    <w:p w14:paraId="4739818D" w14:textId="77777777" w:rsidR="00F120BE" w:rsidRDefault="00F120BE" w:rsidP="00F120BE">
      <w:pPr>
        <w:pStyle w:val="NoSpacing"/>
      </w:pPr>
    </w:p>
    <w:p w14:paraId="042BD512" w14:textId="77777777" w:rsidR="00F120BE" w:rsidRDefault="00F120BE" w:rsidP="00F120BE">
      <w:pPr>
        <w:pStyle w:val="OFSCHeading2"/>
      </w:pPr>
      <w:r>
        <w:t xml:space="preserve">Dinmore to </w:t>
      </w:r>
      <w:proofErr w:type="spellStart"/>
      <w:r>
        <w:t>Goodna</w:t>
      </w:r>
      <w:proofErr w:type="spellEnd"/>
      <w:r>
        <w:t xml:space="preserve"> Joint Venture</w:t>
      </w:r>
    </w:p>
    <w:p w14:paraId="2099B4A9" w14:textId="77777777" w:rsidR="00F120BE" w:rsidRDefault="00F120BE" w:rsidP="00F120BE">
      <w:pPr>
        <w:pStyle w:val="NoSpacing"/>
      </w:pPr>
      <w:r w:rsidRPr="000A38A2">
        <w:t>The Dinmore to Goodna Joint Venture (D2GJV)</w:t>
      </w:r>
      <w:r>
        <w:t>—</w:t>
      </w:r>
      <w:r w:rsidRPr="000A38A2">
        <w:t>head contractor on the Ipswich Motorway upgrade in Brisbane’s west</w:t>
      </w:r>
      <w:r>
        <w:t>—</w:t>
      </w:r>
      <w:r w:rsidRPr="000A38A2">
        <w:t xml:space="preserve"> conducted an extensive risk assessment prior to commencing work on the project. This risk assessment revealed that</w:t>
      </w:r>
      <w:r>
        <w:t>,</w:t>
      </w:r>
      <w:r w:rsidRPr="000A38A2">
        <w:t xml:space="preserve"> based on previous experiences and statistics</w:t>
      </w:r>
      <w:r>
        <w:t>,</w:t>
      </w:r>
      <w:r w:rsidRPr="000A38A2">
        <w:t xml:space="preserve"> the most common injuries suffered by workers </w:t>
      </w:r>
      <w:r>
        <w:t>of the</w:t>
      </w:r>
      <w:r w:rsidRPr="000A38A2">
        <w:t xml:space="preserve"> joint venture companies were sprains and strains resulting from poor manual handling. </w:t>
      </w:r>
    </w:p>
    <w:p w14:paraId="43B475CF" w14:textId="77777777" w:rsidR="00F120BE" w:rsidRPr="000A38A2" w:rsidRDefault="00F120BE" w:rsidP="00F120BE">
      <w:pPr>
        <w:pStyle w:val="NoSpacing"/>
      </w:pPr>
    </w:p>
    <w:p w14:paraId="7D186BCC" w14:textId="77777777" w:rsidR="00F120BE" w:rsidRDefault="00F120BE" w:rsidP="00F120BE">
      <w:pPr>
        <w:pStyle w:val="NoSpacing"/>
      </w:pPr>
      <w:r w:rsidRPr="000A38A2">
        <w:t>To combat this risk D2GJV chose to implement Onsite Health Solutions’ flagship injury prevention program ‘</w:t>
      </w:r>
      <w:proofErr w:type="spellStart"/>
      <w:r w:rsidRPr="000A38A2">
        <w:t>SafeSpine</w:t>
      </w:r>
      <w:proofErr w:type="spellEnd"/>
      <w:r>
        <w:t>,</w:t>
      </w:r>
      <w:r w:rsidRPr="000A38A2">
        <w:t xml:space="preserve">’ due to its previous success in the mining and construction industry. </w:t>
      </w:r>
      <w:proofErr w:type="spellStart"/>
      <w:r w:rsidRPr="000A38A2">
        <w:t>SafeSpine</w:t>
      </w:r>
      <w:proofErr w:type="spellEnd"/>
      <w:r w:rsidRPr="000A38A2">
        <w:t xml:space="preserve"> is a musculoskeletal health education program specialising in injury prevention and reduction. </w:t>
      </w:r>
      <w:proofErr w:type="spellStart"/>
      <w:r w:rsidRPr="000A38A2">
        <w:t>SafeSpine</w:t>
      </w:r>
      <w:proofErr w:type="spellEnd"/>
      <w:r w:rsidRPr="000A38A2">
        <w:t xml:space="preserve"> aims to create a positive workplace culture, a statistical improvement in injury figures, and ultimately a health and safety focused workforce. </w:t>
      </w:r>
    </w:p>
    <w:p w14:paraId="2CEC7D01" w14:textId="77777777" w:rsidR="00F120BE" w:rsidRPr="000A38A2" w:rsidRDefault="00F120BE" w:rsidP="00F120BE">
      <w:pPr>
        <w:pStyle w:val="NoSpacing"/>
      </w:pPr>
    </w:p>
    <w:p w14:paraId="078447A3" w14:textId="77777777" w:rsidR="00F120BE" w:rsidRDefault="00F120BE" w:rsidP="00F120BE">
      <w:pPr>
        <w:pStyle w:val="NoSpacing"/>
      </w:pPr>
      <w:proofErr w:type="spellStart"/>
      <w:r>
        <w:t>SafeSpine</w:t>
      </w:r>
      <w:proofErr w:type="spellEnd"/>
      <w:r w:rsidRPr="000A38A2">
        <w:t xml:space="preserve"> initially involved a hands-on educational workshop to all on</w:t>
      </w:r>
      <w:r>
        <w:t>-</w:t>
      </w:r>
      <w:r w:rsidRPr="000A38A2">
        <w:t>site workers aimed at improving awareness</w:t>
      </w:r>
      <w:r>
        <w:t>,</w:t>
      </w:r>
      <w:r w:rsidRPr="000A38A2">
        <w:t xml:space="preserve"> </w:t>
      </w:r>
      <w:r>
        <w:t>the</w:t>
      </w:r>
      <w:r w:rsidRPr="000A38A2">
        <w:t xml:space="preserve"> understanding of safety</w:t>
      </w:r>
      <w:r>
        <w:t>,</w:t>
      </w:r>
      <w:r w:rsidRPr="000A38A2">
        <w:t xml:space="preserve"> and the importance of looking after their bodies. Through the workshop 15-20% of the D2GJV workforce became trained </w:t>
      </w:r>
      <w:proofErr w:type="spellStart"/>
      <w:r w:rsidRPr="000A38A2">
        <w:t>SafeSpine</w:t>
      </w:r>
      <w:proofErr w:type="spellEnd"/>
      <w:r w:rsidRPr="000A38A2">
        <w:t xml:space="preserve"> leaders, able to lead daily prestart exercises called </w:t>
      </w:r>
      <w:proofErr w:type="spellStart"/>
      <w:r w:rsidRPr="000A38A2">
        <w:t>SafeStarts</w:t>
      </w:r>
      <w:proofErr w:type="spellEnd"/>
      <w:r w:rsidRPr="000A38A2">
        <w:t xml:space="preserve">. The educational workshop has since been incorporated as a part of the mandatory site induction, setting an expectation to what would be best practice on site.  </w:t>
      </w:r>
    </w:p>
    <w:p w14:paraId="78BCFB7F" w14:textId="77777777" w:rsidR="00F120BE" w:rsidRPr="000A38A2" w:rsidRDefault="00F120BE" w:rsidP="00F120BE">
      <w:pPr>
        <w:pStyle w:val="NoSpacing"/>
      </w:pPr>
    </w:p>
    <w:p w14:paraId="05093BB0" w14:textId="77777777" w:rsidR="00F120BE" w:rsidRDefault="00F120BE" w:rsidP="00F120BE">
      <w:pPr>
        <w:pStyle w:val="NoSpacing"/>
      </w:pPr>
      <w:proofErr w:type="spellStart"/>
      <w:r w:rsidRPr="000A38A2">
        <w:t>SafeSpine</w:t>
      </w:r>
      <w:proofErr w:type="spellEnd"/>
      <w:r w:rsidRPr="000A38A2">
        <w:t xml:space="preserve"> also involved ‘specialists’, two of whom were on site five days a week, to ensure sustainability components of the program </w:t>
      </w:r>
      <w:r>
        <w:t>(</w:t>
      </w:r>
      <w:r w:rsidRPr="000A38A2">
        <w:t>such as leader up-skilling, competitions, regular field visits, first aid consultations, night shift visits as well as injury risk assessments and musculoskeletal rehabilitation</w:t>
      </w:r>
      <w:r>
        <w:t>)</w:t>
      </w:r>
      <w:r w:rsidRPr="000A38A2">
        <w:t xml:space="preserve"> remained ongoing.</w:t>
      </w:r>
    </w:p>
    <w:p w14:paraId="4E438EDA" w14:textId="77777777" w:rsidR="00F120BE" w:rsidRPr="000A38A2" w:rsidRDefault="00F120BE" w:rsidP="00F120BE">
      <w:pPr>
        <w:pStyle w:val="NoSpacing"/>
      </w:pPr>
      <w:r w:rsidRPr="000A38A2">
        <w:t xml:space="preserve"> </w:t>
      </w:r>
    </w:p>
    <w:p w14:paraId="10CC18B7" w14:textId="77777777" w:rsidR="00F120BE" w:rsidRDefault="00F120BE" w:rsidP="00F120BE">
      <w:pPr>
        <w:pStyle w:val="NoSpacing"/>
      </w:pPr>
      <w:r w:rsidRPr="00512F74">
        <w:t xml:space="preserve">The result of </w:t>
      </w:r>
      <w:proofErr w:type="spellStart"/>
      <w:r w:rsidRPr="00512F74">
        <w:t>SafeSpine</w:t>
      </w:r>
      <w:proofErr w:type="spellEnd"/>
      <w:r w:rsidRPr="00512F74">
        <w:t xml:space="preserve"> has been a cultural shift across the D2GJV workforce where, according to program managers within </w:t>
      </w:r>
      <w:proofErr w:type="spellStart"/>
      <w:r w:rsidRPr="00512F74">
        <w:t>Abigroup</w:t>
      </w:r>
      <w:proofErr w:type="spellEnd"/>
      <w:r w:rsidRPr="00512F74">
        <w:t xml:space="preserve"> Contractors, “the workers understood the importance of reporting a musculoskeletal concern or injury early, prior to it becoming more serious.”  </w:t>
      </w:r>
    </w:p>
    <w:p w14:paraId="00DCDDF4" w14:textId="77777777" w:rsidR="00F120BE" w:rsidRPr="002B5EDC" w:rsidRDefault="00F120BE" w:rsidP="00F120BE">
      <w:pPr>
        <w:pStyle w:val="OFSCHeading2"/>
        <w:rPr>
          <w:sz w:val="19"/>
          <w:szCs w:val="19"/>
        </w:rPr>
      </w:pPr>
    </w:p>
    <w:p w14:paraId="343B9955" w14:textId="77777777" w:rsidR="00F120BE" w:rsidRDefault="00F120BE" w:rsidP="00F120BE">
      <w:pPr>
        <w:pStyle w:val="OFSCHeading2"/>
      </w:pPr>
    </w:p>
    <w:p w14:paraId="6D76147D" w14:textId="77777777" w:rsidR="00F120BE" w:rsidRDefault="00F120BE" w:rsidP="00F120BE">
      <w:pPr>
        <w:pStyle w:val="OFSCHeading2"/>
      </w:pPr>
    </w:p>
    <w:p w14:paraId="65FCF71B" w14:textId="77777777" w:rsidR="00F120BE" w:rsidRPr="00E726DC" w:rsidRDefault="00F120BE" w:rsidP="00F120BE">
      <w:pPr>
        <w:pStyle w:val="OFSCHeading2"/>
      </w:pPr>
      <w:r w:rsidRPr="00F120BE">
        <w:rPr>
          <w:rFonts w:ascii="Calibri" w:hAnsi="Calibri" w:cs="Calibri"/>
          <w:noProof/>
          <w:sz w:val="24"/>
          <w:szCs w:val="24"/>
          <w:lang w:val="en-AU"/>
        </w:rPr>
        <mc:AlternateContent>
          <mc:Choice Requires="wps">
            <w:drawing>
              <wp:anchor distT="0" distB="0" distL="114300" distR="114300" simplePos="0" relativeHeight="251661312" behindDoc="1" locked="0" layoutInCell="1" allowOverlap="1" wp14:anchorId="5B41E7B4" wp14:editId="0A62BCBC">
                <wp:simplePos x="0" y="0"/>
                <wp:positionH relativeFrom="margin">
                  <wp:posOffset>2893060</wp:posOffset>
                </wp:positionH>
                <wp:positionV relativeFrom="paragraph">
                  <wp:posOffset>8890</wp:posOffset>
                </wp:positionV>
                <wp:extent cx="2686050" cy="47339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686050" cy="4733925"/>
                        </a:xfrm>
                        <a:prstGeom prst="rect">
                          <a:avLst/>
                        </a:prstGeom>
                        <a:noFill/>
                        <a:ln w="6350">
                          <a:solidFill>
                            <a:srgbClr val="C00000"/>
                          </a:solidFill>
                        </a:ln>
                      </wps:spPr>
                      <wps:txbx>
                        <w:txbxContent>
                          <w:p w14:paraId="03642F26" w14:textId="77777777" w:rsidR="00F120BE" w:rsidRPr="007E7126" w:rsidRDefault="00F120BE" w:rsidP="00F120BE">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357176EF" w14:textId="77777777" w:rsidR="00F120BE" w:rsidRPr="007E7126" w:rsidRDefault="00F120BE" w:rsidP="00F120BE">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5CEC7628" w14:textId="77777777" w:rsidR="00F120BE" w:rsidRPr="009C1375" w:rsidRDefault="00F120BE" w:rsidP="00F120BE">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E7B4" id="_x0000_t202" coordsize="21600,21600" o:spt="202" path="m,l,21600r21600,l21600,xe">
                <v:stroke joinstyle="miter"/>
                <v:path gradientshapeok="t" o:connecttype="rect"/>
              </v:shapetype>
              <v:shape id="Text Box 4" o:spid="_x0000_s1026" type="#_x0000_t202" style="position:absolute;margin-left:227.8pt;margin-top:.7pt;width:211.5pt;height:372.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" filled="f" strokecolor="#c00000" strokeweight=".5pt">
                <v:textbox>
                  <w:txbxContent>
                    <w:p w14:paraId="03642F26" w14:textId="77777777" w:rsidR="00F120BE" w:rsidRPr="007E7126" w:rsidRDefault="00F120BE" w:rsidP="00F120BE">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357176EF" w14:textId="77777777" w:rsidR="00F120BE" w:rsidRPr="007E7126" w:rsidRDefault="00F120BE" w:rsidP="00F120BE">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5CEC7628" w14:textId="77777777" w:rsidR="00F120BE" w:rsidRPr="009C1375" w:rsidRDefault="00F120BE" w:rsidP="00F120BE">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E726DC">
        <w:t>About these case studies</w:t>
      </w:r>
    </w:p>
    <w:p w14:paraId="34A0BA6D" w14:textId="77777777" w:rsidR="00F120BE" w:rsidRDefault="00F120BE" w:rsidP="00F120BE">
      <w:pPr>
        <w:pStyle w:val="NoSpacing"/>
      </w:pPr>
      <w:r w:rsidRPr="00EE4C8D">
        <w:t xml:space="preserve">The Australian Government is committed to improving the WHS standards for all workers on building and construction projects. </w:t>
      </w:r>
    </w:p>
    <w:p w14:paraId="151CA57E" w14:textId="77777777" w:rsidR="00F120BE" w:rsidRPr="00EE4C8D" w:rsidRDefault="00F120BE" w:rsidP="00F120BE">
      <w:pPr>
        <w:pStyle w:val="NoSpacing"/>
      </w:pPr>
    </w:p>
    <w:p w14:paraId="0705879A" w14:textId="77777777" w:rsidR="00F120BE" w:rsidRDefault="00F120BE" w:rsidP="00F120BE">
      <w:pPr>
        <w:pStyle w:val="NoSpacing"/>
      </w:pPr>
      <w:r w:rsidRPr="00EE4C8D">
        <w:t>These case studies have been developed to share practical ideas that can be adopted by industry to assist in their own management of WHS issues.</w:t>
      </w:r>
    </w:p>
    <w:p w14:paraId="7A2FD497" w14:textId="77777777" w:rsidR="00F120BE" w:rsidRPr="00EE4C8D" w:rsidRDefault="00F120BE" w:rsidP="00F120BE">
      <w:pPr>
        <w:pStyle w:val="NoSpacing"/>
      </w:pPr>
    </w:p>
    <w:p w14:paraId="17FBA729" w14:textId="77777777" w:rsidR="00F120BE" w:rsidRDefault="00F120BE" w:rsidP="00F120BE">
      <w:pPr>
        <w:pStyle w:val="NoSpacing"/>
      </w:pPr>
      <w:r w:rsidRPr="00EE4C8D">
        <w:t>The Federal Safety Commissioner consults widely with industry, WHS authorities and other relevant agencies to promote a cooperative approach to improving WHS performance.</w:t>
      </w:r>
    </w:p>
    <w:p w14:paraId="2C487E94" w14:textId="77777777" w:rsidR="00F120BE" w:rsidRPr="00EE4C8D" w:rsidRDefault="00F120BE" w:rsidP="00F120BE">
      <w:pPr>
        <w:pStyle w:val="NoSpacing"/>
      </w:pPr>
    </w:p>
    <w:p w14:paraId="742CAD75" w14:textId="77777777" w:rsidR="00C10C19" w:rsidRDefault="00F120BE" w:rsidP="00F120BE">
      <w:pPr>
        <w:pStyle w:val="Heading1"/>
        <w:ind w:right="-120"/>
        <w:rPr>
          <w:sz w:val="20"/>
          <w:szCs w:val="20"/>
        </w:rPr>
      </w:pPr>
      <w:r w:rsidRPr="00F120BE">
        <w:rPr>
          <w:rFonts w:eastAsia="Times New Roman" w:cs="Calibri"/>
          <w:noProof/>
          <w:sz w:val="24"/>
          <w:szCs w:val="24"/>
          <w:lang w:eastAsia="en-AU"/>
        </w:rPr>
        <mc:AlternateContent>
          <mc:Choice Requires="wps">
            <w:drawing>
              <wp:anchor distT="0" distB="0" distL="114300" distR="114300" simplePos="0" relativeHeight="251659264" behindDoc="1" locked="0" layoutInCell="1" allowOverlap="1" wp14:anchorId="08EF31B2" wp14:editId="5B523262">
                <wp:simplePos x="0" y="0"/>
                <wp:positionH relativeFrom="margin">
                  <wp:posOffset>26035</wp:posOffset>
                </wp:positionH>
                <wp:positionV relativeFrom="paragraph">
                  <wp:posOffset>553720</wp:posOffset>
                </wp:positionV>
                <wp:extent cx="27051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4F57315B" w14:textId="77777777" w:rsidR="00F120BE" w:rsidRPr="00F120BE" w:rsidRDefault="00F120BE" w:rsidP="00F120BE">
                            <w:pPr>
                              <w:rPr>
                                <w:rFonts w:ascii="Calibri" w:eastAsia="Times New Roman" w:hAnsi="Calibri" w:cs="Times New Roman"/>
                                <w:b/>
                                <w:bCs/>
                                <w:sz w:val="28"/>
                                <w:szCs w:val="26"/>
                              </w:rPr>
                            </w:pPr>
                            <w:r w:rsidRPr="00F120BE">
                              <w:rPr>
                                <w:rFonts w:ascii="Calibri" w:eastAsia="Times New Roman" w:hAnsi="Calibri" w:cs="Times New Roman"/>
                                <w:b/>
                                <w:bCs/>
                                <w:sz w:val="28"/>
                                <w:szCs w:val="26"/>
                              </w:rPr>
                              <w:t>For further information:</w:t>
                            </w:r>
                          </w:p>
                          <w:p w14:paraId="5F0D54FC" w14:textId="77777777"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D823B17" w14:textId="77777777"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28219848" w14:textId="2096C354"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E45531">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F31B2" id="_x0000_t202" coordsize="21600,21600" o:spt="202" path="m,l,21600r21600,l21600,xe">
                <v:stroke joinstyle="miter"/>
                <v:path gradientshapeok="t" o:connecttype="rect"/>
              </v:shapetype>
              <v:shape id="Text Box 3" o:spid="_x0000_s1027" type="#_x0000_t202" style="position:absolute;margin-left:2.05pt;margin-top:43.6pt;width:213pt;height: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" fillcolor="#d9d9d9" stroked="f" strokeweight=".5pt">
                <v:textbox>
                  <w:txbxContent>
                    <w:p w14:paraId="4F57315B" w14:textId="77777777" w:rsidR="00F120BE" w:rsidRPr="00F120BE" w:rsidRDefault="00F120BE" w:rsidP="00F120BE">
                      <w:pPr>
                        <w:rPr>
                          <w:rFonts w:ascii="Calibri" w:eastAsia="Times New Roman" w:hAnsi="Calibri" w:cs="Times New Roman"/>
                          <w:b/>
                          <w:bCs/>
                          <w:sz w:val="28"/>
                          <w:szCs w:val="26"/>
                        </w:rPr>
                      </w:pPr>
                      <w:r w:rsidRPr="00F120BE">
                        <w:rPr>
                          <w:rFonts w:ascii="Calibri" w:eastAsia="Times New Roman" w:hAnsi="Calibri" w:cs="Times New Roman"/>
                          <w:b/>
                          <w:bCs/>
                          <w:sz w:val="28"/>
                          <w:szCs w:val="26"/>
                        </w:rPr>
                        <w:t>For further information:</w:t>
                      </w:r>
                    </w:p>
                    <w:p w14:paraId="5F0D54FC" w14:textId="77777777"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D823B17" w14:textId="77777777"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28219848" w14:textId="2096C354" w:rsidR="00F120BE" w:rsidRPr="00DB79B9" w:rsidRDefault="00F120BE" w:rsidP="00F120BE">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E45531">
                        <w:rPr>
                          <w:b/>
                          <w:szCs w:val="20"/>
                        </w:rPr>
                        <w:t>dewr.gov.au</w:t>
                      </w:r>
                    </w:p>
                  </w:txbxContent>
                </v:textbox>
                <w10:wrap anchorx="margin"/>
              </v:shape>
            </w:pict>
          </mc:Fallback>
        </mc:AlternateContent>
      </w:r>
      <w:r w:rsidRPr="00F120BE">
        <w:rPr>
          <w:sz w:val="20"/>
          <w:szCs w:val="20"/>
        </w:rPr>
        <w:t>The vision of the Federal Safety Commissioner is a building and construction industry where no one is harmed.</w:t>
      </w:r>
      <w:bookmarkEnd w:id="0"/>
    </w:p>
    <w:p w14:paraId="71075C75" w14:textId="77777777" w:rsidR="00F120BE" w:rsidRPr="00F120BE" w:rsidRDefault="00F120BE" w:rsidP="00F120BE"/>
    <w:sectPr w:rsidR="00F120BE" w:rsidRPr="00F120BE" w:rsidSect="00F120B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E4AC" w14:textId="77777777" w:rsidR="00130923" w:rsidRDefault="00130923" w:rsidP="00130923">
      <w:pPr>
        <w:spacing w:after="0" w:line="240" w:lineRule="auto"/>
      </w:pPr>
      <w:r>
        <w:separator/>
      </w:r>
    </w:p>
  </w:endnote>
  <w:endnote w:type="continuationSeparator" w:id="0">
    <w:p w14:paraId="16861D59"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68B0"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57389CCD" wp14:editId="31E448A7">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F0443A">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C225" w14:textId="77777777" w:rsidR="003242B9" w:rsidRDefault="00F120BE"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1DC402E4" wp14:editId="03AF9E9A">
          <wp:simplePos x="0" y="0"/>
          <wp:positionH relativeFrom="page">
            <wp:align>left</wp:align>
          </wp:positionH>
          <wp:positionV relativeFrom="paragraph">
            <wp:posOffset>-305435</wp:posOffset>
          </wp:positionV>
          <wp:extent cx="76644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F0443A">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C6B2" w14:textId="77777777" w:rsidR="00130923" w:rsidRDefault="00130923" w:rsidP="00130923">
      <w:pPr>
        <w:spacing w:after="0" w:line="240" w:lineRule="auto"/>
      </w:pPr>
      <w:r>
        <w:separator/>
      </w:r>
    </w:p>
  </w:footnote>
  <w:footnote w:type="continuationSeparator" w:id="0">
    <w:p w14:paraId="1D962B93"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678F" w14:textId="77777777" w:rsidR="00560CA0" w:rsidRDefault="00F120BE" w:rsidP="00560CA0">
    <w:pPr>
      <w:pStyle w:val="Header"/>
      <w:jc w:val="right"/>
    </w:pPr>
    <w:r>
      <w:t xml:space="preserve">Strategies to Decrease Risk: </w:t>
    </w:r>
    <w:r w:rsidRPr="00F120BE">
      <w:t>Mus</w:t>
    </w:r>
    <w:r>
      <w:t>culoskeletal Safety Initiatives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36917"/>
    <w:rsid w:val="00243D6B"/>
    <w:rsid w:val="002854D6"/>
    <w:rsid w:val="002B06E6"/>
    <w:rsid w:val="002D271F"/>
    <w:rsid w:val="002D6386"/>
    <w:rsid w:val="00305B35"/>
    <w:rsid w:val="003242B9"/>
    <w:rsid w:val="00367BAD"/>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A5BDD"/>
    <w:rsid w:val="006E2D49"/>
    <w:rsid w:val="007468FC"/>
    <w:rsid w:val="00765ABB"/>
    <w:rsid w:val="00792CA3"/>
    <w:rsid w:val="007B2FDD"/>
    <w:rsid w:val="007F7F1E"/>
    <w:rsid w:val="0083468A"/>
    <w:rsid w:val="0084292A"/>
    <w:rsid w:val="00842D43"/>
    <w:rsid w:val="00856D1C"/>
    <w:rsid w:val="00876AC0"/>
    <w:rsid w:val="008D25ED"/>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B2722A"/>
    <w:rsid w:val="00B618BA"/>
    <w:rsid w:val="00C0561B"/>
    <w:rsid w:val="00C05E74"/>
    <w:rsid w:val="00C10C19"/>
    <w:rsid w:val="00C5649C"/>
    <w:rsid w:val="00C75486"/>
    <w:rsid w:val="00C8202C"/>
    <w:rsid w:val="00C92A5B"/>
    <w:rsid w:val="00CA46EC"/>
    <w:rsid w:val="00CB6293"/>
    <w:rsid w:val="00D01397"/>
    <w:rsid w:val="00D1394D"/>
    <w:rsid w:val="00D3397A"/>
    <w:rsid w:val="00D903FD"/>
    <w:rsid w:val="00D94BC5"/>
    <w:rsid w:val="00D96C08"/>
    <w:rsid w:val="00E45531"/>
    <w:rsid w:val="00E56DD8"/>
    <w:rsid w:val="00ED43D2"/>
    <w:rsid w:val="00EE3B8C"/>
    <w:rsid w:val="00EF4A38"/>
    <w:rsid w:val="00F0443A"/>
    <w:rsid w:val="00F120BE"/>
    <w:rsid w:val="00F5755C"/>
    <w:rsid w:val="00F80080"/>
    <w:rsid w:val="00FB0AEA"/>
    <w:rsid w:val="00FB10CB"/>
    <w:rsid w:val="00FF7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A73692"/>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Heading2">
    <w:name w:val="OFSC Heading 2"/>
    <w:basedOn w:val="Normal"/>
    <w:qFormat/>
    <w:rsid w:val="00F120BE"/>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F25AC-AB6E-4CFC-A762-234F462F4A3F}">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CB73E1-9969-41B5-9568-A7829AD8CA0E}">
  <ds:schemaRefs>
    <ds:schemaRef ds:uri="http://schemas.openxmlformats.org/officeDocument/2006/bibliography"/>
  </ds:schemaRefs>
</ds:datastoreItem>
</file>

<file path=customXml/itemProps3.xml><?xml version="1.0" encoding="utf-8"?>
<ds:datastoreItem xmlns:ds="http://schemas.openxmlformats.org/officeDocument/2006/customXml" ds:itemID="{CBC9B12F-D176-4A7B-9AD5-259A8B6FE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03F4D-1C9D-4087-AD6B-D95E6162D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1348</Words>
  <Characters>7717</Characters>
  <Application>Microsoft Office Word</Application>
  <DocSecurity>0</DocSecurity>
  <Lines>225</Lines>
  <Paragraphs>28</Paragraphs>
  <ScaleCrop>false</ScaleCrop>
  <HeadingPairs>
    <vt:vector size="2" baseType="variant">
      <vt:variant>
        <vt:lpstr>Title</vt:lpstr>
      </vt:variant>
      <vt:variant>
        <vt:i4>1</vt:i4>
      </vt:variant>
    </vt:vector>
  </HeadingPairs>
  <TitlesOfParts>
    <vt:vector size="1" baseType="lpstr">
      <vt:lpstr>Strategies to Decrease Risk: Musculoskeletal Safety Initiatives</vt:lpstr>
    </vt:vector>
  </TitlesOfParts>
  <Company>Australian Government</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to Decrease Risk: Musculoskeletal Safety Initiatives</dc:title>
  <dc:creator>Danny Thomas</dc:creator>
  <cp:lastModifiedBy>MATTON-JOHNSON,Elanor</cp:lastModifiedBy>
  <cp:revision>5</cp:revision>
  <cp:lastPrinted>2022-08-26T03:58:00Z</cp:lastPrinted>
  <dcterms:created xsi:type="dcterms:W3CDTF">2022-08-09T04:17:00Z</dcterms:created>
  <dcterms:modified xsi:type="dcterms:W3CDTF">2022-08-26T03:58:00Z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2022-08-09T04:17:30Z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03293d2e-15f8-4bac-b666-bacc611e48e4</vt:lpwstr>
  </property>
  <property fmtid="{D5CDD505-2E9C-101B-9397-08002B2CF9AE}" pid="9" name="MSIP_Label_79d889eb-932f-4752-8739-64d25806ef64_ContentBits">
    <vt:lpwstr>0</vt:lpwstr>
  </property>
</Properties>
</file>