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83797" w14:textId="77777777" w:rsidR="000E6FBB" w:rsidRDefault="00975109" w:rsidP="00F5755C">
      <w:pPr>
        <w:ind w:left="-238"/>
      </w:pPr>
      <w:r>
        <w:rPr>
          <w:noProof/>
          <w:lang w:eastAsia="en-AU"/>
        </w:rPr>
        <w:drawing>
          <wp:inline distT="0" distB="0" distL="0" distR="0" wp14:anchorId="68375B4C" wp14:editId="5C7DF3A7">
            <wp:extent cx="7608570" cy="14115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8570" cy="1411584"/>
                    </a:xfrm>
                    <a:prstGeom prst="rect">
                      <a:avLst/>
                    </a:prstGeom>
                    <a:noFill/>
                  </pic:spPr>
                </pic:pic>
              </a:graphicData>
            </a:graphic>
          </wp:inline>
        </w:drawing>
      </w:r>
    </w:p>
    <w:sdt>
      <w:sdtPr>
        <w:rPr>
          <w:sz w:val="44"/>
          <w:szCs w:val="44"/>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27599086" w14:textId="77777777" w:rsidR="00C10C19" w:rsidRDefault="00EC7566" w:rsidP="00F5755C">
          <w:pPr>
            <w:pStyle w:val="Title"/>
            <w:ind w:left="1276" w:right="-119"/>
          </w:pPr>
          <w:r>
            <w:rPr>
              <w:sz w:val="44"/>
              <w:szCs w:val="44"/>
            </w:rPr>
            <w:t xml:space="preserve">Fall protection in formwork: </w:t>
          </w:r>
          <w:proofErr w:type="spellStart"/>
          <w:r>
            <w:rPr>
              <w:sz w:val="44"/>
              <w:szCs w:val="44"/>
            </w:rPr>
            <w:t>Dalma</w:t>
          </w:r>
          <w:proofErr w:type="spellEnd"/>
          <w:r>
            <w:rPr>
              <w:sz w:val="44"/>
              <w:szCs w:val="44"/>
            </w:rPr>
            <w:t xml:space="preserve"> Formwork</w:t>
          </w:r>
        </w:p>
      </w:sdtContent>
    </w:sdt>
    <w:p w14:paraId="320A1F6D" w14:textId="77777777" w:rsidR="004D54E7" w:rsidRPr="00F5755C" w:rsidRDefault="004D54E7" w:rsidP="008D3832">
      <w:pPr>
        <w:pStyle w:val="Subtitle"/>
        <w:ind w:left="1276" w:right="-120"/>
        <w:contextualSpacing/>
        <w:rPr>
          <w:i/>
        </w:rPr>
        <w:sectPr w:rsidR="004D54E7" w:rsidRPr="00F5755C" w:rsidSect="00923C84">
          <w:footerReference w:type="default" r:id="rId12"/>
          <w:type w:val="continuous"/>
          <w:pgSz w:w="11906" w:h="16838"/>
          <w:pgMar w:top="0" w:right="1440" w:bottom="1440" w:left="238" w:header="709" w:footer="567" w:gutter="0"/>
          <w:cols w:space="708"/>
          <w:docGrid w:linePitch="360"/>
        </w:sectPr>
      </w:pPr>
      <w:bookmarkStart w:id="0" w:name="_Toc364946114"/>
    </w:p>
    <w:p w14:paraId="49645BA9" w14:textId="77777777" w:rsidR="00EC7566" w:rsidRPr="00EC7566"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EC7566">
        <w:rPr>
          <w:rFonts w:ascii="Calibri" w:eastAsia="Times New Roman" w:hAnsi="Calibri" w:cs="Calibri"/>
          <w:color w:val="C00000"/>
          <w:sz w:val="26"/>
          <w:szCs w:val="26"/>
          <w:lang w:val="en-GB" w:eastAsia="en-AU"/>
        </w:rPr>
        <w:t>A small business initiative</w:t>
      </w:r>
    </w:p>
    <w:p w14:paraId="2A1D2BAD" w14:textId="77777777" w:rsidR="003563EF" w:rsidRPr="00EC7566" w:rsidRDefault="00EC7566" w:rsidP="003563EF">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proofErr w:type="spellStart"/>
      <w:r w:rsidRPr="00EC7566">
        <w:rPr>
          <w:rFonts w:ascii="Calibri" w:eastAsia="Times New Roman" w:hAnsi="Calibri" w:cs="Calibri"/>
          <w:color w:val="000000"/>
          <w:sz w:val="19"/>
          <w:szCs w:val="19"/>
          <w:lang w:val="en-GB" w:eastAsia="en-AU"/>
        </w:rPr>
        <w:t>Dalma</w:t>
      </w:r>
      <w:proofErr w:type="spellEnd"/>
      <w:r w:rsidRPr="00EC7566">
        <w:rPr>
          <w:rFonts w:ascii="Calibri" w:eastAsia="Times New Roman" w:hAnsi="Calibri" w:cs="Calibri"/>
          <w:color w:val="000000"/>
          <w:sz w:val="19"/>
          <w:szCs w:val="19"/>
          <w:lang w:val="en-GB" w:eastAsia="en-AU"/>
        </w:rPr>
        <w:t xml:space="preserve"> Formwork (Australia) Pty Ltd is a small </w:t>
      </w:r>
      <w:proofErr w:type="gramStart"/>
      <w:r w:rsidRPr="00EC7566">
        <w:rPr>
          <w:rFonts w:ascii="Calibri" w:eastAsia="Times New Roman" w:hAnsi="Calibri" w:cs="Calibri"/>
          <w:color w:val="000000"/>
          <w:sz w:val="19"/>
          <w:szCs w:val="19"/>
          <w:lang w:val="en-GB" w:eastAsia="en-AU"/>
        </w:rPr>
        <w:t>family owned</w:t>
      </w:r>
      <w:proofErr w:type="gramEnd"/>
      <w:r w:rsidRPr="00EC7566">
        <w:rPr>
          <w:rFonts w:ascii="Calibri" w:eastAsia="Times New Roman" w:hAnsi="Calibri" w:cs="Calibri"/>
          <w:color w:val="000000"/>
          <w:sz w:val="19"/>
          <w:szCs w:val="19"/>
          <w:lang w:val="en-GB" w:eastAsia="en-AU"/>
        </w:rPr>
        <w:t xml:space="preserve"> company which has been carrying out formwork on large scale building and construction projects since 1988.</w:t>
      </w:r>
    </w:p>
    <w:p w14:paraId="3C21580D" w14:textId="77777777" w:rsidR="003563EF" w:rsidRDefault="00EC7566" w:rsidP="003563EF">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C7566">
        <w:rPr>
          <w:rFonts w:ascii="Calibri" w:eastAsia="Times New Roman" w:hAnsi="Calibri" w:cs="Calibri"/>
          <w:color w:val="000000"/>
          <w:sz w:val="19"/>
          <w:szCs w:val="19"/>
          <w:lang w:val="en-GB" w:eastAsia="en-AU"/>
        </w:rPr>
        <w:t xml:space="preserve">The Director, </w:t>
      </w:r>
      <w:proofErr w:type="spellStart"/>
      <w:r w:rsidRPr="00EC7566">
        <w:rPr>
          <w:rFonts w:ascii="Calibri" w:eastAsia="Times New Roman" w:hAnsi="Calibri" w:cs="Calibri"/>
          <w:color w:val="000000"/>
          <w:sz w:val="19"/>
          <w:szCs w:val="19"/>
          <w:lang w:val="en-GB" w:eastAsia="en-AU"/>
        </w:rPr>
        <w:t>Rade</w:t>
      </w:r>
      <w:proofErr w:type="spellEnd"/>
      <w:r w:rsidRPr="00EC7566">
        <w:rPr>
          <w:rFonts w:ascii="Calibri" w:eastAsia="Times New Roman" w:hAnsi="Calibri" w:cs="Calibri"/>
          <w:color w:val="000000"/>
          <w:sz w:val="19"/>
          <w:szCs w:val="19"/>
          <w:lang w:val="en-GB" w:eastAsia="en-AU"/>
        </w:rPr>
        <w:t xml:space="preserve"> </w:t>
      </w:r>
      <w:proofErr w:type="spellStart"/>
      <w:r w:rsidRPr="00EC7566">
        <w:rPr>
          <w:rFonts w:ascii="Calibri" w:eastAsia="Times New Roman" w:hAnsi="Calibri" w:cs="Calibri"/>
          <w:color w:val="000000"/>
          <w:sz w:val="19"/>
          <w:szCs w:val="19"/>
          <w:lang w:val="en-GB" w:eastAsia="en-AU"/>
        </w:rPr>
        <w:t>Cikes</w:t>
      </w:r>
      <w:proofErr w:type="spellEnd"/>
      <w:r w:rsidRPr="00EC7566">
        <w:rPr>
          <w:rFonts w:ascii="Calibri" w:eastAsia="Times New Roman" w:hAnsi="Calibri" w:cs="Calibri"/>
          <w:color w:val="000000"/>
          <w:sz w:val="19"/>
          <w:szCs w:val="19"/>
          <w:lang w:val="en-GB" w:eastAsia="en-AU"/>
        </w:rPr>
        <w:t xml:space="preserve">, firmly believes in the importance of ‘raising the bar’ on safety, and in committing to this objective, he has established the following company philosophy: </w:t>
      </w:r>
    </w:p>
    <w:p w14:paraId="663BBA25" w14:textId="77777777" w:rsidR="00EC7566" w:rsidRPr="003563EF" w:rsidRDefault="00EC7566" w:rsidP="003563EF">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3563EF">
        <w:rPr>
          <w:rFonts w:ascii="Calibri" w:eastAsia="Times New Roman" w:hAnsi="Calibri" w:cs="Calibri"/>
          <w:i/>
          <w:color w:val="000000"/>
          <w:sz w:val="19"/>
          <w:szCs w:val="19"/>
          <w:lang w:val="en-GB" w:eastAsia="en-AU"/>
        </w:rPr>
        <w:t>To constantly seek new ways of improving safety on our projects.</w:t>
      </w:r>
    </w:p>
    <w:p w14:paraId="1C610BF7" w14:textId="77777777" w:rsidR="00EC7566" w:rsidRPr="00EC7566"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EC7566">
        <w:rPr>
          <w:rFonts w:ascii="Calibri" w:eastAsia="Times New Roman" w:hAnsi="Calibri" w:cs="Calibri"/>
          <w:color w:val="C00000"/>
          <w:sz w:val="26"/>
          <w:szCs w:val="26"/>
          <w:lang w:val="en-GB" w:eastAsia="en-AU"/>
        </w:rPr>
        <w:t>Traditional formwork methods</w:t>
      </w:r>
    </w:p>
    <w:p w14:paraId="5214B322" w14:textId="77777777" w:rsidR="00EC7566" w:rsidRPr="00EC7566"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C7566">
        <w:rPr>
          <w:rFonts w:ascii="Calibri" w:eastAsia="Times New Roman" w:hAnsi="Calibri" w:cs="Calibri"/>
          <w:color w:val="000000"/>
          <w:sz w:val="19"/>
          <w:szCs w:val="19"/>
          <w:lang w:val="en-GB" w:eastAsia="en-AU"/>
        </w:rPr>
        <w:t xml:space="preserve">The traditional methods of forming suspended concrete slabs and beams requires formwork carpenters to work from the top of the deck, including the leading edge. </w:t>
      </w:r>
    </w:p>
    <w:p w14:paraId="7F290639" w14:textId="77777777" w:rsidR="00EC7566" w:rsidRPr="00EC7566"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C7566">
        <w:rPr>
          <w:rFonts w:ascii="Calibri" w:eastAsia="Times New Roman" w:hAnsi="Calibri" w:cs="Calibri"/>
          <w:color w:val="000000"/>
          <w:sz w:val="19"/>
          <w:szCs w:val="19"/>
          <w:lang w:val="en-GB" w:eastAsia="en-AU"/>
        </w:rPr>
        <w:t xml:space="preserve">Working from heights creates potential hazards for formwork carpenters.  </w:t>
      </w:r>
      <w:proofErr w:type="gramStart"/>
      <w:r w:rsidRPr="00EC7566">
        <w:rPr>
          <w:rFonts w:ascii="Calibri" w:eastAsia="Times New Roman" w:hAnsi="Calibri" w:cs="Calibri"/>
          <w:color w:val="000000"/>
          <w:sz w:val="19"/>
          <w:szCs w:val="19"/>
          <w:lang w:val="en-GB" w:eastAsia="en-AU"/>
        </w:rPr>
        <w:t>In particular, a</w:t>
      </w:r>
      <w:proofErr w:type="gramEnd"/>
      <w:r w:rsidRPr="00EC7566">
        <w:rPr>
          <w:rFonts w:ascii="Calibri" w:eastAsia="Times New Roman" w:hAnsi="Calibri" w:cs="Calibri"/>
          <w:color w:val="000000"/>
          <w:sz w:val="19"/>
          <w:szCs w:val="19"/>
          <w:lang w:val="en-GB" w:eastAsia="en-AU"/>
        </w:rPr>
        <w:t xml:space="preserve"> fall from height may result in an injury, which may permanently incapacitate an individual, or even result in death.</w:t>
      </w:r>
    </w:p>
    <w:p w14:paraId="63E0C7F8" w14:textId="77777777" w:rsidR="00EC7566" w:rsidRPr="00EC7566"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EC7566">
        <w:rPr>
          <w:rFonts w:ascii="Calibri" w:eastAsia="Times New Roman" w:hAnsi="Calibri" w:cs="Calibri"/>
          <w:color w:val="C00000"/>
          <w:sz w:val="26"/>
          <w:szCs w:val="26"/>
          <w:lang w:val="en-GB" w:eastAsia="en-AU"/>
        </w:rPr>
        <w:t xml:space="preserve">Striving to make formwork safer </w:t>
      </w:r>
    </w:p>
    <w:p w14:paraId="41645A52" w14:textId="77777777" w:rsidR="00EC7566" w:rsidRPr="00EC7566"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C7566">
        <w:rPr>
          <w:rFonts w:ascii="Calibri" w:eastAsia="Times New Roman" w:hAnsi="Calibri" w:cs="Calibri"/>
          <w:color w:val="000000"/>
          <w:sz w:val="19"/>
          <w:szCs w:val="19"/>
          <w:lang w:val="en-GB" w:eastAsia="en-AU"/>
        </w:rPr>
        <w:t xml:space="preserve">Through consultation with its employees, </w:t>
      </w:r>
      <w:proofErr w:type="spellStart"/>
      <w:r w:rsidRPr="00EC7566">
        <w:rPr>
          <w:rFonts w:ascii="Calibri" w:eastAsia="Times New Roman" w:hAnsi="Calibri" w:cs="Calibri"/>
          <w:color w:val="000000"/>
          <w:sz w:val="19"/>
          <w:szCs w:val="19"/>
          <w:lang w:val="en-GB" w:eastAsia="en-AU"/>
        </w:rPr>
        <w:t>Dalma</w:t>
      </w:r>
      <w:proofErr w:type="spellEnd"/>
      <w:r w:rsidRPr="00EC7566">
        <w:rPr>
          <w:rFonts w:ascii="Calibri" w:eastAsia="Times New Roman" w:hAnsi="Calibri" w:cs="Calibri"/>
          <w:color w:val="000000"/>
          <w:sz w:val="19"/>
          <w:szCs w:val="19"/>
          <w:lang w:val="en-GB" w:eastAsia="en-AU"/>
        </w:rPr>
        <w:t xml:space="preserve"> has been investigating ways to improve existing formwork methods </w:t>
      </w:r>
      <w:proofErr w:type="gramStart"/>
      <w:r w:rsidRPr="00EC7566">
        <w:rPr>
          <w:rFonts w:ascii="Calibri" w:eastAsia="Times New Roman" w:hAnsi="Calibri" w:cs="Calibri"/>
          <w:color w:val="000000"/>
          <w:sz w:val="19"/>
          <w:szCs w:val="19"/>
          <w:lang w:val="en-GB" w:eastAsia="en-AU"/>
        </w:rPr>
        <w:t>in order to</w:t>
      </w:r>
      <w:proofErr w:type="gramEnd"/>
      <w:r w:rsidRPr="00EC7566">
        <w:rPr>
          <w:rFonts w:ascii="Calibri" w:eastAsia="Times New Roman" w:hAnsi="Calibri" w:cs="Calibri"/>
          <w:color w:val="000000"/>
          <w:sz w:val="19"/>
          <w:szCs w:val="19"/>
          <w:lang w:val="en-GB" w:eastAsia="en-AU"/>
        </w:rPr>
        <w:t xml:space="preserve"> facilitate a safer deck environment. </w:t>
      </w:r>
    </w:p>
    <w:p w14:paraId="41E9E4D7" w14:textId="77777777" w:rsidR="00EC7566" w:rsidRPr="00EC7566"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C7566">
        <w:rPr>
          <w:rFonts w:ascii="Calibri" w:eastAsia="Times New Roman" w:hAnsi="Calibri" w:cs="Calibri"/>
          <w:color w:val="000000"/>
          <w:sz w:val="19"/>
          <w:szCs w:val="19"/>
          <w:lang w:val="en-GB" w:eastAsia="en-AU"/>
        </w:rPr>
        <w:t xml:space="preserve">In 2006, through the support of the head contractor on a major construction site, </w:t>
      </w:r>
      <w:proofErr w:type="spellStart"/>
      <w:r w:rsidRPr="00EC7566">
        <w:rPr>
          <w:rFonts w:ascii="Calibri" w:eastAsia="Times New Roman" w:hAnsi="Calibri" w:cs="Calibri"/>
          <w:color w:val="000000"/>
          <w:sz w:val="19"/>
          <w:szCs w:val="19"/>
          <w:lang w:val="en-GB" w:eastAsia="en-AU"/>
        </w:rPr>
        <w:t>Dalma</w:t>
      </w:r>
      <w:proofErr w:type="spellEnd"/>
      <w:r w:rsidRPr="00EC7566">
        <w:rPr>
          <w:rFonts w:ascii="Calibri" w:eastAsia="Times New Roman" w:hAnsi="Calibri" w:cs="Calibri"/>
          <w:color w:val="000000"/>
          <w:sz w:val="19"/>
          <w:szCs w:val="19"/>
          <w:lang w:val="en-GB" w:eastAsia="en-AU"/>
        </w:rPr>
        <w:t xml:space="preserve"> trialled a new method they had developed to reduce the possibility of a worker falling while working from the top of the deck.   </w:t>
      </w:r>
    </w:p>
    <w:p w14:paraId="44FCD8E8" w14:textId="77777777" w:rsidR="00EC7566" w:rsidRPr="00EC7566"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C7566">
        <w:rPr>
          <w:rFonts w:ascii="Calibri" w:eastAsia="Times New Roman" w:hAnsi="Calibri" w:cs="Calibri"/>
          <w:color w:val="000000"/>
          <w:sz w:val="19"/>
          <w:szCs w:val="19"/>
          <w:lang w:val="en-GB" w:eastAsia="en-AU"/>
        </w:rPr>
        <w:t xml:space="preserve">As an initial step in the design of their method, </w:t>
      </w:r>
      <w:proofErr w:type="spellStart"/>
      <w:r w:rsidRPr="00EC7566">
        <w:rPr>
          <w:rFonts w:ascii="Calibri" w:eastAsia="Times New Roman" w:hAnsi="Calibri" w:cs="Calibri"/>
          <w:color w:val="000000"/>
          <w:sz w:val="19"/>
          <w:szCs w:val="19"/>
          <w:lang w:val="en-GB" w:eastAsia="en-AU"/>
        </w:rPr>
        <w:t>Dalma</w:t>
      </w:r>
      <w:proofErr w:type="spellEnd"/>
      <w:r w:rsidRPr="00EC7566">
        <w:rPr>
          <w:rFonts w:ascii="Calibri" w:eastAsia="Times New Roman" w:hAnsi="Calibri" w:cs="Calibri"/>
          <w:color w:val="000000"/>
          <w:sz w:val="19"/>
          <w:szCs w:val="19"/>
          <w:lang w:val="en-GB" w:eastAsia="en-AU"/>
        </w:rPr>
        <w:t xml:space="preserve"> adopted a new industry procedure wherein the beam soffit would be prefabricated from the slab below the deck and lifted into place with the use of a telescopic forklift.   </w:t>
      </w:r>
    </w:p>
    <w:p w14:paraId="331A1D17" w14:textId="77777777" w:rsidR="00EC7566" w:rsidRPr="00EC7566"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proofErr w:type="gramStart"/>
      <w:r w:rsidRPr="00EC7566">
        <w:rPr>
          <w:rFonts w:ascii="Calibri" w:eastAsia="Times New Roman" w:hAnsi="Calibri" w:cs="Calibri"/>
          <w:color w:val="000000"/>
          <w:sz w:val="19"/>
          <w:szCs w:val="19"/>
          <w:lang w:val="en-GB" w:eastAsia="en-AU"/>
        </w:rPr>
        <w:t>Despite the fact that</w:t>
      </w:r>
      <w:proofErr w:type="gramEnd"/>
      <w:r w:rsidRPr="00EC7566">
        <w:rPr>
          <w:rFonts w:ascii="Calibri" w:eastAsia="Times New Roman" w:hAnsi="Calibri" w:cs="Calibri"/>
          <w:color w:val="000000"/>
          <w:sz w:val="19"/>
          <w:szCs w:val="19"/>
          <w:lang w:val="en-GB" w:eastAsia="en-AU"/>
        </w:rPr>
        <w:t xml:space="preserve"> prefabricating the beam from below meant a reduction in requirements to work on top of the beam, </w:t>
      </w:r>
      <w:proofErr w:type="spellStart"/>
      <w:r w:rsidRPr="00EC7566">
        <w:rPr>
          <w:rFonts w:ascii="Calibri" w:eastAsia="Times New Roman" w:hAnsi="Calibri" w:cs="Calibri"/>
          <w:color w:val="000000"/>
          <w:sz w:val="19"/>
          <w:szCs w:val="19"/>
          <w:lang w:val="en-GB" w:eastAsia="en-AU"/>
        </w:rPr>
        <w:t>Dalma</w:t>
      </w:r>
      <w:proofErr w:type="spellEnd"/>
      <w:r w:rsidRPr="00EC7566">
        <w:rPr>
          <w:rFonts w:ascii="Calibri" w:eastAsia="Times New Roman" w:hAnsi="Calibri" w:cs="Calibri"/>
          <w:color w:val="000000"/>
          <w:sz w:val="19"/>
          <w:szCs w:val="19"/>
          <w:lang w:val="en-GB" w:eastAsia="en-AU"/>
        </w:rPr>
        <w:t xml:space="preserve"> remained concerned that workers involved in completing the formwork once the beam had been lifted would still be exposed to the possibility of a fall.</w:t>
      </w:r>
    </w:p>
    <w:p w14:paraId="0BDAC8E9" w14:textId="77777777" w:rsidR="00EC7566" w:rsidRPr="00EC7566"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C7566">
        <w:rPr>
          <w:rFonts w:ascii="Calibri" w:eastAsia="Times New Roman" w:hAnsi="Calibri" w:cs="Calibri"/>
          <w:color w:val="000000"/>
          <w:sz w:val="19"/>
          <w:szCs w:val="19"/>
          <w:lang w:val="en-GB" w:eastAsia="en-AU"/>
        </w:rPr>
        <w:t xml:space="preserve">To increase the level of fall protection for their workers, </w:t>
      </w:r>
      <w:proofErr w:type="spellStart"/>
      <w:r w:rsidRPr="00EC7566">
        <w:rPr>
          <w:rFonts w:ascii="Calibri" w:eastAsia="Times New Roman" w:hAnsi="Calibri" w:cs="Calibri"/>
          <w:color w:val="000000"/>
          <w:sz w:val="19"/>
          <w:szCs w:val="19"/>
          <w:lang w:val="en-GB" w:eastAsia="en-AU"/>
        </w:rPr>
        <w:t>Dalma</w:t>
      </w:r>
      <w:proofErr w:type="spellEnd"/>
      <w:r w:rsidRPr="00EC7566">
        <w:rPr>
          <w:rFonts w:ascii="Calibri" w:eastAsia="Times New Roman" w:hAnsi="Calibri" w:cs="Calibri"/>
          <w:color w:val="000000"/>
          <w:sz w:val="19"/>
          <w:szCs w:val="19"/>
          <w:lang w:val="en-GB" w:eastAsia="en-AU"/>
        </w:rPr>
        <w:t xml:space="preserve"> devised an innovative solution of removable handrails and posts to complement the procedure for prefabricating the beam from below.</w:t>
      </w:r>
    </w:p>
    <w:p w14:paraId="635A460B" w14:textId="77777777" w:rsidR="00EC7566" w:rsidRPr="00EC7566"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EC7566">
        <w:rPr>
          <w:rFonts w:ascii="Calibri" w:eastAsia="Times New Roman" w:hAnsi="Calibri" w:cs="Calibri"/>
          <w:color w:val="C00000"/>
          <w:sz w:val="26"/>
          <w:szCs w:val="26"/>
          <w:lang w:val="en-GB" w:eastAsia="en-AU"/>
        </w:rPr>
        <w:t>Applying handrails and posts</w:t>
      </w:r>
    </w:p>
    <w:p w14:paraId="193E0511" w14:textId="77777777" w:rsidR="00EC7566" w:rsidRPr="00EC7566"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C7566">
        <w:rPr>
          <w:rFonts w:ascii="Calibri" w:eastAsia="Times New Roman" w:hAnsi="Calibri" w:cs="Calibri"/>
          <w:color w:val="000000"/>
          <w:sz w:val="19"/>
          <w:szCs w:val="19"/>
          <w:lang w:val="en-GB" w:eastAsia="en-AU"/>
        </w:rPr>
        <w:t xml:space="preserve">In designing their system of removable handrails and posts, </w:t>
      </w:r>
      <w:proofErr w:type="spellStart"/>
      <w:r w:rsidRPr="00EC7566">
        <w:rPr>
          <w:rFonts w:ascii="Calibri" w:eastAsia="Times New Roman" w:hAnsi="Calibri" w:cs="Calibri"/>
          <w:color w:val="000000"/>
          <w:sz w:val="19"/>
          <w:szCs w:val="19"/>
          <w:lang w:val="en-GB" w:eastAsia="en-AU"/>
        </w:rPr>
        <w:t>Dalma</w:t>
      </w:r>
      <w:proofErr w:type="spellEnd"/>
      <w:r w:rsidRPr="00EC7566">
        <w:rPr>
          <w:rFonts w:ascii="Calibri" w:eastAsia="Times New Roman" w:hAnsi="Calibri" w:cs="Calibri"/>
          <w:color w:val="000000"/>
          <w:sz w:val="19"/>
          <w:szCs w:val="19"/>
          <w:lang w:val="en-GB" w:eastAsia="en-AU"/>
        </w:rPr>
        <w:t xml:space="preserve"> ensured that they could be quickly and easily attached to the beam soffit without impacting on the requirements to prefabricate the beam soffit from below.   </w:t>
      </w:r>
    </w:p>
    <w:p w14:paraId="7B551452" w14:textId="77777777" w:rsidR="00EC7566" w:rsidRPr="00EC7566"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C7566">
        <w:rPr>
          <w:rFonts w:ascii="Calibri" w:eastAsia="Times New Roman" w:hAnsi="Calibri" w:cs="Calibri"/>
          <w:color w:val="000000"/>
          <w:sz w:val="19"/>
          <w:szCs w:val="19"/>
          <w:lang w:val="en-GB" w:eastAsia="en-AU"/>
        </w:rPr>
        <w:t xml:space="preserve">Once in place, the handrails and post ensure the worker is well protected from leading edges of the </w:t>
      </w:r>
      <w:proofErr w:type="gramStart"/>
      <w:r w:rsidRPr="00EC7566">
        <w:rPr>
          <w:rFonts w:ascii="Calibri" w:eastAsia="Times New Roman" w:hAnsi="Calibri" w:cs="Calibri"/>
          <w:color w:val="000000"/>
          <w:sz w:val="19"/>
          <w:szCs w:val="19"/>
          <w:lang w:val="en-GB" w:eastAsia="en-AU"/>
        </w:rPr>
        <w:t>formwork, and</w:t>
      </w:r>
      <w:proofErr w:type="gramEnd"/>
      <w:r w:rsidRPr="00EC7566">
        <w:rPr>
          <w:rFonts w:ascii="Calibri" w:eastAsia="Times New Roman" w:hAnsi="Calibri" w:cs="Calibri"/>
          <w:color w:val="000000"/>
          <w:sz w:val="19"/>
          <w:szCs w:val="19"/>
          <w:lang w:val="en-GB" w:eastAsia="en-AU"/>
        </w:rPr>
        <w:t xml:space="preserve"> can safely carry out activities to construct the beam sides and install the metal decking from the top of the formwork deck. </w:t>
      </w:r>
    </w:p>
    <w:p w14:paraId="09F98202" w14:textId="77777777" w:rsidR="00EC7566" w:rsidRPr="00EC7566"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EC7566">
        <w:rPr>
          <w:rFonts w:ascii="Calibri" w:eastAsia="Times New Roman" w:hAnsi="Calibri" w:cs="Calibri"/>
          <w:color w:val="C00000"/>
          <w:sz w:val="26"/>
          <w:szCs w:val="26"/>
          <w:lang w:val="en-GB" w:eastAsia="en-AU"/>
        </w:rPr>
        <w:t>The results</w:t>
      </w:r>
    </w:p>
    <w:p w14:paraId="43FD2FB6" w14:textId="77777777" w:rsidR="00EC7566" w:rsidRPr="00EC7566"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C7566">
        <w:rPr>
          <w:rFonts w:ascii="Calibri" w:eastAsia="Times New Roman" w:hAnsi="Calibri" w:cs="Calibri"/>
          <w:color w:val="000000"/>
          <w:sz w:val="19"/>
          <w:szCs w:val="19"/>
          <w:lang w:val="en-GB" w:eastAsia="en-AU"/>
        </w:rPr>
        <w:t xml:space="preserve">By developing and implementing a system of removable handrails and posts, together with prefabricated beam soffits, </w:t>
      </w:r>
      <w:proofErr w:type="spellStart"/>
      <w:r w:rsidRPr="00EC7566">
        <w:rPr>
          <w:rFonts w:ascii="Calibri" w:eastAsia="Times New Roman" w:hAnsi="Calibri" w:cs="Calibri"/>
          <w:color w:val="000000"/>
          <w:sz w:val="19"/>
          <w:szCs w:val="19"/>
          <w:lang w:val="en-GB" w:eastAsia="en-AU"/>
        </w:rPr>
        <w:t>Dalma</w:t>
      </w:r>
      <w:proofErr w:type="spellEnd"/>
      <w:r w:rsidRPr="00EC7566">
        <w:rPr>
          <w:rFonts w:ascii="Calibri" w:eastAsia="Times New Roman" w:hAnsi="Calibri" w:cs="Calibri"/>
          <w:color w:val="000000"/>
          <w:sz w:val="19"/>
          <w:szCs w:val="19"/>
          <w:lang w:val="en-GB" w:eastAsia="en-AU"/>
        </w:rPr>
        <w:t xml:space="preserve"> has dramatically increased the level of fall protection for their workers.  </w:t>
      </w:r>
    </w:p>
    <w:p w14:paraId="631C40AB" w14:textId="77777777" w:rsidR="00EC7566" w:rsidRPr="00EC7566"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C7566">
        <w:rPr>
          <w:rFonts w:ascii="Calibri" w:eastAsia="Times New Roman" w:hAnsi="Calibri" w:cs="Calibri"/>
          <w:color w:val="000000"/>
          <w:sz w:val="19"/>
          <w:szCs w:val="19"/>
          <w:lang w:val="en-GB" w:eastAsia="en-AU"/>
        </w:rPr>
        <w:t xml:space="preserve">Importantly, </w:t>
      </w:r>
      <w:proofErr w:type="spellStart"/>
      <w:r w:rsidRPr="00EC7566">
        <w:rPr>
          <w:rFonts w:ascii="Calibri" w:eastAsia="Times New Roman" w:hAnsi="Calibri" w:cs="Calibri"/>
          <w:color w:val="000000"/>
          <w:sz w:val="19"/>
          <w:szCs w:val="19"/>
          <w:lang w:val="en-GB" w:eastAsia="en-AU"/>
        </w:rPr>
        <w:t>Dalma</w:t>
      </w:r>
      <w:proofErr w:type="spellEnd"/>
      <w:r w:rsidRPr="00EC7566">
        <w:rPr>
          <w:rFonts w:ascii="Calibri" w:eastAsia="Times New Roman" w:hAnsi="Calibri" w:cs="Calibri"/>
          <w:color w:val="000000"/>
          <w:sz w:val="19"/>
          <w:szCs w:val="19"/>
          <w:lang w:val="en-GB" w:eastAsia="en-AU"/>
        </w:rPr>
        <w:t xml:space="preserve"> has eliminated the worker’s exposure to the leading edges of the </w:t>
      </w:r>
      <w:proofErr w:type="gramStart"/>
      <w:r w:rsidRPr="00EC7566">
        <w:rPr>
          <w:rFonts w:ascii="Calibri" w:eastAsia="Times New Roman" w:hAnsi="Calibri" w:cs="Calibri"/>
          <w:color w:val="000000"/>
          <w:sz w:val="19"/>
          <w:szCs w:val="19"/>
          <w:lang w:val="en-GB" w:eastAsia="en-AU"/>
        </w:rPr>
        <w:t>formwork, and</w:t>
      </w:r>
      <w:proofErr w:type="gramEnd"/>
      <w:r w:rsidRPr="00EC7566">
        <w:rPr>
          <w:rFonts w:ascii="Calibri" w:eastAsia="Times New Roman" w:hAnsi="Calibri" w:cs="Calibri"/>
          <w:color w:val="000000"/>
          <w:sz w:val="19"/>
          <w:szCs w:val="19"/>
          <w:lang w:val="en-GB" w:eastAsia="en-AU"/>
        </w:rPr>
        <w:t xml:space="preserve"> has gained success in overcoming one of the major hazards associated with formwork construction.</w:t>
      </w:r>
    </w:p>
    <w:p w14:paraId="4DE9BB02" w14:textId="77777777" w:rsidR="00EC7566" w:rsidRPr="00EC7566"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EC7566">
        <w:rPr>
          <w:rFonts w:ascii="Calibri" w:eastAsia="Times New Roman" w:hAnsi="Calibri" w:cs="Calibri"/>
          <w:color w:val="C00000"/>
          <w:sz w:val="26"/>
          <w:szCs w:val="26"/>
          <w:lang w:val="en-GB" w:eastAsia="en-AU"/>
        </w:rPr>
        <w:t>A commendation for innovation</w:t>
      </w:r>
    </w:p>
    <w:p w14:paraId="1AB8223B" w14:textId="77777777" w:rsidR="00EC7566" w:rsidRPr="00EC7566"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C7566">
        <w:rPr>
          <w:rFonts w:ascii="Calibri" w:eastAsia="Times New Roman" w:hAnsi="Calibri" w:cs="Calibri"/>
          <w:color w:val="000000"/>
          <w:sz w:val="19"/>
          <w:szCs w:val="19"/>
          <w:lang w:val="en-GB" w:eastAsia="en-AU"/>
        </w:rPr>
        <w:t xml:space="preserve">In 2006, </w:t>
      </w:r>
      <w:proofErr w:type="spellStart"/>
      <w:r w:rsidRPr="00EC7566">
        <w:rPr>
          <w:rFonts w:ascii="Calibri" w:eastAsia="Times New Roman" w:hAnsi="Calibri" w:cs="Calibri"/>
          <w:color w:val="000000"/>
          <w:sz w:val="19"/>
          <w:szCs w:val="19"/>
          <w:lang w:val="en-GB" w:eastAsia="en-AU"/>
        </w:rPr>
        <w:t>Dalma</w:t>
      </w:r>
      <w:proofErr w:type="spellEnd"/>
      <w:r w:rsidRPr="00EC7566">
        <w:rPr>
          <w:rFonts w:ascii="Calibri" w:eastAsia="Times New Roman" w:hAnsi="Calibri" w:cs="Calibri"/>
          <w:color w:val="000000"/>
          <w:sz w:val="19"/>
          <w:szCs w:val="19"/>
          <w:lang w:val="en-GB" w:eastAsia="en-AU"/>
        </w:rPr>
        <w:t xml:space="preserve"> was awarded a commendation for their solution for increasing the level of fall protection in formwork construction at the ACT Occupational Health and Safety Awards. </w:t>
      </w:r>
    </w:p>
    <w:p w14:paraId="2505F77E" w14:textId="77777777" w:rsidR="00EC7566" w:rsidRPr="00EC7566"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C7566">
        <w:rPr>
          <w:rFonts w:ascii="Calibri" w:eastAsia="Times New Roman" w:hAnsi="Calibri" w:cs="Calibri"/>
          <w:color w:val="000000"/>
          <w:sz w:val="19"/>
          <w:szCs w:val="19"/>
          <w:lang w:val="en-GB" w:eastAsia="en-AU"/>
        </w:rPr>
        <w:t xml:space="preserve">The commendation was announced by the </w:t>
      </w:r>
      <w:proofErr w:type="gramStart"/>
      <w:r w:rsidRPr="00EC7566">
        <w:rPr>
          <w:rFonts w:ascii="Calibri" w:eastAsia="Times New Roman" w:hAnsi="Calibri" w:cs="Calibri"/>
          <w:color w:val="000000"/>
          <w:sz w:val="19"/>
          <w:szCs w:val="19"/>
          <w:lang w:val="en-GB" w:eastAsia="en-AU"/>
        </w:rPr>
        <w:t>ACT Minister</w:t>
      </w:r>
      <w:proofErr w:type="gramEnd"/>
      <w:r w:rsidRPr="00EC7566">
        <w:rPr>
          <w:rFonts w:ascii="Calibri" w:eastAsia="Times New Roman" w:hAnsi="Calibri" w:cs="Calibri"/>
          <w:color w:val="000000"/>
          <w:sz w:val="19"/>
          <w:szCs w:val="19"/>
          <w:lang w:val="en-GB" w:eastAsia="en-AU"/>
        </w:rPr>
        <w:t xml:space="preserve"> for Industrial Relations, Andrew Barr MLA, at a function at the National Museum in Canberra. </w:t>
      </w:r>
    </w:p>
    <w:p w14:paraId="70F4703E" w14:textId="77777777" w:rsidR="00EC7566" w:rsidRPr="00EC7566"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C7566">
        <w:rPr>
          <w:rFonts w:ascii="Calibri" w:eastAsia="Times New Roman" w:hAnsi="Calibri" w:cs="Calibri"/>
          <w:color w:val="000000"/>
          <w:sz w:val="19"/>
          <w:szCs w:val="19"/>
          <w:lang w:val="en-GB" w:eastAsia="en-AU"/>
        </w:rPr>
        <w:t xml:space="preserve">For further information on </w:t>
      </w:r>
      <w:proofErr w:type="spellStart"/>
      <w:r w:rsidRPr="00EC7566">
        <w:rPr>
          <w:rFonts w:ascii="Calibri" w:eastAsia="Times New Roman" w:hAnsi="Calibri" w:cs="Calibri"/>
          <w:color w:val="000000"/>
          <w:sz w:val="19"/>
          <w:szCs w:val="19"/>
          <w:lang w:val="en-GB" w:eastAsia="en-AU"/>
        </w:rPr>
        <w:t>Dalma</w:t>
      </w:r>
      <w:proofErr w:type="spellEnd"/>
      <w:r w:rsidRPr="00EC7566">
        <w:rPr>
          <w:rFonts w:ascii="Calibri" w:eastAsia="Times New Roman" w:hAnsi="Calibri" w:cs="Calibri"/>
          <w:color w:val="000000"/>
          <w:sz w:val="19"/>
          <w:szCs w:val="19"/>
          <w:lang w:val="en-GB" w:eastAsia="en-AU"/>
        </w:rPr>
        <w:t xml:space="preserve"> Formwork’s solution for increasing the level of fall protection in formwork construction contact:</w:t>
      </w:r>
    </w:p>
    <w:p w14:paraId="6C82E1B3" w14:textId="77777777" w:rsidR="003563EF"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proofErr w:type="spellStart"/>
      <w:r w:rsidRPr="00EC7566">
        <w:rPr>
          <w:rFonts w:ascii="Calibri" w:eastAsia="Times New Roman" w:hAnsi="Calibri" w:cs="Calibri"/>
          <w:color w:val="000000"/>
          <w:sz w:val="19"/>
          <w:szCs w:val="19"/>
          <w:lang w:val="en-GB" w:eastAsia="en-AU"/>
        </w:rPr>
        <w:t>Rade</w:t>
      </w:r>
      <w:proofErr w:type="spellEnd"/>
      <w:r w:rsidRPr="00EC7566">
        <w:rPr>
          <w:rFonts w:ascii="Calibri" w:eastAsia="Times New Roman" w:hAnsi="Calibri" w:cs="Calibri"/>
          <w:color w:val="000000"/>
          <w:sz w:val="19"/>
          <w:szCs w:val="19"/>
          <w:lang w:val="en-GB" w:eastAsia="en-AU"/>
        </w:rPr>
        <w:t xml:space="preserve"> </w:t>
      </w:r>
      <w:proofErr w:type="spellStart"/>
      <w:r w:rsidRPr="00EC7566">
        <w:rPr>
          <w:rFonts w:ascii="Calibri" w:eastAsia="Times New Roman" w:hAnsi="Calibri" w:cs="Calibri"/>
          <w:color w:val="000000"/>
          <w:sz w:val="19"/>
          <w:szCs w:val="19"/>
          <w:lang w:val="en-GB" w:eastAsia="en-AU"/>
        </w:rPr>
        <w:t>Cikes</w:t>
      </w:r>
      <w:proofErr w:type="spellEnd"/>
      <w:r w:rsidRPr="00EC7566">
        <w:rPr>
          <w:rFonts w:ascii="Calibri" w:eastAsia="Times New Roman" w:hAnsi="Calibri" w:cs="Calibri"/>
          <w:color w:val="000000"/>
          <w:sz w:val="19"/>
          <w:szCs w:val="19"/>
          <w:lang w:val="en-GB" w:eastAsia="en-AU"/>
        </w:rPr>
        <w:br/>
        <w:t>Director</w:t>
      </w:r>
      <w:r w:rsidRPr="00EC7566">
        <w:rPr>
          <w:rFonts w:ascii="Calibri" w:eastAsia="Times New Roman" w:hAnsi="Calibri" w:cs="Calibri"/>
          <w:color w:val="000000"/>
          <w:sz w:val="19"/>
          <w:szCs w:val="19"/>
          <w:lang w:val="en-GB" w:eastAsia="en-AU"/>
        </w:rPr>
        <w:br/>
      </w:r>
      <w:proofErr w:type="spellStart"/>
      <w:r w:rsidRPr="00EC7566">
        <w:rPr>
          <w:rFonts w:ascii="Calibri" w:eastAsia="Times New Roman" w:hAnsi="Calibri" w:cs="Calibri"/>
          <w:color w:val="000000"/>
          <w:sz w:val="19"/>
          <w:szCs w:val="19"/>
          <w:lang w:val="en-GB" w:eastAsia="en-AU"/>
        </w:rPr>
        <w:t>Dalma</w:t>
      </w:r>
      <w:proofErr w:type="spellEnd"/>
      <w:r w:rsidRPr="00EC7566">
        <w:rPr>
          <w:rFonts w:ascii="Calibri" w:eastAsia="Times New Roman" w:hAnsi="Calibri" w:cs="Calibri"/>
          <w:color w:val="000000"/>
          <w:sz w:val="19"/>
          <w:szCs w:val="19"/>
          <w:lang w:val="en-GB" w:eastAsia="en-AU"/>
        </w:rPr>
        <w:t xml:space="preserve"> Formwork (Australia) Pty Ltd</w:t>
      </w:r>
      <w:r w:rsidRPr="00EC7566">
        <w:rPr>
          <w:rFonts w:ascii="Calibri" w:eastAsia="Times New Roman" w:hAnsi="Calibri" w:cs="Calibri"/>
          <w:color w:val="000000"/>
          <w:sz w:val="19"/>
          <w:szCs w:val="19"/>
          <w:lang w:val="en-GB" w:eastAsia="en-AU"/>
        </w:rPr>
        <w:br/>
        <w:t>Ph: 02 9498 2466</w:t>
      </w:r>
    </w:p>
    <w:p w14:paraId="74196E82" w14:textId="77777777" w:rsidR="00EC7566" w:rsidRPr="00EC7566"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EC7566">
        <w:rPr>
          <w:rFonts w:ascii="Calibri" w:eastAsia="Times New Roman" w:hAnsi="Calibri" w:cs="Calibri"/>
          <w:color w:val="C00000"/>
          <w:sz w:val="26"/>
          <w:szCs w:val="26"/>
          <w:lang w:val="en-GB" w:eastAsia="en-AU"/>
        </w:rPr>
        <w:t>About these case studies</w:t>
      </w:r>
    </w:p>
    <w:p w14:paraId="0EB17361" w14:textId="77777777" w:rsidR="00EC7566" w:rsidRPr="00EC7566"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C7566">
        <w:rPr>
          <w:rFonts w:ascii="Calibri" w:eastAsia="Times New Roman" w:hAnsi="Calibri" w:cs="Calibri"/>
          <w:color w:val="000000"/>
          <w:sz w:val="19"/>
          <w:szCs w:val="19"/>
          <w:lang w:val="en-GB" w:eastAsia="en-AU"/>
        </w:rPr>
        <w:t xml:space="preserve">The Australian Government is committed to improving the WHS standards for all workers on building and construction projects. </w:t>
      </w:r>
    </w:p>
    <w:p w14:paraId="48A41758" w14:textId="77777777" w:rsidR="00EC7566" w:rsidRPr="00EC7566"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C7566">
        <w:rPr>
          <w:rFonts w:ascii="Calibri" w:eastAsia="Times New Roman" w:hAnsi="Calibri" w:cs="Calibri"/>
          <w:color w:val="000000"/>
          <w:sz w:val="19"/>
          <w:szCs w:val="19"/>
          <w:lang w:val="en-GB" w:eastAsia="en-AU"/>
        </w:rPr>
        <w:t>These case studies have been developed to share practical ideas that can be adopted by industry to assist in their own management of WHS issues.</w:t>
      </w:r>
    </w:p>
    <w:p w14:paraId="5A207345" w14:textId="77777777" w:rsidR="00EC7566" w:rsidRPr="00EC7566" w:rsidRDefault="00EC7566" w:rsidP="00EC7566">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C7566">
        <w:rPr>
          <w:rFonts w:ascii="Calibri" w:eastAsia="Times New Roman" w:hAnsi="Calibri" w:cs="Calibri"/>
          <w:color w:val="000000"/>
          <w:sz w:val="19"/>
          <w:szCs w:val="19"/>
          <w:lang w:val="en-GB" w:eastAsia="en-AU"/>
        </w:rPr>
        <w:t xml:space="preserve">The Federal Safety Commissioner consults widely with industry, WHS authorities and other relevant </w:t>
      </w:r>
      <w:r w:rsidR="003563EF" w:rsidRPr="00EC7566">
        <w:rPr>
          <w:rFonts w:ascii="Calibri" w:eastAsia="Times New Roman" w:hAnsi="Calibri" w:cs="Calibri"/>
          <w:noProof/>
          <w:sz w:val="24"/>
          <w:szCs w:val="24"/>
          <w:lang w:eastAsia="en-AU"/>
        </w:rPr>
        <w:lastRenderedPageBreak/>
        <mc:AlternateContent>
          <mc:Choice Requires="wps">
            <w:drawing>
              <wp:anchor distT="0" distB="0" distL="114300" distR="114300" simplePos="0" relativeHeight="251661312" behindDoc="1" locked="0" layoutInCell="1" allowOverlap="1" wp14:anchorId="25F842E9" wp14:editId="402BBD96">
                <wp:simplePos x="0" y="0"/>
                <wp:positionH relativeFrom="margin">
                  <wp:posOffset>3159760</wp:posOffset>
                </wp:positionH>
                <wp:positionV relativeFrom="paragraph">
                  <wp:posOffset>-1905</wp:posOffset>
                </wp:positionV>
                <wp:extent cx="2686050" cy="47720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686050" cy="4772025"/>
                        </a:xfrm>
                        <a:prstGeom prst="rect">
                          <a:avLst/>
                        </a:prstGeom>
                        <a:noFill/>
                        <a:ln w="6350">
                          <a:solidFill>
                            <a:srgbClr val="C00000"/>
                          </a:solidFill>
                        </a:ln>
                      </wps:spPr>
                      <wps:txbx>
                        <w:txbxContent>
                          <w:p w14:paraId="262C5125" w14:textId="77777777" w:rsidR="00EC7566" w:rsidRPr="007E7126" w:rsidRDefault="00EC7566" w:rsidP="00EC7566">
                            <w:pPr>
                              <w:spacing w:after="0"/>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0D31B9C9" w14:textId="77777777" w:rsidR="00EC7566" w:rsidRPr="007E7126" w:rsidRDefault="00EC7566" w:rsidP="00EC7566">
                            <w:pPr>
                              <w:spacing w:after="0"/>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47B1071F" w14:textId="77777777" w:rsidR="00EC7566" w:rsidRPr="009C1375" w:rsidRDefault="00EC7566" w:rsidP="00EC7566">
                            <w:pPr>
                              <w:spacing w:after="0"/>
                              <w:rPr>
                                <w:szCs w:val="20"/>
                              </w:rPr>
                            </w:pPr>
                            <w:r w:rsidRPr="007E7126">
                              <w:rPr>
                                <w:szCs w:val="20"/>
                              </w:rPr>
                              <w:t xml:space="preserve">This case study may list persons, organisations, </w:t>
                            </w:r>
                            <w:proofErr w:type="gramStart"/>
                            <w:r w:rsidRPr="007E7126">
                              <w:rPr>
                                <w:szCs w:val="20"/>
                              </w:rPr>
                              <w:t>products</w:t>
                            </w:r>
                            <w:proofErr w:type="gramEnd"/>
                            <w:r w:rsidRPr="007E7126">
                              <w:rPr>
                                <w:szCs w:val="20"/>
                              </w:rPr>
                              <w:t xml:space="preserve">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842E9" id="_x0000_t202" coordsize="21600,21600" o:spt="202" path="m,l,21600r21600,l21600,xe">
                <v:stroke joinstyle="miter"/>
                <v:path gradientshapeok="t" o:connecttype="rect"/>
              </v:shapetype>
              <v:shape id="Text Box 3" o:spid="_x0000_s1026" type="#_x0000_t202" style="position:absolute;margin-left:248.8pt;margin-top:-.15pt;width:211.5pt;height:375.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" filled="f" strokecolor="#c00000" strokeweight=".5pt">
                <v:textbox>
                  <w:txbxContent>
                    <w:p w14:paraId="262C5125" w14:textId="77777777" w:rsidR="00EC7566" w:rsidRPr="007E7126" w:rsidRDefault="00EC7566" w:rsidP="00EC7566">
                      <w:pPr>
                        <w:spacing w:after="0"/>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0D31B9C9" w14:textId="77777777" w:rsidR="00EC7566" w:rsidRPr="007E7126" w:rsidRDefault="00EC7566" w:rsidP="00EC7566">
                      <w:pPr>
                        <w:spacing w:after="0"/>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47B1071F" w14:textId="77777777" w:rsidR="00EC7566" w:rsidRPr="009C1375" w:rsidRDefault="00EC7566" w:rsidP="00EC7566">
                      <w:pPr>
                        <w:spacing w:after="0"/>
                        <w:rPr>
                          <w:szCs w:val="20"/>
                        </w:rPr>
                      </w:pPr>
                      <w:r w:rsidRPr="007E7126">
                        <w:rPr>
                          <w:szCs w:val="20"/>
                        </w:rPr>
                        <w:t xml:space="preserve">This case study may list persons, organisations, </w:t>
                      </w:r>
                      <w:proofErr w:type="gramStart"/>
                      <w:r w:rsidRPr="007E7126">
                        <w:rPr>
                          <w:szCs w:val="20"/>
                        </w:rPr>
                        <w:t>products</w:t>
                      </w:r>
                      <w:proofErr w:type="gramEnd"/>
                      <w:r w:rsidRPr="007E7126">
                        <w:rPr>
                          <w:szCs w:val="20"/>
                        </w:rPr>
                        <w:t xml:space="preserve">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v:textbox>
                <w10:wrap anchorx="margin"/>
              </v:shape>
            </w:pict>
          </mc:Fallback>
        </mc:AlternateContent>
      </w:r>
      <w:r w:rsidRPr="00EC7566">
        <w:rPr>
          <w:rFonts w:ascii="Calibri" w:eastAsia="Times New Roman" w:hAnsi="Calibri" w:cs="Calibri"/>
          <w:color w:val="000000"/>
          <w:sz w:val="19"/>
          <w:szCs w:val="19"/>
          <w:lang w:val="en-GB" w:eastAsia="en-AU"/>
        </w:rPr>
        <w:t>agencies to promote a cooperative approach to improving WHS performance.</w:t>
      </w:r>
    </w:p>
    <w:p w14:paraId="29F2F1EA" w14:textId="77777777" w:rsidR="00C10C19" w:rsidRPr="00EC7566" w:rsidRDefault="00EC7566" w:rsidP="00EC7566">
      <w:pPr>
        <w:pStyle w:val="Heading1"/>
        <w:ind w:right="-120"/>
      </w:pPr>
      <w:r w:rsidRPr="00EC7566">
        <w:rPr>
          <w:rFonts w:eastAsia="Times New Roman" w:cs="Calibri"/>
          <w:b w:val="0"/>
          <w:bCs w:val="0"/>
          <w:noProof/>
          <w:color w:val="auto"/>
          <w:sz w:val="24"/>
          <w:szCs w:val="24"/>
          <w:lang w:eastAsia="en-AU"/>
        </w:rPr>
        <mc:AlternateContent>
          <mc:Choice Requires="wps">
            <w:drawing>
              <wp:anchor distT="0" distB="0" distL="114300" distR="114300" simplePos="0" relativeHeight="251659264" behindDoc="1" locked="0" layoutInCell="1" allowOverlap="1" wp14:anchorId="6914EE45" wp14:editId="6305B18B">
                <wp:simplePos x="0" y="0"/>
                <wp:positionH relativeFrom="margin">
                  <wp:align>left</wp:align>
                </wp:positionH>
                <wp:positionV relativeFrom="paragraph">
                  <wp:posOffset>572135</wp:posOffset>
                </wp:positionV>
                <wp:extent cx="2705100" cy="1200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05100" cy="1200150"/>
                        </a:xfrm>
                        <a:prstGeom prst="rect">
                          <a:avLst/>
                        </a:prstGeom>
                        <a:solidFill>
                          <a:sysClr val="window" lastClr="FFFFFF">
                            <a:lumMod val="85000"/>
                          </a:sysClr>
                        </a:solidFill>
                        <a:ln w="6350">
                          <a:noFill/>
                        </a:ln>
                      </wps:spPr>
                      <wps:txbx>
                        <w:txbxContent>
                          <w:p w14:paraId="3DBD2123" w14:textId="77777777" w:rsidR="00EC7566" w:rsidRPr="00EC7566" w:rsidRDefault="00EC7566" w:rsidP="00EC7566">
                            <w:pPr>
                              <w:rPr>
                                <w:rFonts w:ascii="Calibri" w:eastAsia="Times New Roman" w:hAnsi="Calibri" w:cs="Times New Roman"/>
                                <w:b/>
                                <w:bCs/>
                                <w:sz w:val="28"/>
                                <w:szCs w:val="26"/>
                              </w:rPr>
                            </w:pPr>
                            <w:r w:rsidRPr="00EC7566">
                              <w:rPr>
                                <w:rFonts w:ascii="Calibri" w:eastAsia="Times New Roman" w:hAnsi="Calibri" w:cs="Times New Roman"/>
                                <w:b/>
                                <w:bCs/>
                                <w:sz w:val="28"/>
                                <w:szCs w:val="26"/>
                              </w:rPr>
                              <w:t>For further information:</w:t>
                            </w:r>
                          </w:p>
                          <w:p w14:paraId="1BAD0812" w14:textId="77777777" w:rsidR="00EC7566" w:rsidRPr="00DB79B9" w:rsidRDefault="00EC7566" w:rsidP="00EC7566">
                            <w:pPr>
                              <w:pStyle w:val="ListParagraph"/>
                              <w:numPr>
                                <w:ilvl w:val="0"/>
                                <w:numId w:val="19"/>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581B5189" w14:textId="77777777" w:rsidR="00EC7566" w:rsidRPr="00DB79B9" w:rsidRDefault="00EC7566" w:rsidP="00EC7566">
                            <w:pPr>
                              <w:pStyle w:val="ListParagraph"/>
                              <w:numPr>
                                <w:ilvl w:val="0"/>
                                <w:numId w:val="19"/>
                              </w:numPr>
                              <w:spacing w:line="240" w:lineRule="auto"/>
                              <w:ind w:left="284" w:hanging="284"/>
                              <w:rPr>
                                <w:szCs w:val="20"/>
                              </w:rPr>
                            </w:pPr>
                            <w:r w:rsidRPr="00DB79B9">
                              <w:rPr>
                                <w:szCs w:val="20"/>
                              </w:rPr>
                              <w:t xml:space="preserve">Contact the FSC Assist Line on </w:t>
                            </w:r>
                            <w:r w:rsidRPr="00DB79B9">
                              <w:rPr>
                                <w:b/>
                                <w:szCs w:val="20"/>
                              </w:rPr>
                              <w:t>1800 652 500</w:t>
                            </w:r>
                          </w:p>
                          <w:p w14:paraId="2B13DB0C" w14:textId="2B8667C5" w:rsidR="00EC7566" w:rsidRPr="00DB79B9" w:rsidRDefault="00EC7566" w:rsidP="00EC7566">
                            <w:pPr>
                              <w:pStyle w:val="ListParagraph"/>
                              <w:numPr>
                                <w:ilvl w:val="0"/>
                                <w:numId w:val="19"/>
                              </w:numPr>
                              <w:spacing w:line="240" w:lineRule="auto"/>
                              <w:ind w:left="284" w:hanging="284"/>
                              <w:rPr>
                                <w:szCs w:val="20"/>
                              </w:rPr>
                            </w:pPr>
                            <w:r w:rsidRPr="00DB79B9">
                              <w:rPr>
                                <w:szCs w:val="20"/>
                              </w:rPr>
                              <w:t xml:space="preserve">Contact the OFSC via email at </w:t>
                            </w:r>
                            <w:r w:rsidRPr="00DB79B9">
                              <w:rPr>
                                <w:b/>
                                <w:szCs w:val="20"/>
                              </w:rPr>
                              <w:t>ofsc@</w:t>
                            </w:r>
                            <w:r w:rsidR="0069011B">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4EE45" id="_x0000_t202" coordsize="21600,21600" o:spt="202" path="m,l,21600r21600,l21600,xe">
                <v:stroke joinstyle="miter"/>
                <v:path gradientshapeok="t" o:connecttype="rect"/>
              </v:shapetype>
              <v:shape id="Text Box 1" o:spid="_x0000_s1027" type="#_x0000_t202" style="position:absolute;margin-left:0;margin-top:45.05pt;width:213pt;height:94.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" fillcolor="#d9d9d9" stroked="f" strokeweight=".5pt">
                <v:textbox>
                  <w:txbxContent>
                    <w:p w14:paraId="3DBD2123" w14:textId="77777777" w:rsidR="00EC7566" w:rsidRPr="00EC7566" w:rsidRDefault="00EC7566" w:rsidP="00EC7566">
                      <w:pPr>
                        <w:rPr>
                          <w:rFonts w:ascii="Calibri" w:eastAsia="Times New Roman" w:hAnsi="Calibri" w:cs="Times New Roman"/>
                          <w:b/>
                          <w:bCs/>
                          <w:sz w:val="28"/>
                          <w:szCs w:val="26"/>
                        </w:rPr>
                      </w:pPr>
                      <w:r w:rsidRPr="00EC7566">
                        <w:rPr>
                          <w:rFonts w:ascii="Calibri" w:eastAsia="Times New Roman" w:hAnsi="Calibri" w:cs="Times New Roman"/>
                          <w:b/>
                          <w:bCs/>
                          <w:sz w:val="28"/>
                          <w:szCs w:val="26"/>
                        </w:rPr>
                        <w:t>For further information:</w:t>
                      </w:r>
                    </w:p>
                    <w:p w14:paraId="1BAD0812" w14:textId="77777777" w:rsidR="00EC7566" w:rsidRPr="00DB79B9" w:rsidRDefault="00EC7566" w:rsidP="00EC7566">
                      <w:pPr>
                        <w:pStyle w:val="ListParagraph"/>
                        <w:numPr>
                          <w:ilvl w:val="0"/>
                          <w:numId w:val="19"/>
                        </w:numPr>
                        <w:spacing w:line="240" w:lineRule="auto"/>
                        <w:ind w:left="284" w:hanging="284"/>
                        <w:rPr>
                          <w:szCs w:val="20"/>
                        </w:rPr>
                      </w:pPr>
                      <w:r w:rsidRPr="00DB79B9">
                        <w:rPr>
                          <w:szCs w:val="20"/>
                        </w:rPr>
                        <w:t xml:space="preserve">Visit the FSC website at </w:t>
                      </w:r>
                      <w:r w:rsidRPr="00250412">
                        <w:rPr>
                          <w:b/>
                          <w:szCs w:val="20"/>
                        </w:rPr>
                        <w:t>www.fsc</w:t>
                      </w:r>
                      <w:r w:rsidRPr="00DB79B9">
                        <w:rPr>
                          <w:b/>
                          <w:szCs w:val="20"/>
                        </w:rPr>
                        <w:t>.gov.au</w:t>
                      </w:r>
                    </w:p>
                    <w:p w14:paraId="581B5189" w14:textId="77777777" w:rsidR="00EC7566" w:rsidRPr="00DB79B9" w:rsidRDefault="00EC7566" w:rsidP="00EC7566">
                      <w:pPr>
                        <w:pStyle w:val="ListParagraph"/>
                        <w:numPr>
                          <w:ilvl w:val="0"/>
                          <w:numId w:val="19"/>
                        </w:numPr>
                        <w:spacing w:line="240" w:lineRule="auto"/>
                        <w:ind w:left="284" w:hanging="284"/>
                        <w:rPr>
                          <w:szCs w:val="20"/>
                        </w:rPr>
                      </w:pPr>
                      <w:r w:rsidRPr="00DB79B9">
                        <w:rPr>
                          <w:szCs w:val="20"/>
                        </w:rPr>
                        <w:t xml:space="preserve">Contact the FSC Assist Line on </w:t>
                      </w:r>
                      <w:r w:rsidRPr="00DB79B9">
                        <w:rPr>
                          <w:b/>
                          <w:szCs w:val="20"/>
                        </w:rPr>
                        <w:t>1800 652 500</w:t>
                      </w:r>
                    </w:p>
                    <w:p w14:paraId="2B13DB0C" w14:textId="2B8667C5" w:rsidR="00EC7566" w:rsidRPr="00DB79B9" w:rsidRDefault="00EC7566" w:rsidP="00EC7566">
                      <w:pPr>
                        <w:pStyle w:val="ListParagraph"/>
                        <w:numPr>
                          <w:ilvl w:val="0"/>
                          <w:numId w:val="19"/>
                        </w:numPr>
                        <w:spacing w:line="240" w:lineRule="auto"/>
                        <w:ind w:left="284" w:hanging="284"/>
                        <w:rPr>
                          <w:szCs w:val="20"/>
                        </w:rPr>
                      </w:pPr>
                      <w:r w:rsidRPr="00DB79B9">
                        <w:rPr>
                          <w:szCs w:val="20"/>
                        </w:rPr>
                        <w:t xml:space="preserve">Contact the OFSC via email at </w:t>
                      </w:r>
                      <w:r w:rsidRPr="00DB79B9">
                        <w:rPr>
                          <w:b/>
                          <w:szCs w:val="20"/>
                        </w:rPr>
                        <w:t>ofsc@</w:t>
                      </w:r>
                      <w:r w:rsidR="0069011B">
                        <w:rPr>
                          <w:b/>
                          <w:szCs w:val="20"/>
                        </w:rPr>
                        <w:t>dewr.gov.au</w:t>
                      </w:r>
                    </w:p>
                  </w:txbxContent>
                </v:textbox>
                <w10:wrap anchorx="margin"/>
              </v:shape>
            </w:pict>
          </mc:Fallback>
        </mc:AlternateContent>
      </w:r>
      <w:r w:rsidRPr="00EC7566">
        <w:rPr>
          <w:rFonts w:eastAsia="Times New Roman" w:cs="Calibri"/>
          <w:bCs w:val="0"/>
          <w:color w:val="000000"/>
          <w:sz w:val="19"/>
          <w:szCs w:val="19"/>
          <w:lang w:val="en-GB" w:eastAsia="en-AU"/>
        </w:rPr>
        <w:t>The vision of the Federal Safety Commissioner is a building and construction industry where no one is harmed</w:t>
      </w:r>
      <w:bookmarkEnd w:id="0"/>
      <w:r w:rsidRPr="00EC7566">
        <w:rPr>
          <w:rFonts w:eastAsia="Times New Roman" w:cs="Calibri"/>
          <w:bCs w:val="0"/>
          <w:color w:val="000000"/>
          <w:sz w:val="19"/>
          <w:szCs w:val="19"/>
          <w:lang w:val="en-GB" w:eastAsia="en-AU"/>
        </w:rPr>
        <w:t>.</w:t>
      </w:r>
      <w:r w:rsidRPr="00EC7566">
        <w:rPr>
          <w:rFonts w:eastAsia="Times New Roman" w:cs="Calibri"/>
          <w:b w:val="0"/>
          <w:bCs w:val="0"/>
          <w:noProof/>
          <w:color w:val="auto"/>
          <w:sz w:val="24"/>
          <w:szCs w:val="24"/>
          <w:lang w:eastAsia="en-AU"/>
        </w:rPr>
        <w:t xml:space="preserve"> </w:t>
      </w:r>
    </w:p>
    <w:sectPr w:rsidR="00C10C19" w:rsidRPr="00EC7566" w:rsidSect="00F21E2E">
      <w:headerReference w:type="default" r:id="rId13"/>
      <w:footerReference w:type="default" r:id="rId14"/>
      <w:type w:val="continuous"/>
      <w:pgSz w:w="11906" w:h="16838"/>
      <w:pgMar w:top="1276" w:right="1440" w:bottom="1440"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C4057" w14:textId="77777777" w:rsidR="00130923" w:rsidRDefault="00130923" w:rsidP="00130923">
      <w:pPr>
        <w:spacing w:after="0" w:line="240" w:lineRule="auto"/>
      </w:pPr>
      <w:r>
        <w:separator/>
      </w:r>
    </w:p>
  </w:endnote>
  <w:endnote w:type="continuationSeparator" w:id="0">
    <w:p w14:paraId="6ED0D2D9"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2A2D" w14:textId="77777777" w:rsidR="003242B9" w:rsidRPr="000B1D63" w:rsidRDefault="003563EF"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433E7D6B" wp14:editId="4F5E43EB">
          <wp:simplePos x="0" y="0"/>
          <wp:positionH relativeFrom="page">
            <wp:align>left</wp:align>
          </wp:positionH>
          <wp:positionV relativeFrom="paragraph">
            <wp:posOffset>-204470</wp:posOffset>
          </wp:positionV>
          <wp:extent cx="7664400" cy="7056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r w:rsidR="000B1D63">
      <w:tab/>
    </w:r>
    <w:r w:rsidR="000B1D63">
      <w:tab/>
    </w:r>
    <w:r w:rsidR="000B1D63">
      <w:tab/>
    </w:r>
    <w:r w:rsidR="00923C84">
      <w:tab/>
    </w:r>
    <w:r w:rsidR="000B1D63">
      <w:tab/>
    </w:r>
    <w:sdt>
      <w:sdtPr>
        <w:id w:val="-687298692"/>
        <w:docPartObj>
          <w:docPartGallery w:val="Page Numbers (Bottom of Page)"/>
          <w:docPartUnique/>
        </w:docPartObj>
      </w:sdtPr>
      <w:sdtEndPr>
        <w:rPr>
          <w:noProof/>
          <w:color w:val="FFFFFF" w:themeColor="background2"/>
        </w:rPr>
      </w:sdtEndPr>
      <w:sdtContent>
        <w:r w:rsidR="003242B9" w:rsidRPr="000B1D63">
          <w:rPr>
            <w:color w:val="FFFFFF" w:themeColor="background2"/>
          </w:rPr>
          <w:fldChar w:fldCharType="begin"/>
        </w:r>
        <w:r w:rsidR="003242B9" w:rsidRPr="000B1D63">
          <w:rPr>
            <w:color w:val="FFFFFF" w:themeColor="background2"/>
          </w:rPr>
          <w:instrText xml:space="preserve"> PAGE   \* MERGEFORMAT </w:instrText>
        </w:r>
        <w:r w:rsidR="003242B9" w:rsidRPr="000B1D63">
          <w:rPr>
            <w:color w:val="FFFFFF" w:themeColor="background2"/>
          </w:rPr>
          <w:fldChar w:fldCharType="separate"/>
        </w:r>
        <w:r w:rsidR="00975109">
          <w:rPr>
            <w:noProof/>
            <w:color w:val="FFFFFF" w:themeColor="background2"/>
          </w:rPr>
          <w:t>1</w:t>
        </w:r>
        <w:r w:rsidR="003242B9" w:rsidRPr="000B1D63">
          <w:rPr>
            <w:noProof/>
            <w:color w:val="FFFFFF" w:themeColor="background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82A7" w14:textId="77777777" w:rsidR="003242B9" w:rsidRDefault="003563EF" w:rsidP="00A73406">
    <w:pPr>
      <w:pStyle w:val="Footer"/>
      <w:tabs>
        <w:tab w:val="clear" w:pos="9026"/>
        <w:tab w:val="right" w:pos="8647"/>
      </w:tabs>
      <w:ind w:firstLine="720"/>
      <w:jc w:val="right"/>
    </w:pPr>
    <w:r>
      <w:rPr>
        <w:noProof/>
        <w:lang w:eastAsia="en-AU"/>
      </w:rPr>
      <w:drawing>
        <wp:anchor distT="0" distB="0" distL="114300" distR="114300" simplePos="0" relativeHeight="251660288" behindDoc="1" locked="0" layoutInCell="1" allowOverlap="1" wp14:anchorId="6E60643D" wp14:editId="02F25826">
          <wp:simplePos x="0" y="0"/>
          <wp:positionH relativeFrom="page">
            <wp:align>left</wp:align>
          </wp:positionH>
          <wp:positionV relativeFrom="paragraph">
            <wp:posOffset>-305435</wp:posOffset>
          </wp:positionV>
          <wp:extent cx="7664400" cy="705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sdt>
      <w:sdtPr>
        <w:id w:val="743069892"/>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sidR="00975109">
          <w:rPr>
            <w:noProof/>
          </w:rPr>
          <w:t>2</w:t>
        </w:r>
        <w:r w:rsidR="003242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91196" w14:textId="77777777" w:rsidR="00130923" w:rsidRDefault="00130923" w:rsidP="00130923">
      <w:pPr>
        <w:spacing w:after="0" w:line="240" w:lineRule="auto"/>
      </w:pPr>
      <w:r>
        <w:separator/>
      </w:r>
    </w:p>
  </w:footnote>
  <w:footnote w:type="continuationSeparator" w:id="0">
    <w:p w14:paraId="753B3AFF" w14:textId="77777777"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459B" w14:textId="77777777" w:rsidR="00560CA0" w:rsidRDefault="00EC7566" w:rsidP="00560CA0">
    <w:pPr>
      <w:pStyle w:val="Header"/>
      <w:jc w:val="right"/>
    </w:pPr>
    <w:r>
      <w:t xml:space="preserve">Fall </w:t>
    </w:r>
    <w:proofErr w:type="spellStart"/>
    <w:r>
      <w:t>Protetion</w:t>
    </w:r>
    <w:proofErr w:type="spellEnd"/>
    <w:r>
      <w:t xml:space="preserve"> in formwork: </w:t>
    </w:r>
    <w:proofErr w:type="spellStart"/>
    <w:r>
      <w:t>Dalma</w:t>
    </w:r>
    <w:proofErr w:type="spellEnd"/>
    <w:r>
      <w:t xml:space="preserve"> Formwork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5"/>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10"/>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861A6"/>
    <w:rsid w:val="000B1D63"/>
    <w:rsid w:val="000E6FBB"/>
    <w:rsid w:val="000F3BA2"/>
    <w:rsid w:val="001175BF"/>
    <w:rsid w:val="00130923"/>
    <w:rsid w:val="001414F3"/>
    <w:rsid w:val="00143FCD"/>
    <w:rsid w:val="001B6467"/>
    <w:rsid w:val="00223EB1"/>
    <w:rsid w:val="00236917"/>
    <w:rsid w:val="00243D6B"/>
    <w:rsid w:val="00254BF6"/>
    <w:rsid w:val="002854D6"/>
    <w:rsid w:val="002B06E6"/>
    <w:rsid w:val="002D271F"/>
    <w:rsid w:val="002D6386"/>
    <w:rsid w:val="00305B35"/>
    <w:rsid w:val="003242B9"/>
    <w:rsid w:val="003563EF"/>
    <w:rsid w:val="00367BAD"/>
    <w:rsid w:val="003D67FC"/>
    <w:rsid w:val="003E1E60"/>
    <w:rsid w:val="003E3FAB"/>
    <w:rsid w:val="00406E5A"/>
    <w:rsid w:val="00455B34"/>
    <w:rsid w:val="0048762C"/>
    <w:rsid w:val="004B256F"/>
    <w:rsid w:val="004C5911"/>
    <w:rsid w:val="004D54E7"/>
    <w:rsid w:val="005113B6"/>
    <w:rsid w:val="00523A06"/>
    <w:rsid w:val="00531817"/>
    <w:rsid w:val="00560CA0"/>
    <w:rsid w:val="005624F3"/>
    <w:rsid w:val="00562BDF"/>
    <w:rsid w:val="005811EF"/>
    <w:rsid w:val="005B0878"/>
    <w:rsid w:val="005C15C0"/>
    <w:rsid w:val="00610654"/>
    <w:rsid w:val="0065331F"/>
    <w:rsid w:val="0067026C"/>
    <w:rsid w:val="006710C6"/>
    <w:rsid w:val="0069011B"/>
    <w:rsid w:val="006A5BDD"/>
    <w:rsid w:val="006E2D49"/>
    <w:rsid w:val="007468FC"/>
    <w:rsid w:val="00765ABB"/>
    <w:rsid w:val="00792CA3"/>
    <w:rsid w:val="007B2FDD"/>
    <w:rsid w:val="007F7F1E"/>
    <w:rsid w:val="0083468A"/>
    <w:rsid w:val="0084292A"/>
    <w:rsid w:val="00842D43"/>
    <w:rsid w:val="00856D1C"/>
    <w:rsid w:val="00876AC0"/>
    <w:rsid w:val="008D3832"/>
    <w:rsid w:val="009116EA"/>
    <w:rsid w:val="00923C84"/>
    <w:rsid w:val="00933671"/>
    <w:rsid w:val="00955DCD"/>
    <w:rsid w:val="00972DD5"/>
    <w:rsid w:val="00975109"/>
    <w:rsid w:val="00984879"/>
    <w:rsid w:val="00985632"/>
    <w:rsid w:val="00991B63"/>
    <w:rsid w:val="009B2428"/>
    <w:rsid w:val="009B5CB7"/>
    <w:rsid w:val="00A31242"/>
    <w:rsid w:val="00A52530"/>
    <w:rsid w:val="00A551BF"/>
    <w:rsid w:val="00A70524"/>
    <w:rsid w:val="00A73406"/>
    <w:rsid w:val="00A904EC"/>
    <w:rsid w:val="00AC65DA"/>
    <w:rsid w:val="00B2722A"/>
    <w:rsid w:val="00B34D6E"/>
    <w:rsid w:val="00B618BA"/>
    <w:rsid w:val="00B66173"/>
    <w:rsid w:val="00C05E74"/>
    <w:rsid w:val="00C10C19"/>
    <w:rsid w:val="00C5649C"/>
    <w:rsid w:val="00C75486"/>
    <w:rsid w:val="00C8202C"/>
    <w:rsid w:val="00C92A5B"/>
    <w:rsid w:val="00CA46EC"/>
    <w:rsid w:val="00D1394D"/>
    <w:rsid w:val="00D903FD"/>
    <w:rsid w:val="00D94BC5"/>
    <w:rsid w:val="00D96C08"/>
    <w:rsid w:val="00EC7566"/>
    <w:rsid w:val="00ED43D2"/>
    <w:rsid w:val="00EE3B8C"/>
    <w:rsid w:val="00EF4A38"/>
    <w:rsid w:val="00F21E2E"/>
    <w:rsid w:val="00F5755C"/>
    <w:rsid w:val="00F80080"/>
    <w:rsid w:val="00FB0AEA"/>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16C6776"/>
  <w15:docId w15:val="{534C0EF2-0A4B-4999-947E-5B36DC89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7F7F1E"/>
    <w:pPr>
      <w:spacing w:after="24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F7F1E"/>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F776B7-950E-494C-9F66-132EA2BA4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A530D0-E98C-4E5C-9B35-065C01DFD41B}">
  <ds:schemaRefs>
    <ds:schemaRef ds:uri="http://schemas.openxmlformats.org/officeDocument/2006/bibliography"/>
  </ds:schemaRefs>
</ds:datastoreItem>
</file>

<file path=customXml/itemProps3.xml><?xml version="1.0" encoding="utf-8"?>
<ds:datastoreItem xmlns:ds="http://schemas.openxmlformats.org/officeDocument/2006/customXml" ds:itemID="{9FC252A6-22C4-4824-BD3A-12D87D6ABA99}">
  <ds:schemaRefs>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CEEE42C9-86C5-4FC9-88A8-ABF90AE34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630</Words>
  <Characters>3386</Characters>
  <Application>Microsoft Office Word</Application>
  <DocSecurity>0</DocSecurity>
  <Lines>98</Lines>
  <Paragraphs>30</Paragraphs>
  <ScaleCrop>false</ScaleCrop>
  <HeadingPairs>
    <vt:vector size="2" baseType="variant">
      <vt:variant>
        <vt:lpstr>Title</vt:lpstr>
      </vt:variant>
      <vt:variant>
        <vt:i4>1</vt:i4>
      </vt:variant>
    </vt:vector>
  </HeadingPairs>
  <TitlesOfParts>
    <vt:vector size="1" baseType="lpstr">
      <vt:lpstr>Fall protection in formwork: Dalma Formwork</vt:lpstr>
    </vt:vector>
  </TitlesOfParts>
  <Company>Australian Government</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protection in formwork: Dalma Formwork</dc:title>
  <dc:creator>Danny Thomas</dc:creator>
  <cp:lastModifiedBy>MATTON-JOHNSON,Elanor</cp:lastModifiedBy>
  <cp:revision>5</cp:revision>
  <cp:lastPrinted>2022-08-26T04:12:00Z</cp:lastPrinted>
  <dcterms:created xsi:type="dcterms:W3CDTF">2022-08-10T03:43:00Z</dcterms:created>
  <dcterms:modified xsi:type="dcterms:W3CDTF">2022-08-26T04:12:00Z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2022-08-10T03:43:43Z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f72286e4-00c6-4b49-8524-59e12600b95e</vt:lpwstr>
  </property>
  <property fmtid="{D5CDD505-2E9C-101B-9397-08002B2CF9AE}" pid="9" name="MSIP_Label_79d889eb-932f-4752-8739-64d25806ef64_ContentBits">
    <vt:lpwstr>0</vt:lpwstr>
  </property>
</Properties>
</file>