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BC32" w14:textId="77777777" w:rsidR="000E6FBB" w:rsidRDefault="0061593F" w:rsidP="00F5755C">
      <w:pPr>
        <w:ind w:left="-238"/>
      </w:pPr>
      <w:r w:rsidRPr="00A13CB9">
        <w:rPr>
          <w:rFonts w:ascii="Calibri" w:eastAsia="Times New Roman" w:hAnsi="Calibri" w:cs="Times New Roman"/>
          <w:b/>
          <w:noProof/>
          <w:sz w:val="44"/>
          <w:szCs w:val="44"/>
          <w:lang w:eastAsia="en-AU"/>
        </w:rPr>
        <w:drawing>
          <wp:anchor distT="0" distB="0" distL="114300" distR="114300" simplePos="0" relativeHeight="251662336" behindDoc="0" locked="0" layoutInCell="1" allowOverlap="1" wp14:anchorId="6909D38A" wp14:editId="231F1958">
            <wp:simplePos x="0" y="0"/>
            <wp:positionH relativeFrom="margin">
              <wp:posOffset>-151130</wp:posOffset>
            </wp:positionH>
            <wp:positionV relativeFrom="margin">
              <wp:posOffset>8890</wp:posOffset>
            </wp:positionV>
            <wp:extent cx="7604760" cy="1410335"/>
            <wp:effectExtent l="0" t="0" r="0" b="0"/>
            <wp:wrapThrough wrapText="bothSides">
              <wp:wrapPolygon edited="0">
                <wp:start x="0" y="0"/>
                <wp:lineTo x="0" y="21299"/>
                <wp:lineTo x="21535" y="21299"/>
                <wp:lineTo x="215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p w14:paraId="0E16BA43" w14:textId="77777777" w:rsidR="00C10C19" w:rsidRDefault="003F6237" w:rsidP="00FE5233">
      <w:pPr>
        <w:pStyle w:val="Title"/>
        <w:ind w:right="-119"/>
        <w:jc w:val="center"/>
      </w:pPr>
      <w:sdt>
        <w:sdtPr>
          <w:rPr>
            <w:sz w:val="40"/>
            <w:szCs w:val="40"/>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r w:rsidR="00934F82">
            <w:rPr>
              <w:sz w:val="40"/>
              <w:szCs w:val="40"/>
            </w:rPr>
            <w:t>Fact Sheet: Verification of Competency – Mobile Plant</w:t>
          </w:r>
        </w:sdtContent>
      </w:sdt>
    </w:p>
    <w:p w14:paraId="18F445A1" w14:textId="77777777" w:rsidR="004D54E7" w:rsidRPr="00977F62" w:rsidRDefault="004D54E7" w:rsidP="00F5755C">
      <w:pPr>
        <w:pStyle w:val="DeleteText"/>
        <w:ind w:left="1276" w:right="-120"/>
        <w:contextualSpacing/>
        <w:rPr>
          <w:rFonts w:ascii="Calibri" w:eastAsiaTheme="majorEastAsia" w:hAnsi="Calibri" w:cstheme="majorBidi"/>
          <w:b/>
          <w:color w:val="C00000"/>
          <w:spacing w:val="5"/>
          <w:sz w:val="40"/>
          <w:szCs w:val="40"/>
        </w:rPr>
        <w:sectPr w:rsidR="004D54E7" w:rsidRPr="00977F62" w:rsidSect="00923C84">
          <w:footerReference w:type="default" r:id="rId12"/>
          <w:type w:val="continuous"/>
          <w:pgSz w:w="11906" w:h="16838"/>
          <w:pgMar w:top="0" w:right="1440" w:bottom="1440" w:left="238" w:header="709" w:footer="567" w:gutter="0"/>
          <w:cols w:space="708"/>
          <w:docGrid w:linePitch="360"/>
        </w:sectPr>
      </w:pPr>
      <w:bookmarkStart w:id="0" w:name="_Toc364946114"/>
    </w:p>
    <w:p w14:paraId="156A6EF6" w14:textId="36DE8E44" w:rsidR="004B7CE6" w:rsidRPr="00D16A17" w:rsidRDefault="004B7CE6" w:rsidP="004B7CE6">
      <w:pPr>
        <w:ind w:right="42"/>
      </w:pPr>
      <w:r w:rsidRPr="00D16A17">
        <w:t>This Fact Sheet has been developed to provide information regarding the standards and expectations of the O</w:t>
      </w:r>
      <w:r>
        <w:t>ffice of the Federal Safety Commissioner (O</w:t>
      </w:r>
      <w:r w:rsidRPr="00D16A17">
        <w:t>FSC</w:t>
      </w:r>
      <w:r>
        <w:t>)</w:t>
      </w:r>
      <w:r w:rsidRPr="00D16A17">
        <w:t xml:space="preserve"> in relation to competency requirements for the operation of mobile plant.</w:t>
      </w:r>
    </w:p>
    <w:p w14:paraId="07F6F857" w14:textId="7B01D420" w:rsidR="004B7CE6" w:rsidRPr="00D16A17" w:rsidRDefault="004B7CE6" w:rsidP="004B7CE6">
      <w:pPr>
        <w:ind w:right="42"/>
      </w:pPr>
      <w:r w:rsidRPr="00D16A17">
        <w:t>V</w:t>
      </w:r>
      <w:r w:rsidR="00E05B24">
        <w:t xml:space="preserve">erification </w:t>
      </w:r>
      <w:r w:rsidRPr="00D16A17">
        <w:t>o</w:t>
      </w:r>
      <w:r w:rsidR="00E05B24">
        <w:t xml:space="preserve">f </w:t>
      </w:r>
      <w:r w:rsidRPr="00D16A17">
        <w:t>C</w:t>
      </w:r>
      <w:r w:rsidR="00E05B24">
        <w:t>ompetency (</w:t>
      </w:r>
      <w:proofErr w:type="spellStart"/>
      <w:r w:rsidR="00E05B24">
        <w:t>VoC</w:t>
      </w:r>
      <w:proofErr w:type="spellEnd"/>
      <w:r w:rsidR="00E05B24">
        <w:t>)</w:t>
      </w:r>
      <w:r w:rsidRPr="00D16A17">
        <w:t xml:space="preserve"> is defined within the OFSC Evidence Guide as ‘a method of documented evaluation of the skill level of a person against defined competency standards in order to evaluate the person's ability to carry out the relevant activity or works.’ </w:t>
      </w:r>
    </w:p>
    <w:p w14:paraId="0606772F" w14:textId="017B63E5" w:rsidR="00977F62" w:rsidRPr="00D16A17" w:rsidRDefault="00977F62" w:rsidP="00977F62">
      <w:pPr>
        <w:ind w:right="42"/>
      </w:pPr>
      <w:r w:rsidRPr="00D16A17">
        <w:t xml:space="preserve">OFSC Audit Criterion H16.8 </w:t>
      </w:r>
      <w:r w:rsidR="00E05B24">
        <w:t xml:space="preserve">specifically </w:t>
      </w:r>
      <w:r w:rsidRPr="00D16A17">
        <w:t xml:space="preserve">requires a system to be in place to define the competency requirements for the operation of mobile plant, which may be a combination of licences, formal training through an RTO and/or a </w:t>
      </w:r>
      <w:proofErr w:type="spellStart"/>
      <w:r w:rsidRPr="00D16A17">
        <w:t>VoC</w:t>
      </w:r>
      <w:proofErr w:type="spellEnd"/>
      <w:r w:rsidRPr="00D16A17">
        <w:t xml:space="preserve"> process. </w:t>
      </w:r>
    </w:p>
    <w:p w14:paraId="2B28341C" w14:textId="4925FE00" w:rsidR="00977F62" w:rsidRPr="00D16A17" w:rsidRDefault="00E05B24" w:rsidP="00977F62">
      <w:pPr>
        <w:ind w:right="42"/>
      </w:pPr>
      <w:r>
        <w:t>The following sections outline acceptable evidence in meeting this requirement, as well as clarifying what is not required, in addressing competency for mobile plant operators. Importantly, i</w:t>
      </w:r>
      <w:r w:rsidR="00977F62" w:rsidRPr="00D16A17">
        <w:t xml:space="preserve">f a company has a system that requires additional verification </w:t>
      </w:r>
      <w:r>
        <w:t xml:space="preserve">of competency </w:t>
      </w:r>
      <w:r w:rsidR="00977F62" w:rsidRPr="00D16A17">
        <w:t>beyond OFSC requirements, it is expected that the company’s defined requirements are followed, and these will be subject to review at OFSC audits.</w:t>
      </w:r>
    </w:p>
    <w:p w14:paraId="4063DEDA" w14:textId="3AC82C6C" w:rsidR="00977F62" w:rsidRPr="00411F66" w:rsidRDefault="00E05B24" w:rsidP="00411F66">
      <w:pPr>
        <w:pStyle w:val="Title"/>
        <w:ind w:right="-119"/>
        <w:rPr>
          <w:szCs w:val="28"/>
        </w:rPr>
      </w:pPr>
      <w:r w:rsidRPr="00411F66">
        <w:rPr>
          <w:sz w:val="28"/>
          <w:szCs w:val="28"/>
        </w:rPr>
        <w:t xml:space="preserve">Competency </w:t>
      </w:r>
      <w:r w:rsidR="00977F62" w:rsidRPr="00411F66">
        <w:rPr>
          <w:sz w:val="28"/>
          <w:szCs w:val="28"/>
        </w:rPr>
        <w:t>Requirements for Mobile Plant Operators</w:t>
      </w:r>
    </w:p>
    <w:p w14:paraId="52693260" w14:textId="04767FA9" w:rsidR="00977F62" w:rsidRPr="00411F66" w:rsidRDefault="00E05B24" w:rsidP="00977F62">
      <w:pPr>
        <w:pStyle w:val="Headingtwo"/>
        <w:rPr>
          <w:sz w:val="24"/>
          <w:szCs w:val="24"/>
          <w:u w:val="single"/>
        </w:rPr>
      </w:pPr>
      <w:r w:rsidRPr="00411F66">
        <w:rPr>
          <w:sz w:val="24"/>
          <w:szCs w:val="24"/>
          <w:u w:val="single"/>
        </w:rPr>
        <w:t>Required/acceptable evidence</w:t>
      </w:r>
      <w:r w:rsidR="00977F62" w:rsidRPr="00411F66">
        <w:rPr>
          <w:sz w:val="24"/>
          <w:szCs w:val="24"/>
          <w:u w:val="single"/>
        </w:rPr>
        <w:t>:</w:t>
      </w:r>
    </w:p>
    <w:p w14:paraId="2ED8853A" w14:textId="77777777" w:rsidR="00977F62" w:rsidRPr="00D16A17" w:rsidRDefault="00977F62" w:rsidP="00977F62">
      <w:pPr>
        <w:pStyle w:val="ListBullet"/>
        <w:ind w:left="369" w:right="-120" w:hanging="369"/>
      </w:pPr>
      <w:r w:rsidRPr="00D16A17">
        <w:t xml:space="preserve">High-Risk Work Licence issued by a State or Territory under the National Certification System as per the legislation; </w:t>
      </w:r>
      <w:r w:rsidRPr="00411F66">
        <w:rPr>
          <w:b/>
        </w:rPr>
        <w:t>or</w:t>
      </w:r>
    </w:p>
    <w:p w14:paraId="437BCEA6" w14:textId="196DD9C7" w:rsidR="00977F62" w:rsidRPr="00D16A17" w:rsidRDefault="00E9059C" w:rsidP="00977F62">
      <w:pPr>
        <w:pStyle w:val="ListBullet"/>
        <w:ind w:left="369" w:right="-120" w:hanging="369"/>
      </w:pPr>
      <w:r>
        <w:t>w</w:t>
      </w:r>
      <w:r w:rsidR="00977F62" w:rsidRPr="00D16A17">
        <w:t>here a High-Risk Work Licence is not required by legislation:</w:t>
      </w:r>
    </w:p>
    <w:p w14:paraId="7FB38234" w14:textId="453FF489" w:rsidR="00977F62" w:rsidRPr="00D16A17" w:rsidRDefault="00977F62" w:rsidP="003C74EA">
      <w:pPr>
        <w:pStyle w:val="ListBullet2"/>
      </w:pPr>
      <w:r w:rsidRPr="00D16A17">
        <w:t xml:space="preserve">Licence or Certificate of Competency issued under previous State or Territory legislation for which there is no longer a </w:t>
      </w:r>
      <w:r w:rsidRPr="00D16A17">
        <w:t>High Risk Work Licence required e.g. load</w:t>
      </w:r>
      <w:r w:rsidR="00E170EB">
        <w:t>-</w:t>
      </w:r>
      <w:r w:rsidRPr="00D16A17">
        <w:t xml:space="preserve">shifting equipment; </w:t>
      </w:r>
      <w:r w:rsidRPr="00411F66">
        <w:rPr>
          <w:b/>
        </w:rPr>
        <w:t>or</w:t>
      </w:r>
    </w:p>
    <w:p w14:paraId="2497052B" w14:textId="77777777" w:rsidR="00977F62" w:rsidRPr="00D16A17" w:rsidRDefault="00977F62" w:rsidP="003C74EA">
      <w:pPr>
        <w:pStyle w:val="ListBullet2"/>
      </w:pPr>
      <w:r w:rsidRPr="00D16A17">
        <w:t xml:space="preserve">Statement of Attainment or Certificate issued by a Registered Training Organisation (RTO) for the successful completion of the appropriate unit of competency in the Nationally Recognised Training (NRT) package; </w:t>
      </w:r>
      <w:r w:rsidRPr="00411F66">
        <w:rPr>
          <w:b/>
        </w:rPr>
        <w:t>or</w:t>
      </w:r>
    </w:p>
    <w:p w14:paraId="50AE1B43" w14:textId="77777777" w:rsidR="00977F62" w:rsidRPr="00D16A17" w:rsidRDefault="00977F62" w:rsidP="003C74EA">
      <w:pPr>
        <w:pStyle w:val="ListBullet2"/>
      </w:pPr>
      <w:r w:rsidRPr="00D16A17">
        <w:t xml:space="preserve">evidence of formal </w:t>
      </w:r>
      <w:proofErr w:type="spellStart"/>
      <w:r w:rsidRPr="00D16A17">
        <w:t>VoC</w:t>
      </w:r>
      <w:proofErr w:type="spellEnd"/>
      <w:r w:rsidRPr="00D16A17">
        <w:t xml:space="preserve"> assessment against defined competency standards, which should:</w:t>
      </w:r>
    </w:p>
    <w:p w14:paraId="4258AE9C" w14:textId="5A72C466" w:rsidR="00977F62" w:rsidRPr="00D16A17" w:rsidRDefault="00977F62" w:rsidP="003C74EA">
      <w:pPr>
        <w:pStyle w:val="ListBullet3"/>
        <w:numPr>
          <w:ilvl w:val="2"/>
          <w:numId w:val="38"/>
        </w:numPr>
      </w:pPr>
      <w:r w:rsidRPr="00D16A17">
        <w:t>be completed, or confirmed as having been completed, by the accredited company to an acceptable level;</w:t>
      </w:r>
    </w:p>
    <w:p w14:paraId="5F2F6545" w14:textId="77777777" w:rsidR="00977F62" w:rsidRPr="00D16A17" w:rsidRDefault="00977F62" w:rsidP="003C74EA">
      <w:pPr>
        <w:pStyle w:val="ListBullet3"/>
        <w:numPr>
          <w:ilvl w:val="2"/>
          <w:numId w:val="38"/>
        </w:numPr>
      </w:pPr>
      <w:r w:rsidRPr="00D16A17">
        <w:t>include a detailed and documented assessment standard;</w:t>
      </w:r>
    </w:p>
    <w:p w14:paraId="384CF6A9" w14:textId="38498C15" w:rsidR="00977F62" w:rsidRPr="00D16A17" w:rsidRDefault="00977F62" w:rsidP="003C74EA">
      <w:pPr>
        <w:pStyle w:val="ListBullet3"/>
        <w:numPr>
          <w:ilvl w:val="2"/>
          <w:numId w:val="38"/>
        </w:numPr>
      </w:pPr>
      <w:r w:rsidRPr="00D16A17">
        <w:t xml:space="preserve">be completed by a person (or persons) who meets the </w:t>
      </w:r>
      <w:r w:rsidR="00F40702">
        <w:t>minimum</w:t>
      </w:r>
      <w:r w:rsidR="00F40702" w:rsidRPr="00D16A17">
        <w:t xml:space="preserve"> </w:t>
      </w:r>
      <w:r w:rsidRPr="00D16A17">
        <w:t xml:space="preserve">competency as </w:t>
      </w:r>
      <w:r w:rsidR="00F40702">
        <w:t>an assessor for the item of plant</w:t>
      </w:r>
      <w:r w:rsidRPr="00D16A17">
        <w:t>; and</w:t>
      </w:r>
    </w:p>
    <w:p w14:paraId="7B9F8F20" w14:textId="3ECB1C61" w:rsidR="00977F62" w:rsidRDefault="00977F62" w:rsidP="003C74EA">
      <w:pPr>
        <w:pStyle w:val="ListBullet3"/>
        <w:numPr>
          <w:ilvl w:val="2"/>
          <w:numId w:val="38"/>
        </w:numPr>
      </w:pPr>
      <w:r w:rsidRPr="00D16A17">
        <w:t xml:space="preserve">be evidenced by a signed, completed </w:t>
      </w:r>
      <w:proofErr w:type="spellStart"/>
      <w:r w:rsidRPr="00D16A17">
        <w:t>VoC</w:t>
      </w:r>
      <w:proofErr w:type="spellEnd"/>
      <w:r w:rsidRPr="00D16A17">
        <w:t xml:space="preserve"> assessment.</w:t>
      </w:r>
    </w:p>
    <w:p w14:paraId="110C9021" w14:textId="788FDF49" w:rsidR="00F40702" w:rsidRPr="00FE5233" w:rsidRDefault="00F40702" w:rsidP="00FE5233">
      <w:pPr>
        <w:pStyle w:val="Headingtwo"/>
        <w:rPr>
          <w:sz w:val="24"/>
          <w:szCs w:val="24"/>
          <w:u w:val="single"/>
        </w:rPr>
      </w:pPr>
      <w:r w:rsidRPr="00411F66">
        <w:rPr>
          <w:sz w:val="24"/>
          <w:szCs w:val="24"/>
          <w:u w:val="single"/>
        </w:rPr>
        <w:t>What is the minimum acceptable level for a formal</w:t>
      </w:r>
      <w:r w:rsidR="002163B7" w:rsidRPr="00411F66">
        <w:rPr>
          <w:sz w:val="24"/>
          <w:szCs w:val="24"/>
          <w:u w:val="single"/>
        </w:rPr>
        <w:t xml:space="preserve"> </w:t>
      </w:r>
      <w:proofErr w:type="spellStart"/>
      <w:r w:rsidRPr="00411F66">
        <w:rPr>
          <w:sz w:val="24"/>
          <w:szCs w:val="24"/>
          <w:u w:val="single"/>
        </w:rPr>
        <w:t>VoC</w:t>
      </w:r>
      <w:proofErr w:type="spellEnd"/>
      <w:r w:rsidRPr="00411F66">
        <w:rPr>
          <w:sz w:val="24"/>
          <w:szCs w:val="24"/>
          <w:u w:val="single"/>
        </w:rPr>
        <w:t xml:space="preserve"> assessment that is not undertaken by an RTO?</w:t>
      </w:r>
    </w:p>
    <w:p w14:paraId="776BDD05" w14:textId="75BF1BB2" w:rsidR="00F40702" w:rsidRDefault="00F40702" w:rsidP="00411F66">
      <w:pPr>
        <w:pStyle w:val="ListBullet"/>
        <w:numPr>
          <w:ilvl w:val="0"/>
          <w:numId w:val="0"/>
        </w:numPr>
      </w:pPr>
      <w:r>
        <w:t xml:space="preserve">A structured template / questionnaire / checklist that is either aligned to the Nationally Recognised Training Package, or similar structured questionnaire tailored to the safe operation of the item of mobile plant, </w:t>
      </w:r>
      <w:r w:rsidR="00E9059C">
        <w:t>e.g.</w:t>
      </w:r>
      <w:r>
        <w:t xml:space="preserve"> hazards / risks and controls, operator manual requirements, emergency situations and response, etc.</w:t>
      </w:r>
    </w:p>
    <w:p w14:paraId="2B57C2D0" w14:textId="77777777" w:rsidR="00FE5233" w:rsidRDefault="00FE5233">
      <w:pPr>
        <w:rPr>
          <w:rFonts w:eastAsia="Times New Roman" w:cstheme="minorHAnsi"/>
          <w:b/>
          <w:color w:val="000000"/>
          <w:sz w:val="24"/>
          <w:szCs w:val="24"/>
          <w:u w:val="single"/>
          <w:lang w:eastAsia="en-AU"/>
        </w:rPr>
      </w:pPr>
      <w:r>
        <w:rPr>
          <w:rFonts w:eastAsia="Times New Roman" w:cstheme="minorHAnsi"/>
          <w:b/>
          <w:color w:val="000000"/>
          <w:sz w:val="24"/>
          <w:szCs w:val="24"/>
          <w:u w:val="single"/>
          <w:lang w:eastAsia="en-AU"/>
        </w:rPr>
        <w:br w:type="page"/>
      </w:r>
    </w:p>
    <w:p w14:paraId="219883DC" w14:textId="72330BC7" w:rsidR="00F40702" w:rsidRPr="00FE5233" w:rsidRDefault="00F40702" w:rsidP="003C74EA">
      <w:pPr>
        <w:pStyle w:val="Headingtwo"/>
        <w:rPr>
          <w:sz w:val="24"/>
          <w:szCs w:val="24"/>
          <w:u w:val="single"/>
        </w:rPr>
      </w:pPr>
      <w:r w:rsidRPr="00411F66">
        <w:rPr>
          <w:sz w:val="24"/>
          <w:szCs w:val="24"/>
          <w:u w:val="single"/>
        </w:rPr>
        <w:lastRenderedPageBreak/>
        <w:t xml:space="preserve">What is the minimum acceptable level of competence for the person (or persons) conducting the formal </w:t>
      </w:r>
      <w:proofErr w:type="spellStart"/>
      <w:r w:rsidRPr="00411F66">
        <w:rPr>
          <w:sz w:val="24"/>
          <w:szCs w:val="24"/>
          <w:u w:val="single"/>
        </w:rPr>
        <w:t>VoC</w:t>
      </w:r>
      <w:proofErr w:type="spellEnd"/>
      <w:r w:rsidRPr="00411F66">
        <w:rPr>
          <w:sz w:val="24"/>
          <w:szCs w:val="24"/>
          <w:u w:val="single"/>
        </w:rPr>
        <w:t>, when it is not done by an RTO?</w:t>
      </w:r>
    </w:p>
    <w:p w14:paraId="30BD0B22" w14:textId="75B3FBE4" w:rsidR="00F40702" w:rsidRDefault="00F40702" w:rsidP="00411F66">
      <w:pPr>
        <w:pStyle w:val="ListBullet"/>
        <w:numPr>
          <w:ilvl w:val="0"/>
          <w:numId w:val="0"/>
        </w:numPr>
        <w:spacing w:before="120"/>
        <w:ind w:left="357" w:hanging="357"/>
      </w:pPr>
      <w:r>
        <w:t xml:space="preserve">A </w:t>
      </w:r>
      <w:proofErr w:type="spellStart"/>
      <w:r>
        <w:t>VoC</w:t>
      </w:r>
      <w:proofErr w:type="spellEnd"/>
      <w:r>
        <w:t xml:space="preserve"> should be performed </w:t>
      </w:r>
      <w:r w:rsidR="00DD0E00">
        <w:t xml:space="preserve">by someone </w:t>
      </w:r>
      <w:r w:rsidR="00411F66">
        <w:t>who</w:t>
      </w:r>
      <w:r w:rsidR="00DD0E00">
        <w:t>:</w:t>
      </w:r>
    </w:p>
    <w:p w14:paraId="4BF67CCE" w14:textId="0CBA83CF" w:rsidR="00DD0E00" w:rsidRDefault="00FE5233" w:rsidP="00411F66">
      <w:pPr>
        <w:pStyle w:val="ListBullet"/>
        <w:spacing w:before="120"/>
      </w:pPr>
      <w:r w:rsidRPr="003B484D">
        <w:rPr>
          <w:noProof/>
          <w:lang w:eastAsia="en-AU"/>
        </w:rPr>
        <mc:AlternateContent>
          <mc:Choice Requires="wps">
            <w:drawing>
              <wp:anchor distT="0" distB="0" distL="114300" distR="114300" simplePos="0" relativeHeight="251658240" behindDoc="1" locked="0" layoutInCell="1" allowOverlap="1" wp14:anchorId="189CC479" wp14:editId="3C11371C">
                <wp:simplePos x="0" y="0"/>
                <wp:positionH relativeFrom="margin">
                  <wp:posOffset>3302681</wp:posOffset>
                </wp:positionH>
                <wp:positionV relativeFrom="paragraph">
                  <wp:posOffset>552228</wp:posOffset>
                </wp:positionV>
                <wp:extent cx="2686050" cy="3228975"/>
                <wp:effectExtent l="0" t="0" r="19050" b="28575"/>
                <wp:wrapNone/>
                <wp:docPr id="56" name="Text Box 56"/>
                <wp:cNvGraphicFramePr/>
                <a:graphic xmlns:a="http://schemas.openxmlformats.org/drawingml/2006/main">
                  <a:graphicData uri="http://schemas.microsoft.com/office/word/2010/wordprocessingShape">
                    <wps:wsp>
                      <wps:cNvSpPr txBox="1"/>
                      <wps:spPr>
                        <a:xfrm>
                          <a:off x="0" y="0"/>
                          <a:ext cx="2686050" cy="3228975"/>
                        </a:xfrm>
                        <a:prstGeom prst="rect">
                          <a:avLst/>
                        </a:prstGeom>
                        <a:noFill/>
                        <a:ln w="6350">
                          <a:solidFill>
                            <a:srgbClr val="C00000"/>
                          </a:solidFill>
                        </a:ln>
                      </wps:spPr>
                      <wps:txbx>
                        <w:txbxContent>
                          <w:p w14:paraId="00F914AA" w14:textId="74E037AE" w:rsidR="003B484D" w:rsidRPr="009C1375" w:rsidRDefault="003B484D" w:rsidP="003B484D">
                            <w:pPr>
                              <w:spacing w:line="240" w:lineRule="auto"/>
                              <w:rPr>
                                <w:szCs w:val="20"/>
                              </w:rPr>
                            </w:pPr>
                            <w:r w:rsidRPr="009C1375">
                              <w:rPr>
                                <w:szCs w:val="20"/>
                              </w:rPr>
                              <w:t xml:space="preserve">This fact sheet was last updated </w:t>
                            </w:r>
                            <w:r w:rsidR="00E9059C">
                              <w:rPr>
                                <w:szCs w:val="20"/>
                              </w:rPr>
                              <w:t>31 August</w:t>
                            </w:r>
                            <w:r w:rsidR="009D7EFC">
                              <w:rPr>
                                <w:szCs w:val="20"/>
                              </w:rPr>
                              <w:t xml:space="preserve"> 2021</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CC479" id="_x0000_t202" coordsize="21600,21600" o:spt="202" path="m,l,21600r21600,l21600,xe">
                <v:stroke joinstyle="miter"/>
                <v:path gradientshapeok="t" o:connecttype="rect"/>
              </v:shapetype>
              <v:shape id="Text Box 56" o:spid="_x0000_s1026" type="#_x0000_t202" style="position:absolute;left:0;text-align:left;margin-left:260.05pt;margin-top:43.5pt;width:211.5pt;height:25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" filled="f" strokecolor="#c00000" strokeweight=".5pt">
                <v:textbox>
                  <w:txbxContent>
                    <w:p w14:paraId="00F914AA" w14:textId="74E037AE" w:rsidR="003B484D" w:rsidRPr="009C1375" w:rsidRDefault="003B484D" w:rsidP="003B484D">
                      <w:pPr>
                        <w:spacing w:line="240" w:lineRule="auto"/>
                        <w:rPr>
                          <w:szCs w:val="20"/>
                        </w:rPr>
                      </w:pPr>
                      <w:r w:rsidRPr="009C1375">
                        <w:rPr>
                          <w:szCs w:val="20"/>
                        </w:rPr>
                        <w:t xml:space="preserve">This fact sheet was last updated </w:t>
                      </w:r>
                      <w:r w:rsidR="00E9059C">
                        <w:rPr>
                          <w:szCs w:val="20"/>
                        </w:rPr>
                        <w:t>31 August</w:t>
                      </w:r>
                      <w:r w:rsidR="009D7EFC">
                        <w:rPr>
                          <w:szCs w:val="20"/>
                        </w:rPr>
                        <w:t xml:space="preserve"> 2021</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w10:wrap anchorx="margin"/>
              </v:shape>
            </w:pict>
          </mc:Fallback>
        </mc:AlternateContent>
      </w:r>
      <w:r w:rsidR="00411F66">
        <w:t>i</w:t>
      </w:r>
      <w:r w:rsidR="00DD0E00">
        <w:t>s competent as an assessor</w:t>
      </w:r>
      <w:r w:rsidR="00411F66">
        <w:t>,</w:t>
      </w:r>
      <w:r w:rsidR="00DD0E00">
        <w:t xml:space="preserve"> </w:t>
      </w:r>
      <w:r w:rsidR="00E9059C">
        <w:t>i.e.</w:t>
      </w:r>
      <w:r w:rsidR="00DD0E00">
        <w:t xml:space="preserve"> who holds the TAEASS402 Assess competence unit of competence (or superseded equivalent or higher, </w:t>
      </w:r>
      <w:r w:rsidR="00E9059C">
        <w:t>e.g.</w:t>
      </w:r>
      <w:r w:rsidR="00DD0E00">
        <w:t xml:space="preserve"> a Diploma of Vocational </w:t>
      </w:r>
      <w:r w:rsidR="009D7EFC">
        <w:t>Education and Training, and</w:t>
      </w:r>
    </w:p>
    <w:p w14:paraId="025431A3" w14:textId="560C54D1" w:rsidR="009D7EFC" w:rsidRDefault="00411F66" w:rsidP="00411F66">
      <w:pPr>
        <w:pStyle w:val="ListBullet"/>
        <w:spacing w:before="120"/>
      </w:pPr>
      <w:r>
        <w:t>h</w:t>
      </w:r>
      <w:r w:rsidR="009D7EFC">
        <w:t>olds the necessary competence for the item of plant</w:t>
      </w:r>
      <w:r>
        <w:t>,</w:t>
      </w:r>
      <w:r w:rsidR="009D7EFC">
        <w:t xml:space="preserve"> </w:t>
      </w:r>
      <w:r w:rsidR="00E9059C">
        <w:t>i.e.</w:t>
      </w:r>
      <w:r w:rsidR="009D7EFC">
        <w:t xml:space="preserve"> someone </w:t>
      </w:r>
      <w:r>
        <w:t xml:space="preserve">who </w:t>
      </w:r>
      <w:r w:rsidR="009D7EFC">
        <w:t>holds the licence or certificate of competence as an operator relevant to the type of plant</w:t>
      </w:r>
      <w:r>
        <w:t>;</w:t>
      </w:r>
      <w:r w:rsidR="009D7EFC">
        <w:t xml:space="preserve"> or</w:t>
      </w:r>
    </w:p>
    <w:p w14:paraId="028F6B00" w14:textId="536EDE76" w:rsidR="009D7EFC" w:rsidRPr="00977F62" w:rsidRDefault="00411F66" w:rsidP="00411F66">
      <w:pPr>
        <w:pStyle w:val="ListBullet"/>
        <w:spacing w:before="120"/>
      </w:pPr>
      <w:r>
        <w:t>a</w:t>
      </w:r>
      <w:r w:rsidR="009D7EFC">
        <w:t xml:space="preserve"> team of persons that collectively meet the </w:t>
      </w:r>
      <w:r>
        <w:t xml:space="preserve">criteria </w:t>
      </w:r>
      <w:r w:rsidR="009D7EFC">
        <w:t>above.</w:t>
      </w:r>
    </w:p>
    <w:p w14:paraId="3342C7BF" w14:textId="6D2F65AF" w:rsidR="00977F62" w:rsidRPr="00411F66" w:rsidRDefault="00977F62" w:rsidP="00FE5233">
      <w:pPr>
        <w:pStyle w:val="Headingtwo"/>
        <w:rPr>
          <w:sz w:val="24"/>
          <w:szCs w:val="24"/>
          <w:u w:val="single"/>
        </w:rPr>
      </w:pPr>
      <w:r w:rsidRPr="00411F66">
        <w:rPr>
          <w:sz w:val="24"/>
          <w:szCs w:val="24"/>
          <w:u w:val="single"/>
        </w:rPr>
        <w:t xml:space="preserve">What is NOT </w:t>
      </w:r>
      <w:r w:rsidR="002163B7" w:rsidRPr="00411F66">
        <w:rPr>
          <w:sz w:val="24"/>
          <w:szCs w:val="24"/>
          <w:u w:val="single"/>
        </w:rPr>
        <w:t xml:space="preserve">acceptable </w:t>
      </w:r>
      <w:r w:rsidRPr="00411F66">
        <w:rPr>
          <w:sz w:val="24"/>
          <w:szCs w:val="24"/>
          <w:u w:val="single"/>
        </w:rPr>
        <w:t>evidence:</w:t>
      </w:r>
    </w:p>
    <w:p w14:paraId="23F5AD73" w14:textId="5F59329A" w:rsidR="00977F62" w:rsidRDefault="007E1AD9" w:rsidP="00977F62">
      <w:pPr>
        <w:pStyle w:val="ListBullet"/>
        <w:ind w:left="369" w:right="-120" w:hanging="369"/>
      </w:pPr>
      <w:r>
        <w:t>A</w:t>
      </w:r>
      <w:r w:rsidR="00977F62" w:rsidRPr="00D16A17">
        <w:t xml:space="preserve"> letter signed by an employer or supervisor claiming that the worker is competent will not, </w:t>
      </w:r>
      <w:r w:rsidR="00977F62" w:rsidRPr="00977F62">
        <w:t>on its own</w:t>
      </w:r>
      <w:r w:rsidR="00977F62" w:rsidRPr="00D16A17">
        <w:t>, be accepted as evidence of competence.</w:t>
      </w:r>
    </w:p>
    <w:p w14:paraId="43E16810" w14:textId="7BF720B3" w:rsidR="009D7EFC" w:rsidRPr="00D16A17" w:rsidRDefault="009D7EFC" w:rsidP="00977F62">
      <w:pPr>
        <w:pStyle w:val="ListBullet"/>
        <w:ind w:left="369" w:right="-120" w:hanging="369"/>
      </w:pPr>
      <w:r>
        <w:t xml:space="preserve">An assessment carried out by someone </w:t>
      </w:r>
      <w:r w:rsidR="007E1AD9">
        <w:t xml:space="preserve">who </w:t>
      </w:r>
      <w:r>
        <w:t>has no demonstrable competence as an assessor, and/or has no experience / subject matter expertise in the operation of the item of mobile plant and is therefore not able to reach an informed conclusion about the competence of the individual to safely operate the item of plant for which they are being assessed.</w:t>
      </w:r>
    </w:p>
    <w:p w14:paraId="230BDE0F" w14:textId="40911F28" w:rsidR="00977F62" w:rsidRPr="00411F66" w:rsidRDefault="00977F62" w:rsidP="00FE5233">
      <w:pPr>
        <w:pStyle w:val="Headingtwo"/>
        <w:rPr>
          <w:sz w:val="24"/>
          <w:szCs w:val="24"/>
          <w:u w:val="single"/>
        </w:rPr>
      </w:pPr>
      <w:r w:rsidRPr="00411F66">
        <w:rPr>
          <w:sz w:val="24"/>
          <w:szCs w:val="24"/>
          <w:u w:val="single"/>
        </w:rPr>
        <w:t>What is NOT required:</w:t>
      </w:r>
    </w:p>
    <w:p w14:paraId="1952B1A7" w14:textId="52AE5C4D" w:rsidR="00977F62" w:rsidRPr="00D16A17" w:rsidRDefault="007E1AD9" w:rsidP="00977F62">
      <w:pPr>
        <w:pStyle w:val="ListBullet"/>
        <w:ind w:left="369" w:right="-120" w:hanging="369"/>
      </w:pPr>
      <w:r>
        <w:t>A</w:t>
      </w:r>
      <w:r w:rsidR="00977F62" w:rsidRPr="00D16A17">
        <w:t xml:space="preserve"> further </w:t>
      </w:r>
      <w:proofErr w:type="spellStart"/>
      <w:r w:rsidR="00977F62" w:rsidRPr="00D16A17">
        <w:t>VoC</w:t>
      </w:r>
      <w:proofErr w:type="spellEnd"/>
      <w:r w:rsidR="00977F62" w:rsidRPr="00D16A17">
        <w:t xml:space="preserve"> assessment in addition to evidence of a High Risk Work Licence, RTO issued Certificate of Competency, or other accepted processes in section 1.1 of this Fact Sheet; or</w:t>
      </w:r>
    </w:p>
    <w:p w14:paraId="14762318" w14:textId="0617D7C2" w:rsidR="00977F62" w:rsidRPr="00D16A17" w:rsidRDefault="007E1AD9" w:rsidP="00977F62">
      <w:pPr>
        <w:pStyle w:val="ListBullet"/>
        <w:ind w:left="369" w:right="-120" w:hanging="369"/>
      </w:pPr>
      <w:r>
        <w:t>R</w:t>
      </w:r>
      <w:r w:rsidR="00977F62" w:rsidRPr="00D16A17">
        <w:t>efresher training unless required by the legislation or RTO, or deemed necessary by the company.</w:t>
      </w:r>
    </w:p>
    <w:p w14:paraId="132D17E1" w14:textId="5CC6984B" w:rsidR="00977F62" w:rsidRPr="003B484D" w:rsidRDefault="00977F62" w:rsidP="00977F62">
      <w:r w:rsidRPr="003B484D">
        <w:rPr>
          <w:i/>
        </w:rPr>
        <w:t>Note: While these elements are not specifically required by the OFSC Audit Criteria, this does not limit a company using one or all of these aspects in their processes to manage competency on an ongoing basis</w:t>
      </w:r>
      <w:r w:rsidR="007E1AD9">
        <w:rPr>
          <w:i/>
        </w:rPr>
        <w:t>.</w:t>
      </w:r>
    </w:p>
    <w:p w14:paraId="43F9C324" w14:textId="6951E0F9" w:rsidR="00977F62" w:rsidRPr="00977F62" w:rsidRDefault="00977F62" w:rsidP="00977F62"/>
    <w:bookmarkEnd w:id="0"/>
    <w:p w14:paraId="5FC022F4" w14:textId="5E1965FB" w:rsidR="00C10C19" w:rsidRDefault="00C10C19" w:rsidP="00977F62">
      <w:pPr>
        <w:pStyle w:val="Heading1"/>
        <w:ind w:right="-120"/>
      </w:pPr>
    </w:p>
    <w:p w14:paraId="4083CFCF" w14:textId="45F91BB3" w:rsidR="002163B7" w:rsidRPr="009A51CA" w:rsidRDefault="00FE5233" w:rsidP="00411F66">
      <w:r w:rsidRPr="003B484D">
        <w:rPr>
          <w:noProof/>
          <w:lang w:eastAsia="en-AU"/>
        </w:rPr>
        <mc:AlternateContent>
          <mc:Choice Requires="wps">
            <w:drawing>
              <wp:anchor distT="0" distB="0" distL="114300" distR="114300" simplePos="0" relativeHeight="251664384" behindDoc="1" locked="0" layoutInCell="1" allowOverlap="1" wp14:anchorId="5C51FAAB" wp14:editId="1EF8CBD6">
                <wp:simplePos x="0" y="0"/>
                <wp:positionH relativeFrom="margin">
                  <wp:posOffset>3308468</wp:posOffset>
                </wp:positionH>
                <wp:positionV relativeFrom="paragraph">
                  <wp:posOffset>35299</wp:posOffset>
                </wp:positionV>
                <wp:extent cx="2705100" cy="1200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chemeClr val="bg1">
                            <a:lumMod val="20000"/>
                            <a:lumOff val="80000"/>
                          </a:schemeClr>
                        </a:solidFill>
                        <a:ln w="6350">
                          <a:noFill/>
                        </a:ln>
                      </wps:spPr>
                      <wps:txbx>
                        <w:txbxContent>
                          <w:p w14:paraId="1BC81989" w14:textId="77777777" w:rsidR="002163B7" w:rsidRPr="00DB79B9" w:rsidRDefault="002163B7" w:rsidP="002163B7">
                            <w:pPr>
                              <w:spacing w:after="0"/>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6884E5F" w14:textId="77777777" w:rsidR="002163B7" w:rsidRPr="00DB79B9" w:rsidRDefault="002163B7" w:rsidP="002163B7">
                            <w:pPr>
                              <w:numPr>
                                <w:ilvl w:val="0"/>
                                <w:numId w:val="5"/>
                              </w:numPr>
                              <w:spacing w:after="0"/>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163375CB" w14:textId="77777777" w:rsidR="002163B7" w:rsidRPr="00DB79B9" w:rsidRDefault="002163B7" w:rsidP="002163B7">
                            <w:pPr>
                              <w:numPr>
                                <w:ilvl w:val="0"/>
                                <w:numId w:val="5"/>
                              </w:numPr>
                              <w:spacing w:after="0"/>
                              <w:ind w:left="284" w:hanging="284"/>
                              <w:rPr>
                                <w:szCs w:val="20"/>
                              </w:rPr>
                            </w:pPr>
                            <w:r w:rsidRPr="00DB79B9">
                              <w:rPr>
                                <w:szCs w:val="20"/>
                              </w:rPr>
                              <w:t xml:space="preserve">Contact the FSC Assist Line on </w:t>
                            </w:r>
                            <w:r w:rsidRPr="00DB79B9">
                              <w:rPr>
                                <w:b/>
                                <w:szCs w:val="20"/>
                              </w:rPr>
                              <w:t>1800 652 500</w:t>
                            </w:r>
                          </w:p>
                          <w:p w14:paraId="4F3ABA12" w14:textId="5DAE6CBA" w:rsidR="002163B7" w:rsidRPr="00DB79B9" w:rsidRDefault="002163B7" w:rsidP="002163B7">
                            <w:pPr>
                              <w:numPr>
                                <w:ilvl w:val="0"/>
                                <w:numId w:val="5"/>
                              </w:numPr>
                              <w:spacing w:after="0"/>
                              <w:ind w:left="284" w:hanging="284"/>
                              <w:rPr>
                                <w:szCs w:val="20"/>
                              </w:rPr>
                            </w:pPr>
                            <w:r w:rsidRPr="00DB79B9">
                              <w:rPr>
                                <w:szCs w:val="20"/>
                              </w:rPr>
                              <w:t xml:space="preserve">Contact the OFSC via email at </w:t>
                            </w:r>
                            <w:r w:rsidRPr="00DB79B9">
                              <w:rPr>
                                <w:b/>
                                <w:szCs w:val="20"/>
                              </w:rPr>
                              <w:t>ofsc@</w:t>
                            </w:r>
                            <w:r w:rsidR="00B00D4D">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1FAAB" id="_x0000_t202" coordsize="21600,21600" o:spt="202" path="m,l,21600r21600,l21600,xe">
                <v:stroke joinstyle="miter"/>
                <v:path gradientshapeok="t" o:connecttype="rect"/>
              </v:shapetype>
              <v:shape id="Text Box 1" o:spid="_x0000_s1027" type="#_x0000_t202" style="position:absolute;margin-left:260.5pt;margin-top:2.8pt;width:213pt;height:9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" fillcolor="#e5e5e5 [668]" stroked="f" strokeweight=".5pt">
                <v:textbox>
                  <w:txbxContent>
                    <w:p w14:paraId="1BC81989" w14:textId="77777777" w:rsidR="002163B7" w:rsidRPr="00DB79B9" w:rsidRDefault="002163B7" w:rsidP="002163B7">
                      <w:pPr>
                        <w:spacing w:after="0"/>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66884E5F" w14:textId="77777777" w:rsidR="002163B7" w:rsidRPr="00DB79B9" w:rsidRDefault="002163B7" w:rsidP="002163B7">
                      <w:pPr>
                        <w:numPr>
                          <w:ilvl w:val="0"/>
                          <w:numId w:val="5"/>
                        </w:numPr>
                        <w:spacing w:after="0"/>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163375CB" w14:textId="77777777" w:rsidR="002163B7" w:rsidRPr="00DB79B9" w:rsidRDefault="002163B7" w:rsidP="002163B7">
                      <w:pPr>
                        <w:numPr>
                          <w:ilvl w:val="0"/>
                          <w:numId w:val="5"/>
                        </w:numPr>
                        <w:spacing w:after="0"/>
                        <w:ind w:left="284" w:hanging="284"/>
                        <w:rPr>
                          <w:szCs w:val="20"/>
                        </w:rPr>
                      </w:pPr>
                      <w:r w:rsidRPr="00DB79B9">
                        <w:rPr>
                          <w:szCs w:val="20"/>
                        </w:rPr>
                        <w:t xml:space="preserve">Contact the FSC Assist Line on </w:t>
                      </w:r>
                      <w:r w:rsidRPr="00DB79B9">
                        <w:rPr>
                          <w:b/>
                          <w:szCs w:val="20"/>
                        </w:rPr>
                        <w:t>1800 652 500</w:t>
                      </w:r>
                    </w:p>
                    <w:p w14:paraId="4F3ABA12" w14:textId="5DAE6CBA" w:rsidR="002163B7" w:rsidRPr="00DB79B9" w:rsidRDefault="002163B7" w:rsidP="002163B7">
                      <w:pPr>
                        <w:numPr>
                          <w:ilvl w:val="0"/>
                          <w:numId w:val="5"/>
                        </w:numPr>
                        <w:spacing w:after="0"/>
                        <w:ind w:left="284" w:hanging="284"/>
                        <w:rPr>
                          <w:szCs w:val="20"/>
                        </w:rPr>
                      </w:pPr>
                      <w:r w:rsidRPr="00DB79B9">
                        <w:rPr>
                          <w:szCs w:val="20"/>
                        </w:rPr>
                        <w:t xml:space="preserve">Contact the OFSC via email at </w:t>
                      </w:r>
                      <w:r w:rsidRPr="00DB79B9">
                        <w:rPr>
                          <w:b/>
                          <w:szCs w:val="20"/>
                        </w:rPr>
                        <w:t>ofsc@</w:t>
                      </w:r>
                      <w:r w:rsidR="00B00D4D">
                        <w:rPr>
                          <w:b/>
                          <w:szCs w:val="20"/>
                        </w:rPr>
                        <w:t>dewr.gov.au</w:t>
                      </w:r>
                    </w:p>
                  </w:txbxContent>
                </v:textbox>
                <w10:wrap anchorx="margin"/>
              </v:shape>
            </w:pict>
          </mc:Fallback>
        </mc:AlternateContent>
      </w:r>
    </w:p>
    <w:sectPr w:rsidR="002163B7" w:rsidRPr="009A51CA" w:rsidSect="00D44955">
      <w:headerReference w:type="default" r:id="rId13"/>
      <w:footerReference w:type="default" r:id="rId14"/>
      <w:type w:val="continuous"/>
      <w:pgSz w:w="11906" w:h="16838"/>
      <w:pgMar w:top="1418"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1CA2" w14:textId="77777777" w:rsidR="00C4487E" w:rsidRDefault="00C4487E" w:rsidP="00130923">
      <w:pPr>
        <w:spacing w:after="0" w:line="240" w:lineRule="auto"/>
      </w:pPr>
      <w:r>
        <w:separator/>
      </w:r>
    </w:p>
  </w:endnote>
  <w:endnote w:type="continuationSeparator" w:id="0">
    <w:p w14:paraId="0FCC726D" w14:textId="77777777" w:rsidR="00C4487E" w:rsidRDefault="00C4487E"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5AA2"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7215" behindDoc="1" locked="0" layoutInCell="1" allowOverlap="1" wp14:anchorId="0CB5B9CD" wp14:editId="798D6E77">
          <wp:simplePos x="0" y="0"/>
          <wp:positionH relativeFrom="page">
            <wp:align>center</wp:align>
          </wp:positionH>
          <wp:positionV relativeFrom="paragraph">
            <wp:posOffset>-202565</wp:posOffset>
          </wp:positionV>
          <wp:extent cx="7663180" cy="7061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687298692"/>
        <w:docPartObj>
          <w:docPartGallery w:val="Page Numbers (Bottom of Page)"/>
          <w:docPartUnique/>
        </w:docPartObj>
      </w:sdtPr>
      <w:sdtEndPr>
        <w:rPr>
          <w:noProof/>
          <w:color w:val="FFFFFF" w:themeColor="background2"/>
        </w:r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BFC5" w14:textId="19728A19" w:rsidR="003242B9" w:rsidRDefault="0037217B" w:rsidP="00A73406">
    <w:pPr>
      <w:pStyle w:val="Footer"/>
      <w:tabs>
        <w:tab w:val="clear" w:pos="9026"/>
        <w:tab w:val="right" w:pos="8647"/>
      </w:tabs>
      <w:ind w:firstLine="720"/>
      <w:jc w:val="right"/>
    </w:pPr>
    <w:r>
      <w:rPr>
        <w:noProof/>
        <w:lang w:eastAsia="en-AU"/>
      </w:rPr>
      <w:drawing>
        <wp:anchor distT="0" distB="0" distL="114300" distR="114300" simplePos="0" relativeHeight="251658240" behindDoc="1" locked="0" layoutInCell="1" allowOverlap="1" wp14:anchorId="152272B7" wp14:editId="61D1EC4B">
          <wp:simplePos x="0" y="0"/>
          <wp:positionH relativeFrom="page">
            <wp:align>left</wp:align>
          </wp:positionH>
          <wp:positionV relativeFrom="paragraph">
            <wp:posOffset>-307340</wp:posOffset>
          </wp:positionV>
          <wp:extent cx="7663180" cy="7061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sdt>
      <w:sdtPr>
        <w:id w:val="743069892"/>
        <w:docPartObj>
          <w:docPartGallery w:val="Page Numbers (Bottom of Page)"/>
          <w:docPartUnique/>
        </w:docPartObj>
      </w:sdtPr>
      <w:sdtEndPr>
        <w:rPr>
          <w:noProof/>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D07C" w14:textId="77777777" w:rsidR="00C4487E" w:rsidRDefault="00C4487E" w:rsidP="00130923">
      <w:pPr>
        <w:spacing w:after="0" w:line="240" w:lineRule="auto"/>
      </w:pPr>
      <w:r>
        <w:separator/>
      </w:r>
    </w:p>
  </w:footnote>
  <w:footnote w:type="continuationSeparator" w:id="0">
    <w:p w14:paraId="210712D4" w14:textId="77777777" w:rsidR="00C4487E" w:rsidRDefault="00C4487E"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0B9E" w14:textId="77777777" w:rsidR="00560CA0" w:rsidRPr="003B484D" w:rsidRDefault="00560CA0" w:rsidP="003B4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BF63D9C"/>
    <w:multiLevelType w:val="hybridMultilevel"/>
    <w:tmpl w:val="902EAB48"/>
    <w:lvl w:ilvl="0" w:tplc="0C090001">
      <w:start w:val="1"/>
      <w:numFmt w:val="bullet"/>
      <w:lvlText w:val=""/>
      <w:lvlJc w:val="left"/>
      <w:pPr>
        <w:ind w:left="4188" w:hanging="360"/>
      </w:pPr>
      <w:rPr>
        <w:rFonts w:ascii="Symbol" w:hAnsi="Symbol" w:hint="default"/>
      </w:rPr>
    </w:lvl>
    <w:lvl w:ilvl="1" w:tplc="0C090003" w:tentative="1">
      <w:start w:val="1"/>
      <w:numFmt w:val="bullet"/>
      <w:lvlText w:val="o"/>
      <w:lvlJc w:val="left"/>
      <w:pPr>
        <w:ind w:left="4908" w:hanging="360"/>
      </w:pPr>
      <w:rPr>
        <w:rFonts w:ascii="Courier New" w:hAnsi="Courier New" w:cs="Courier New" w:hint="default"/>
      </w:rPr>
    </w:lvl>
    <w:lvl w:ilvl="2" w:tplc="0C090005" w:tentative="1">
      <w:start w:val="1"/>
      <w:numFmt w:val="bullet"/>
      <w:lvlText w:val=""/>
      <w:lvlJc w:val="left"/>
      <w:pPr>
        <w:ind w:left="5628" w:hanging="360"/>
      </w:pPr>
      <w:rPr>
        <w:rFonts w:ascii="Wingdings" w:hAnsi="Wingdings" w:hint="default"/>
      </w:rPr>
    </w:lvl>
    <w:lvl w:ilvl="3" w:tplc="0C090001" w:tentative="1">
      <w:start w:val="1"/>
      <w:numFmt w:val="bullet"/>
      <w:lvlText w:val=""/>
      <w:lvlJc w:val="left"/>
      <w:pPr>
        <w:ind w:left="6348" w:hanging="360"/>
      </w:pPr>
      <w:rPr>
        <w:rFonts w:ascii="Symbol" w:hAnsi="Symbol" w:hint="default"/>
      </w:rPr>
    </w:lvl>
    <w:lvl w:ilvl="4" w:tplc="0C090003" w:tentative="1">
      <w:start w:val="1"/>
      <w:numFmt w:val="bullet"/>
      <w:lvlText w:val="o"/>
      <w:lvlJc w:val="left"/>
      <w:pPr>
        <w:ind w:left="7068" w:hanging="360"/>
      </w:pPr>
      <w:rPr>
        <w:rFonts w:ascii="Courier New" w:hAnsi="Courier New" w:cs="Courier New" w:hint="default"/>
      </w:rPr>
    </w:lvl>
    <w:lvl w:ilvl="5" w:tplc="0C090005" w:tentative="1">
      <w:start w:val="1"/>
      <w:numFmt w:val="bullet"/>
      <w:lvlText w:val=""/>
      <w:lvlJc w:val="left"/>
      <w:pPr>
        <w:ind w:left="7788" w:hanging="360"/>
      </w:pPr>
      <w:rPr>
        <w:rFonts w:ascii="Wingdings" w:hAnsi="Wingdings" w:hint="default"/>
      </w:rPr>
    </w:lvl>
    <w:lvl w:ilvl="6" w:tplc="0C090001" w:tentative="1">
      <w:start w:val="1"/>
      <w:numFmt w:val="bullet"/>
      <w:lvlText w:val=""/>
      <w:lvlJc w:val="left"/>
      <w:pPr>
        <w:ind w:left="8508" w:hanging="360"/>
      </w:pPr>
      <w:rPr>
        <w:rFonts w:ascii="Symbol" w:hAnsi="Symbol" w:hint="default"/>
      </w:rPr>
    </w:lvl>
    <w:lvl w:ilvl="7" w:tplc="0C090003" w:tentative="1">
      <w:start w:val="1"/>
      <w:numFmt w:val="bullet"/>
      <w:lvlText w:val="o"/>
      <w:lvlJc w:val="left"/>
      <w:pPr>
        <w:ind w:left="9228" w:hanging="360"/>
      </w:pPr>
      <w:rPr>
        <w:rFonts w:ascii="Courier New" w:hAnsi="Courier New" w:cs="Courier New" w:hint="default"/>
      </w:rPr>
    </w:lvl>
    <w:lvl w:ilvl="8" w:tplc="0C090005" w:tentative="1">
      <w:start w:val="1"/>
      <w:numFmt w:val="bullet"/>
      <w:lvlText w:val=""/>
      <w:lvlJc w:val="left"/>
      <w:pPr>
        <w:ind w:left="9948" w:hanging="360"/>
      </w:pPr>
      <w:rPr>
        <w:rFonts w:ascii="Wingdings" w:hAnsi="Wingdings" w:hint="default"/>
      </w:rPr>
    </w:lvl>
  </w:abstractNum>
  <w:abstractNum w:abstractNumId="14" w15:restartNumberingAfterBreak="0">
    <w:nsid w:val="315E28FC"/>
    <w:multiLevelType w:val="multilevel"/>
    <w:tmpl w:val="876A590A"/>
    <w:lvl w:ilvl="0">
      <w:start w:val="1"/>
      <w:numFmt w:val="decimal"/>
      <w:pStyle w:val="Headingonr"/>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B255B89"/>
    <w:multiLevelType w:val="multilevel"/>
    <w:tmpl w:val="D9D8B52A"/>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cs="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58B4DF1"/>
    <w:multiLevelType w:val="hybridMultilevel"/>
    <w:tmpl w:val="A56ED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6D2B62"/>
    <w:multiLevelType w:val="hybridMultilevel"/>
    <w:tmpl w:val="352889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10"/>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3"/>
  </w:num>
  <w:num w:numId="21">
    <w:abstractNumId w:val="19"/>
  </w:num>
  <w:num w:numId="22">
    <w:abstractNumId w:val="14"/>
  </w:num>
  <w:num w:numId="23">
    <w:abstractNumId w:val="15"/>
  </w:num>
  <w:num w:numId="24">
    <w:abstractNumId w:val="15"/>
  </w:num>
  <w:num w:numId="25">
    <w:abstractNumId w:val="15"/>
  </w:num>
  <w:num w:numId="26">
    <w:abstractNumId w:val="15"/>
  </w:num>
  <w:num w:numId="27">
    <w:abstractNumId w:val="15"/>
  </w:num>
  <w:num w:numId="28">
    <w:abstractNumId w:val="14"/>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1"/>
  </w:num>
  <w:num w:numId="38">
    <w:abstractNumId w:val="17"/>
  </w:num>
  <w:num w:numId="39">
    <w:abstractNumId w:val="15"/>
  </w:num>
  <w:num w:numId="40">
    <w:abstractNumId w:val="1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4431B"/>
    <w:rsid w:val="000861A6"/>
    <w:rsid w:val="000B1D63"/>
    <w:rsid w:val="000E6FBB"/>
    <w:rsid w:val="000F3BA2"/>
    <w:rsid w:val="001175BF"/>
    <w:rsid w:val="00130923"/>
    <w:rsid w:val="001414F3"/>
    <w:rsid w:val="00143FCD"/>
    <w:rsid w:val="001B6467"/>
    <w:rsid w:val="001C1394"/>
    <w:rsid w:val="002163B7"/>
    <w:rsid w:val="00223EB1"/>
    <w:rsid w:val="00236917"/>
    <w:rsid w:val="00243D6B"/>
    <w:rsid w:val="002854D6"/>
    <w:rsid w:val="002B06E6"/>
    <w:rsid w:val="002D271F"/>
    <w:rsid w:val="002D6386"/>
    <w:rsid w:val="00305B35"/>
    <w:rsid w:val="003242B9"/>
    <w:rsid w:val="00367BAD"/>
    <w:rsid w:val="0037217B"/>
    <w:rsid w:val="003B484D"/>
    <w:rsid w:val="003C74EA"/>
    <w:rsid w:val="003D67FC"/>
    <w:rsid w:val="003F6237"/>
    <w:rsid w:val="00406E5A"/>
    <w:rsid w:val="00411F66"/>
    <w:rsid w:val="00455B34"/>
    <w:rsid w:val="00486484"/>
    <w:rsid w:val="0048762C"/>
    <w:rsid w:val="004B256F"/>
    <w:rsid w:val="004B7CE6"/>
    <w:rsid w:val="004C5911"/>
    <w:rsid w:val="004D54E7"/>
    <w:rsid w:val="005113B6"/>
    <w:rsid w:val="00531817"/>
    <w:rsid w:val="00560CA0"/>
    <w:rsid w:val="005624F3"/>
    <w:rsid w:val="005811EF"/>
    <w:rsid w:val="005B0878"/>
    <w:rsid w:val="005C15C0"/>
    <w:rsid w:val="00610654"/>
    <w:rsid w:val="0061593F"/>
    <w:rsid w:val="0067026C"/>
    <w:rsid w:val="006A5BDD"/>
    <w:rsid w:val="006E2D49"/>
    <w:rsid w:val="007468FC"/>
    <w:rsid w:val="00765ABB"/>
    <w:rsid w:val="00792CA3"/>
    <w:rsid w:val="007B2FDD"/>
    <w:rsid w:val="007E1AD9"/>
    <w:rsid w:val="007F7F1E"/>
    <w:rsid w:val="0083468A"/>
    <w:rsid w:val="0084292A"/>
    <w:rsid w:val="00842D43"/>
    <w:rsid w:val="00856D1C"/>
    <w:rsid w:val="00876AC0"/>
    <w:rsid w:val="009116EA"/>
    <w:rsid w:val="00923C84"/>
    <w:rsid w:val="00927CD1"/>
    <w:rsid w:val="00933671"/>
    <w:rsid w:val="00934F82"/>
    <w:rsid w:val="00972DD5"/>
    <w:rsid w:val="00977F62"/>
    <w:rsid w:val="00984879"/>
    <w:rsid w:val="00985632"/>
    <w:rsid w:val="00991B63"/>
    <w:rsid w:val="009A51CA"/>
    <w:rsid w:val="009B2428"/>
    <w:rsid w:val="009B5CB7"/>
    <w:rsid w:val="009D7EFC"/>
    <w:rsid w:val="00A31242"/>
    <w:rsid w:val="00A52530"/>
    <w:rsid w:val="00A551BF"/>
    <w:rsid w:val="00A70524"/>
    <w:rsid w:val="00A73406"/>
    <w:rsid w:val="00A904EC"/>
    <w:rsid w:val="00A9251B"/>
    <w:rsid w:val="00A96CC1"/>
    <w:rsid w:val="00AC65DA"/>
    <w:rsid w:val="00B00D4D"/>
    <w:rsid w:val="00B2384D"/>
    <w:rsid w:val="00B2722A"/>
    <w:rsid w:val="00B618BA"/>
    <w:rsid w:val="00BB3C01"/>
    <w:rsid w:val="00BC2B87"/>
    <w:rsid w:val="00C05E74"/>
    <w:rsid w:val="00C10C19"/>
    <w:rsid w:val="00C4487E"/>
    <w:rsid w:val="00C5649C"/>
    <w:rsid w:val="00C75486"/>
    <w:rsid w:val="00C8202C"/>
    <w:rsid w:val="00C92A5B"/>
    <w:rsid w:val="00CA46EC"/>
    <w:rsid w:val="00D1394D"/>
    <w:rsid w:val="00D44955"/>
    <w:rsid w:val="00D903FD"/>
    <w:rsid w:val="00D94BC5"/>
    <w:rsid w:val="00D96C08"/>
    <w:rsid w:val="00DD0E00"/>
    <w:rsid w:val="00DD2222"/>
    <w:rsid w:val="00E05B24"/>
    <w:rsid w:val="00E170EB"/>
    <w:rsid w:val="00E2611A"/>
    <w:rsid w:val="00E9059C"/>
    <w:rsid w:val="00ED43D2"/>
    <w:rsid w:val="00EE3B8C"/>
    <w:rsid w:val="00EF4A38"/>
    <w:rsid w:val="00F40702"/>
    <w:rsid w:val="00F459A3"/>
    <w:rsid w:val="00F5755C"/>
    <w:rsid w:val="00FB0AEA"/>
    <w:rsid w:val="00FB10CB"/>
    <w:rsid w:val="00FE5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DD40C8"/>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Headingonr">
    <w:name w:val="Heading onr"/>
    <w:basedOn w:val="Normal"/>
    <w:link w:val="HeadingonrChar"/>
    <w:qFormat/>
    <w:rsid w:val="00E2611A"/>
    <w:pPr>
      <w:numPr>
        <w:numId w:val="22"/>
      </w:numPr>
      <w:suppressAutoHyphens/>
      <w:autoSpaceDE w:val="0"/>
      <w:autoSpaceDN w:val="0"/>
      <w:adjustRightInd w:val="0"/>
      <w:spacing w:after="0" w:line="240" w:lineRule="auto"/>
      <w:ind w:left="714" w:right="40" w:hanging="357"/>
      <w:textAlignment w:val="center"/>
    </w:pPr>
    <w:rPr>
      <w:rFonts w:eastAsia="Times New Roman" w:cstheme="minorHAnsi"/>
      <w:b/>
      <w:color w:val="000000"/>
      <w:sz w:val="28"/>
      <w:szCs w:val="19"/>
      <w:lang w:eastAsia="en-AU"/>
    </w:rPr>
  </w:style>
  <w:style w:type="paragraph" w:customStyle="1" w:styleId="Headingtwo">
    <w:name w:val="Heading two"/>
    <w:basedOn w:val="Normal"/>
    <w:link w:val="HeadingtwoChar"/>
    <w:qFormat/>
    <w:rsid w:val="00977F62"/>
    <w:pPr>
      <w:suppressAutoHyphens/>
      <w:autoSpaceDE w:val="0"/>
      <w:autoSpaceDN w:val="0"/>
      <w:adjustRightInd w:val="0"/>
      <w:spacing w:after="100" w:line="240" w:lineRule="auto"/>
      <w:ind w:right="42"/>
      <w:textAlignment w:val="center"/>
    </w:pPr>
    <w:rPr>
      <w:rFonts w:eastAsia="Times New Roman" w:cstheme="minorHAnsi"/>
      <w:b/>
      <w:color w:val="000000"/>
      <w:sz w:val="19"/>
      <w:szCs w:val="19"/>
      <w:lang w:eastAsia="en-AU"/>
    </w:rPr>
  </w:style>
  <w:style w:type="character" w:customStyle="1" w:styleId="HeadingonrChar">
    <w:name w:val="Heading onr Char"/>
    <w:basedOn w:val="DefaultParagraphFont"/>
    <w:link w:val="Headingonr"/>
    <w:rsid w:val="00E2611A"/>
    <w:rPr>
      <w:rFonts w:eastAsia="Times New Roman" w:cstheme="minorHAnsi"/>
      <w:b/>
      <w:color w:val="000000"/>
      <w:sz w:val="28"/>
      <w:szCs w:val="19"/>
      <w:lang w:eastAsia="en-AU"/>
    </w:rPr>
  </w:style>
  <w:style w:type="character" w:customStyle="1" w:styleId="HeadingtwoChar">
    <w:name w:val="Heading two Char"/>
    <w:basedOn w:val="DefaultParagraphFont"/>
    <w:link w:val="Headingtwo"/>
    <w:rsid w:val="00977F62"/>
    <w:rPr>
      <w:rFonts w:eastAsia="Times New Roman" w:cstheme="minorHAnsi"/>
      <w:b/>
      <w:color w:val="000000"/>
      <w:sz w:val="19"/>
      <w:szCs w:val="19"/>
      <w:lang w:eastAsia="en-AU"/>
    </w:rPr>
  </w:style>
  <w:style w:type="character" w:styleId="CommentReference">
    <w:name w:val="annotation reference"/>
    <w:basedOn w:val="DefaultParagraphFont"/>
    <w:uiPriority w:val="99"/>
    <w:semiHidden/>
    <w:unhideWhenUsed/>
    <w:rsid w:val="00411F66"/>
    <w:rPr>
      <w:sz w:val="16"/>
      <w:szCs w:val="16"/>
    </w:rPr>
  </w:style>
  <w:style w:type="paragraph" w:styleId="CommentText">
    <w:name w:val="annotation text"/>
    <w:basedOn w:val="Normal"/>
    <w:link w:val="CommentTextChar"/>
    <w:uiPriority w:val="99"/>
    <w:semiHidden/>
    <w:unhideWhenUsed/>
    <w:rsid w:val="00411F66"/>
    <w:pPr>
      <w:spacing w:line="240" w:lineRule="auto"/>
    </w:pPr>
    <w:rPr>
      <w:szCs w:val="20"/>
    </w:rPr>
  </w:style>
  <w:style w:type="character" w:customStyle="1" w:styleId="CommentTextChar">
    <w:name w:val="Comment Text Char"/>
    <w:basedOn w:val="DefaultParagraphFont"/>
    <w:link w:val="CommentText"/>
    <w:uiPriority w:val="99"/>
    <w:semiHidden/>
    <w:rsid w:val="00411F66"/>
    <w:rPr>
      <w:sz w:val="20"/>
      <w:szCs w:val="20"/>
    </w:rPr>
  </w:style>
  <w:style w:type="paragraph" w:styleId="CommentSubject">
    <w:name w:val="annotation subject"/>
    <w:basedOn w:val="CommentText"/>
    <w:next w:val="CommentText"/>
    <w:link w:val="CommentSubjectChar"/>
    <w:uiPriority w:val="99"/>
    <w:semiHidden/>
    <w:unhideWhenUsed/>
    <w:rsid w:val="00411F66"/>
    <w:rPr>
      <w:b/>
      <w:bCs/>
    </w:rPr>
  </w:style>
  <w:style w:type="character" w:customStyle="1" w:styleId="CommentSubjectChar">
    <w:name w:val="Comment Subject Char"/>
    <w:basedOn w:val="CommentTextChar"/>
    <w:link w:val="CommentSubject"/>
    <w:uiPriority w:val="99"/>
    <w:semiHidden/>
    <w:rsid w:val="00411F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481434"/>
    <w:rsid w:val="00910B23"/>
    <w:rsid w:val="00983C01"/>
    <w:rsid w:val="00E65B32"/>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D5592D6E-B858-40C7-9EFC-79A1E8D19FC9}">
  <ds:schemaRefs>
    <ds:schemaRef ds:uri="http://schemas.microsoft.com/sharepoint/v3/contenttype/forms"/>
  </ds:schemaRefs>
</ds:datastoreItem>
</file>

<file path=customXml/itemProps2.xml><?xml version="1.0" encoding="utf-8"?>
<ds:datastoreItem xmlns:ds="http://schemas.openxmlformats.org/officeDocument/2006/customXml" ds:itemID="{1F2B542A-4B4C-49CB-8440-14580FB982D3}">
  <ds:schemaRefs>
    <ds:schemaRef ds:uri="http://schemas.openxmlformats.org/officeDocument/2006/bibliography"/>
  </ds:schemaRefs>
</ds:datastoreItem>
</file>

<file path=customXml/itemProps3.xml><?xml version="1.0" encoding="utf-8"?>
<ds:datastoreItem xmlns:ds="http://schemas.openxmlformats.org/officeDocument/2006/customXml" ds:itemID="{29673548-67DE-4679-9EA4-1F726AF1B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B8306-782A-4850-B31B-01601ABE5C6A}">
  <ds:schemaRefs>
    <ds:schemaRef ds:uri="http://purl.org/dc/elements/1.1/"/>
    <ds:schemaRef ds:uri="http://schemas.microsoft.com/sharepoint/v3"/>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690</Words>
  <Characters>3670</Characters>
  <Application>Microsoft Office Word</Application>
  <DocSecurity>0</DocSecurity>
  <Lines>119</Lines>
  <Paragraphs>30</Paragraphs>
  <ScaleCrop>false</ScaleCrop>
  <HeadingPairs>
    <vt:vector size="2" baseType="variant">
      <vt:variant>
        <vt:lpstr>Title</vt:lpstr>
      </vt:variant>
      <vt:variant>
        <vt:i4>1</vt:i4>
      </vt:variant>
    </vt:vector>
  </HeadingPairs>
  <TitlesOfParts>
    <vt:vector size="1" baseType="lpstr">
      <vt:lpstr>Fact Sheet: Verification of Competency – Mobile Plant</vt:lpstr>
    </vt:vector>
  </TitlesOfParts>
  <Company>Australian Government</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Verification of Competency – Mobile Plant</dc:title>
  <dc:creator>Danny Thomas</dc:creator>
  <cp:lastModifiedBy>MATTON-JOHNSON,Elanor</cp:lastModifiedBy>
  <cp:revision>5</cp:revision>
  <cp:lastPrinted>2022-08-30T04:59:00Z</cp:lastPrinted>
  <dcterms:created xsi:type="dcterms:W3CDTF">2022-08-09T03:39:00Z</dcterms:created>
  <dcterms:modified xsi:type="dcterms:W3CDTF">2022-08-30T04:59:00Z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2022-08-09T03:39:12Z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f8bfba1a-e3ee-4ef8-bc4e-94324e57b275</vt:lpwstr>
  </property>
  <property fmtid="{D5CDD505-2E9C-101B-9397-08002B2CF9AE}" pid="9" name="MSIP_Label_79d889eb-932f-4752-8739-64d25806ef64_ContentBits">
    <vt:lpwstr>0</vt:lpwstr>
  </property>
</Properties>
</file>