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B165" w14:textId="75539C49" w:rsidR="0008197B" w:rsidRPr="0008197B" w:rsidRDefault="00A32A87" w:rsidP="0050376B">
      <w:pPr>
        <w:pStyle w:val="Title"/>
        <w:spacing w:after="200"/>
        <w:ind w:left="1276" w:right="-119"/>
        <w:rPr>
          <w:sz w:val="40"/>
        </w:rPr>
      </w:pPr>
      <w:r w:rsidRPr="00A32A87">
        <w:rPr>
          <w:noProof/>
          <w:sz w:val="40"/>
        </w:rPr>
        <w:drawing>
          <wp:anchor distT="0" distB="0" distL="114300" distR="114300" simplePos="0" relativeHeight="251660288" behindDoc="0" locked="0" layoutInCell="1" allowOverlap="1" wp14:anchorId="681A9BF7" wp14:editId="2BAD159F">
            <wp:simplePos x="0" y="0"/>
            <wp:positionH relativeFrom="page">
              <wp:posOffset>-42545</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sdt>
        <w:sdtPr>
          <w:rPr>
            <w:sz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r w:rsidR="006455B7" w:rsidRPr="006455B7">
            <w:rPr>
              <w:sz w:val="40"/>
            </w:rPr>
            <w:t>Fact Sheet - Advice for funding recipients: Applying the Work Health and Safety Accreditation Scheme</w:t>
          </w:r>
        </w:sdtContent>
      </w:sdt>
      <w:r w:rsidR="0008197B" w:rsidRPr="0008197B">
        <w:rPr>
          <w:sz w:val="40"/>
        </w:rPr>
        <w:t xml:space="preserve"> </w:t>
      </w:r>
    </w:p>
    <w:p w14:paraId="362F46FC" w14:textId="77777777" w:rsidR="004D54E7" w:rsidRPr="00F5755C" w:rsidRDefault="004D54E7" w:rsidP="007427C8">
      <w:pPr>
        <w:pStyle w:val="DeleteText"/>
        <w:spacing w:line="240" w:lineRule="auto"/>
        <w:ind w:left="1276" w:right="-120"/>
        <w:contextualSpacing/>
        <w:rPr>
          <w:i/>
        </w:rPr>
        <w:sectPr w:rsidR="004D54E7" w:rsidRPr="00F5755C" w:rsidSect="00566668">
          <w:footerReference w:type="default" r:id="rId12"/>
          <w:type w:val="continuous"/>
          <w:pgSz w:w="11906" w:h="16838"/>
          <w:pgMar w:top="0" w:right="1440" w:bottom="1440" w:left="238" w:header="709" w:footer="0" w:gutter="0"/>
          <w:cols w:space="708"/>
          <w:docGrid w:linePitch="360"/>
        </w:sectPr>
      </w:pPr>
      <w:bookmarkStart w:id="0" w:name="_Toc364946114"/>
    </w:p>
    <w:p w14:paraId="4EC2FC79" w14:textId="77777777" w:rsidR="007427C8" w:rsidRPr="00DC2C4D" w:rsidRDefault="007427C8" w:rsidP="00BC753C">
      <w:pPr>
        <w:spacing w:line="240" w:lineRule="auto"/>
      </w:pPr>
      <w:r w:rsidRPr="00DC2C4D">
        <w:t xml:space="preserve">The Australian Government is committed to improving workplace health and safety (WHS) in the building and construction industry. </w:t>
      </w:r>
    </w:p>
    <w:p w14:paraId="295CA060" w14:textId="535BE29A" w:rsidR="007427C8" w:rsidRPr="00DC2C4D" w:rsidRDefault="007427C8" w:rsidP="00BC753C">
      <w:pPr>
        <w:spacing w:line="240" w:lineRule="auto"/>
      </w:pPr>
      <w:r w:rsidRPr="00DC2C4D">
        <w:t xml:space="preserve">As a funding recipient you may be obliged to engage a builder who has been accredited </w:t>
      </w:r>
      <w:r>
        <w:t xml:space="preserve">under the </w:t>
      </w:r>
      <w:r w:rsidRPr="00FF10C4">
        <w:rPr>
          <w:rFonts w:cstheme="minorHAnsi"/>
        </w:rPr>
        <w:t>W</w:t>
      </w:r>
      <w:r w:rsidR="00E07EF7">
        <w:rPr>
          <w:rFonts w:cstheme="minorHAnsi"/>
        </w:rPr>
        <w:t>HS</w:t>
      </w:r>
      <w:r w:rsidRPr="00FF10C4">
        <w:rPr>
          <w:rFonts w:cstheme="minorHAnsi"/>
        </w:rPr>
        <w:t xml:space="preserve"> Accreditation Scheme</w:t>
      </w:r>
      <w:r>
        <w:t xml:space="preserve"> </w:t>
      </w:r>
      <w:r w:rsidR="00E07EF7">
        <w:t xml:space="preserve">(the Scheme) </w:t>
      </w:r>
      <w:r>
        <w:t>or become accredited yourself if you undertake building work</w:t>
      </w:r>
      <w:r w:rsidRPr="00DC2C4D">
        <w:t>. The Scheme is established under the</w:t>
      </w:r>
      <w:r w:rsidRPr="006455B7">
        <w:rPr>
          <w:i/>
        </w:rPr>
        <w:t xml:space="preserve"> </w:t>
      </w:r>
      <w:r w:rsidR="00E83233">
        <w:rPr>
          <w:i/>
          <w:iCs/>
        </w:rPr>
        <w:t>Federal Safety Commissioner Act 2022</w:t>
      </w:r>
      <w:r w:rsidRPr="00660F97">
        <w:rPr>
          <w:rFonts w:ascii="Calibri" w:hAnsi="Calibri" w:cs="Calibri"/>
          <w:lang w:val="en"/>
        </w:rPr>
        <w:t> (the Act)</w:t>
      </w:r>
      <w:r>
        <w:t xml:space="preserve"> </w:t>
      </w:r>
      <w:r w:rsidRPr="00DC2C4D">
        <w:t>supported by</w:t>
      </w:r>
      <w:r w:rsidR="00957BDD">
        <w:t xml:space="preserve"> the</w:t>
      </w:r>
      <w:r w:rsidRPr="00DC2C4D">
        <w:t xml:space="preserve"> </w:t>
      </w:r>
      <w:r w:rsidR="00E07EF7" w:rsidRPr="00E07EF7">
        <w:rPr>
          <w:i/>
          <w:iCs/>
        </w:rPr>
        <w:t>Building and Construction Industry (Improving Productivity) (Accreditation Scheme) Rules 2019</w:t>
      </w:r>
      <w:r w:rsidR="00DA0545">
        <w:rPr>
          <w:i/>
          <w:iCs/>
        </w:rPr>
        <w:t xml:space="preserve"> </w:t>
      </w:r>
      <w:r w:rsidR="00DA0545">
        <w:t>(the Rules)</w:t>
      </w:r>
      <w:r w:rsidRPr="00DC2C4D">
        <w:t>. This fact sheet outlines your responsibilities and how to meet them.</w:t>
      </w:r>
    </w:p>
    <w:p w14:paraId="6181445C" w14:textId="77777777" w:rsidR="007427C8" w:rsidRPr="001C32DB" w:rsidRDefault="007427C8" w:rsidP="00957BDD">
      <w:pPr>
        <w:pStyle w:val="Heading1"/>
        <w:rPr>
          <w:sz w:val="24"/>
          <w:szCs w:val="24"/>
        </w:rPr>
      </w:pPr>
      <w:r w:rsidRPr="001C32DB">
        <w:rPr>
          <w:sz w:val="24"/>
          <w:szCs w:val="24"/>
        </w:rPr>
        <w:t>How the Scheme affects you</w:t>
      </w:r>
    </w:p>
    <w:p w14:paraId="3728742F" w14:textId="77777777" w:rsidR="007427C8" w:rsidRPr="009D7AFA" w:rsidRDefault="006455B7" w:rsidP="00BC753C">
      <w:pPr>
        <w:spacing w:line="240" w:lineRule="auto"/>
      </w:pPr>
      <w:r>
        <w:t>Under the</w:t>
      </w:r>
      <w:r w:rsidR="007427C8" w:rsidRPr="000646E7">
        <w:t xml:space="preserve"> Act</w:t>
      </w:r>
      <w:r w:rsidR="007427C8" w:rsidRPr="009D7AFA">
        <w:t>, Australian Government agencies can only fund ‘building work’ when, subject to thresholds, an accredited builder is engaged.</w:t>
      </w:r>
    </w:p>
    <w:p w14:paraId="25FE0518" w14:textId="7A8A3E9E" w:rsidR="007427C8" w:rsidRDefault="007427C8" w:rsidP="00BC753C">
      <w:pPr>
        <w:spacing w:line="240" w:lineRule="auto"/>
      </w:pPr>
      <w:r w:rsidRPr="009D7AFA">
        <w:t>If an Australian Government agency</w:t>
      </w:r>
      <w:r w:rsidR="00A9747F">
        <w:t xml:space="preserve"> or corporate Commonwealth entity</w:t>
      </w:r>
      <w:r w:rsidRPr="009D7AFA">
        <w:t xml:space="preserve"> has provided you with funding for building work, your funding agreement should include a clause requiring that contracts for building work are </w:t>
      </w:r>
      <w:r>
        <w:t xml:space="preserve">only </w:t>
      </w:r>
      <w:r w:rsidRPr="009D7AFA">
        <w:t xml:space="preserve">entered into with </w:t>
      </w:r>
      <w:r w:rsidR="00E07EF7">
        <w:t xml:space="preserve">accredited </w:t>
      </w:r>
      <w:r w:rsidRPr="009D7AFA">
        <w:t xml:space="preserve">builders </w:t>
      </w:r>
      <w:r w:rsidR="00E07EF7">
        <w:t>when the project is captured</w:t>
      </w:r>
      <w:r w:rsidRPr="009D7AFA">
        <w:t xml:space="preserve"> under the Scheme</w:t>
      </w:r>
      <w:r w:rsidR="00033A35">
        <w:t xml:space="preserve"> and the financial thresholds are met</w:t>
      </w:r>
      <w:r w:rsidRPr="009D7AFA">
        <w:t xml:space="preserve">. </w:t>
      </w:r>
    </w:p>
    <w:p w14:paraId="1D163147" w14:textId="77777777" w:rsidR="007427C8" w:rsidRDefault="007427C8" w:rsidP="00BC753C">
      <w:pPr>
        <w:spacing w:line="240" w:lineRule="auto"/>
      </w:pPr>
      <w:r w:rsidRPr="009D7AFA">
        <w:t xml:space="preserve">The Australian Government will be unable to make funds available to you should an unaccredited builder be engaged. </w:t>
      </w:r>
    </w:p>
    <w:p w14:paraId="776D362C" w14:textId="77777777" w:rsidR="007427C8" w:rsidRPr="00BC753C" w:rsidRDefault="007427C8" w:rsidP="00BC753C">
      <w:pPr>
        <w:spacing w:line="240" w:lineRule="auto"/>
      </w:pPr>
      <w:r w:rsidRPr="00BC753C">
        <w:t>Subcontractors, project managers, architects, designers and other parties not undertaking building work do not require accreditation.</w:t>
      </w:r>
    </w:p>
    <w:p w14:paraId="33C43DD5" w14:textId="77777777" w:rsidR="007427C8" w:rsidRPr="001C32DB" w:rsidRDefault="007427C8" w:rsidP="00957BDD">
      <w:pPr>
        <w:pStyle w:val="Heading1"/>
        <w:rPr>
          <w:sz w:val="24"/>
          <w:szCs w:val="24"/>
        </w:rPr>
      </w:pPr>
      <w:r w:rsidRPr="001C32DB">
        <w:rPr>
          <w:sz w:val="24"/>
          <w:szCs w:val="24"/>
        </w:rPr>
        <w:t>Financial thresholds</w:t>
      </w:r>
    </w:p>
    <w:p w14:paraId="0A84D3FF" w14:textId="64211868" w:rsidR="007427C8" w:rsidRDefault="006708C7" w:rsidP="00BC753C">
      <w:pPr>
        <w:spacing w:line="240" w:lineRule="auto"/>
      </w:pPr>
      <w:r>
        <w:t xml:space="preserve">The Scheme applies to projects that are indirectly funded by the Australian Government where a head contract under the project includes building work </w:t>
      </w:r>
      <w:r w:rsidR="00273E94">
        <w:t xml:space="preserve">and is valued at </w:t>
      </w:r>
      <w:r>
        <w:t>$4 million or more (GST inclusive) AND:</w:t>
      </w:r>
      <w:r w:rsidR="007427C8">
        <w:t xml:space="preserve"> </w:t>
      </w:r>
    </w:p>
    <w:p w14:paraId="24C59948" w14:textId="3A465FE9" w:rsidR="007427C8" w:rsidRDefault="007427C8" w:rsidP="0008197B">
      <w:pPr>
        <w:pStyle w:val="ListBullet"/>
        <w:numPr>
          <w:ilvl w:val="0"/>
          <w:numId w:val="24"/>
        </w:numPr>
        <w:spacing w:line="240" w:lineRule="auto"/>
        <w:ind w:left="142" w:right="-120" w:hanging="153"/>
      </w:pPr>
      <w:r w:rsidRPr="009D7AFA">
        <w:t>the val</w:t>
      </w:r>
      <w:r w:rsidR="0008197B">
        <w:t xml:space="preserve">ue of the Australian Government </w:t>
      </w:r>
      <w:r w:rsidRPr="009D7AFA">
        <w:t>contribution to</w:t>
      </w:r>
      <w:r>
        <w:t xml:space="preserve"> </w:t>
      </w:r>
      <w:r w:rsidRPr="009D7AFA">
        <w:t>the project is at least $</w:t>
      </w:r>
      <w:r>
        <w:t xml:space="preserve">6 </w:t>
      </w:r>
      <w:r w:rsidRPr="009D7AFA">
        <w:t>million and represents at least 50</w:t>
      </w:r>
      <w:r>
        <w:t xml:space="preserve"> </w:t>
      </w:r>
      <w:r w:rsidRPr="009D7AFA">
        <w:t>per cent of the total construction project value</w:t>
      </w:r>
      <w:r w:rsidR="00E07EF7">
        <w:t>;</w:t>
      </w:r>
      <w:r w:rsidRPr="009D7AFA">
        <w:t xml:space="preserve"> or</w:t>
      </w:r>
    </w:p>
    <w:p w14:paraId="4B96291C" w14:textId="405B44E9" w:rsidR="007427C8" w:rsidRPr="00A9747F" w:rsidRDefault="006708C7" w:rsidP="00D000DC">
      <w:pPr>
        <w:pStyle w:val="ListBullet"/>
        <w:numPr>
          <w:ilvl w:val="0"/>
          <w:numId w:val="24"/>
        </w:numPr>
        <w:spacing w:after="200" w:line="240" w:lineRule="auto"/>
        <w:ind w:left="142" w:right="-119" w:hanging="153"/>
        <w:contextualSpacing w:val="0"/>
      </w:pPr>
      <w:r w:rsidRPr="00A9747F">
        <w:t>the Australian Government contribution to a project is $10 million (including GST) or more, irrespective of the proportion of Australian Government funding.</w:t>
      </w:r>
    </w:p>
    <w:p w14:paraId="086F6B86" w14:textId="47B3FDB5" w:rsidR="00A9747F" w:rsidRPr="009D7AFA" w:rsidRDefault="00A9747F" w:rsidP="00A9747F">
      <w:pPr>
        <w:spacing w:line="240" w:lineRule="auto"/>
      </w:pPr>
      <w:r>
        <w:t>More information on the application of the financial thresholds and when an accredited builder must be engaged is available in the fact sheet ‘</w:t>
      </w:r>
      <w:r w:rsidRPr="00A9747F">
        <w:rPr>
          <w:b/>
          <w:bCs/>
        </w:rPr>
        <w:t>Applying the Scheme to indirectly funded building work</w:t>
      </w:r>
      <w:r>
        <w:t>’.</w:t>
      </w:r>
    </w:p>
    <w:p w14:paraId="5AB3FBB9" w14:textId="77777777" w:rsidR="007427C8" w:rsidRPr="001C32DB" w:rsidRDefault="007427C8" w:rsidP="00957BDD">
      <w:pPr>
        <w:pStyle w:val="Heading1"/>
        <w:rPr>
          <w:sz w:val="24"/>
          <w:szCs w:val="24"/>
        </w:rPr>
      </w:pPr>
      <w:r w:rsidRPr="001C32DB">
        <w:rPr>
          <w:sz w:val="24"/>
          <w:szCs w:val="24"/>
        </w:rPr>
        <w:t>Engaging a builder</w:t>
      </w:r>
    </w:p>
    <w:p w14:paraId="188F3E7C" w14:textId="7AF42D06" w:rsidR="00033A35" w:rsidRDefault="00033A35" w:rsidP="00BC753C">
      <w:pPr>
        <w:spacing w:line="240" w:lineRule="auto"/>
      </w:pPr>
      <w:r>
        <w:t xml:space="preserve">If you are not </w:t>
      </w:r>
      <w:r w:rsidR="009C6457">
        <w:t>a builder and</w:t>
      </w:r>
      <w:r>
        <w:t xml:space="preserve"> intend to engage another entity to do th</w:t>
      </w:r>
      <w:r w:rsidR="009C6457">
        <w:t>e</w:t>
      </w:r>
      <w:r>
        <w:t xml:space="preserve"> </w:t>
      </w:r>
      <w:r w:rsidR="009C6457">
        <w:t xml:space="preserve">building </w:t>
      </w:r>
      <w:r>
        <w:t>work</w:t>
      </w:r>
      <w:r w:rsidR="009C6457">
        <w:t xml:space="preserve"> where the value of the contract is expected to meet the thresholds, </w:t>
      </w:r>
      <w:r>
        <w:t>you should ensure that:</w:t>
      </w:r>
    </w:p>
    <w:p w14:paraId="2FDCA876" w14:textId="000BCD4F" w:rsidR="00033A35" w:rsidRDefault="00033A35" w:rsidP="00033A35">
      <w:pPr>
        <w:pStyle w:val="ListBullet"/>
        <w:numPr>
          <w:ilvl w:val="0"/>
          <w:numId w:val="24"/>
        </w:numPr>
        <w:spacing w:line="240" w:lineRule="auto"/>
        <w:ind w:left="142" w:right="-120" w:hanging="153"/>
      </w:pPr>
      <w:r>
        <w:t>y</w:t>
      </w:r>
      <w:r w:rsidR="007427C8" w:rsidRPr="009062DC">
        <w:t>our tender documentation and contracts for building work state that the Scheme applies to the project, and</w:t>
      </w:r>
    </w:p>
    <w:p w14:paraId="45CCDF45" w14:textId="0601F27E" w:rsidR="007427C8" w:rsidRDefault="007427C8" w:rsidP="00D000DC">
      <w:pPr>
        <w:pStyle w:val="ListBullet"/>
        <w:numPr>
          <w:ilvl w:val="0"/>
          <w:numId w:val="24"/>
        </w:numPr>
        <w:spacing w:after="200" w:line="240" w:lineRule="auto"/>
        <w:ind w:left="142" w:right="-119" w:hanging="153"/>
        <w:contextualSpacing w:val="0"/>
      </w:pPr>
      <w:r w:rsidRPr="009062DC">
        <w:t xml:space="preserve">the builder </w:t>
      </w:r>
      <w:r w:rsidR="00033A35">
        <w:t xml:space="preserve">will need </w:t>
      </w:r>
      <w:r w:rsidRPr="009062DC">
        <w:t xml:space="preserve">to be accredited </w:t>
      </w:r>
      <w:r w:rsidR="00DA0545">
        <w:t xml:space="preserve">and remain accredited </w:t>
      </w:r>
      <w:r w:rsidRPr="009062DC">
        <w:t>under the Scheme in</w:t>
      </w:r>
      <w:r>
        <w:t xml:space="preserve"> </w:t>
      </w:r>
      <w:r w:rsidRPr="009062DC">
        <w:t>order to perform the work.</w:t>
      </w:r>
      <w:r>
        <w:t xml:space="preserve"> </w:t>
      </w:r>
    </w:p>
    <w:p w14:paraId="5F9E2598" w14:textId="77777777" w:rsidR="007427C8" w:rsidRPr="00DA23FE" w:rsidRDefault="007427C8" w:rsidP="00BC753C">
      <w:pPr>
        <w:spacing w:line="240" w:lineRule="auto"/>
        <w:rPr>
          <w:b/>
        </w:rPr>
      </w:pPr>
      <w:r>
        <w:t>The Offi</w:t>
      </w:r>
      <w:r w:rsidRPr="009062DC">
        <w:t>ce of the Federal Safety Commissioner (OFSC)</w:t>
      </w:r>
      <w:r>
        <w:t xml:space="preserve"> </w:t>
      </w:r>
      <w:r w:rsidRPr="009062DC">
        <w:t>provides Model Clauses for use by funding recipients for</w:t>
      </w:r>
      <w:r>
        <w:t xml:space="preserve"> </w:t>
      </w:r>
      <w:r w:rsidRPr="009062DC">
        <w:t>these purposes. The Model Clauses are available at</w:t>
      </w:r>
      <w:r w:rsidRPr="009B2799">
        <w:t xml:space="preserve"> </w:t>
      </w:r>
      <w:hyperlink r:id="rId13" w:history="1">
        <w:r w:rsidR="00DA23FE" w:rsidRPr="009B2799">
          <w:rPr>
            <w:rStyle w:val="Hyperlink"/>
          </w:rPr>
          <w:t>www.</w:t>
        </w:r>
        <w:r w:rsidRPr="009B2799">
          <w:rPr>
            <w:rStyle w:val="Hyperlink"/>
          </w:rPr>
          <w:t>fsc.gov.au</w:t>
        </w:r>
      </w:hyperlink>
      <w:r w:rsidRPr="009062DC">
        <w:t>.</w:t>
      </w:r>
      <w:r>
        <w:t xml:space="preserve"> </w:t>
      </w:r>
    </w:p>
    <w:p w14:paraId="511515A7" w14:textId="77777777" w:rsidR="007427C8" w:rsidRDefault="007427C8" w:rsidP="00BC753C">
      <w:pPr>
        <w:spacing w:line="240" w:lineRule="auto"/>
      </w:pPr>
      <w:r>
        <w:t>W</w:t>
      </w:r>
      <w:r w:rsidRPr="00067952">
        <w:t xml:space="preserve">hile the model clauses are recommended, they are not mandatory. </w:t>
      </w:r>
      <w:r>
        <w:t>F</w:t>
      </w:r>
      <w:r w:rsidRPr="00067952">
        <w:t xml:space="preserve">unding </w:t>
      </w:r>
      <w:r>
        <w:t>r</w:t>
      </w:r>
      <w:r w:rsidRPr="00067952">
        <w:t>ecipients and others may substitute these model clauses with their own</w:t>
      </w:r>
      <w:r>
        <w:t>,</w:t>
      </w:r>
      <w:r w:rsidRPr="00067952">
        <w:t xml:space="preserve"> providing that the replacement clauses achieve at least the same effect of the model clause</w:t>
      </w:r>
      <w:r>
        <w:t xml:space="preserve">. </w:t>
      </w:r>
    </w:p>
    <w:p w14:paraId="7F19A866" w14:textId="77777777" w:rsidR="007427C8" w:rsidRPr="00DC2C4D" w:rsidRDefault="007427C8" w:rsidP="00BC753C">
      <w:pPr>
        <w:spacing w:line="240" w:lineRule="auto"/>
        <w:rPr>
          <w:b/>
        </w:rPr>
      </w:pPr>
      <w:r w:rsidRPr="00DC2C4D">
        <w:t>A list of accredited builders is also available at</w:t>
      </w:r>
      <w:r>
        <w:t xml:space="preserve"> </w:t>
      </w:r>
      <w:hyperlink r:id="rId14" w:history="1">
        <w:r w:rsidR="00DA23FE" w:rsidRPr="009B2799">
          <w:rPr>
            <w:rStyle w:val="Hyperlink"/>
          </w:rPr>
          <w:t>www.fsc.gov.au</w:t>
        </w:r>
      </w:hyperlink>
      <w:r>
        <w:rPr>
          <w:b/>
        </w:rPr>
        <w:t>.</w:t>
      </w:r>
    </w:p>
    <w:p w14:paraId="620F7FCB" w14:textId="77777777" w:rsidR="00672BF1" w:rsidRDefault="00672BF1">
      <w:pPr>
        <w:rPr>
          <w:rFonts w:ascii="Calibri" w:eastAsiaTheme="majorEastAsia" w:hAnsi="Calibri" w:cstheme="majorBidi"/>
          <w:b/>
          <w:bCs/>
          <w:color w:val="000000" w:themeColor="text1"/>
          <w:sz w:val="32"/>
          <w:szCs w:val="28"/>
        </w:rPr>
      </w:pPr>
      <w:r>
        <w:br w:type="page"/>
      </w:r>
    </w:p>
    <w:p w14:paraId="165E57A1" w14:textId="0E6F088C" w:rsidR="007427C8" w:rsidRPr="001C32DB" w:rsidRDefault="00D000DC" w:rsidP="00957BDD">
      <w:pPr>
        <w:pStyle w:val="Heading1"/>
        <w:rPr>
          <w:sz w:val="24"/>
          <w:szCs w:val="24"/>
        </w:rPr>
      </w:pPr>
      <w:r w:rsidRPr="001C32DB">
        <w:rPr>
          <w:rFonts w:cstheme="minorHAnsi"/>
          <w:noProof/>
          <w:sz w:val="24"/>
          <w:szCs w:val="24"/>
          <w:lang w:eastAsia="en-AU"/>
        </w:rPr>
        <w:lastRenderedPageBreak/>
        <mc:AlternateContent>
          <mc:Choice Requires="wps">
            <w:drawing>
              <wp:anchor distT="0" distB="0" distL="114300" distR="114300" simplePos="0" relativeHeight="251658240" behindDoc="1" locked="0" layoutInCell="1" allowOverlap="1" wp14:anchorId="0A4EAB11" wp14:editId="2A16662F">
                <wp:simplePos x="0" y="0"/>
                <wp:positionH relativeFrom="margin">
                  <wp:align>right</wp:align>
                </wp:positionH>
                <wp:positionV relativeFrom="paragraph">
                  <wp:posOffset>78547</wp:posOffset>
                </wp:positionV>
                <wp:extent cx="2609850" cy="323850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2609850" cy="3238500"/>
                        </a:xfrm>
                        <a:prstGeom prst="rect">
                          <a:avLst/>
                        </a:prstGeom>
                        <a:noFill/>
                        <a:ln w="6350">
                          <a:solidFill>
                            <a:srgbClr val="C00000"/>
                          </a:solidFill>
                        </a:ln>
                      </wps:spPr>
                      <wps:txbx>
                        <w:txbxContent>
                          <w:p w14:paraId="6F857206" w14:textId="2180E39A" w:rsidR="007427C8" w:rsidRPr="009C1375" w:rsidRDefault="007427C8" w:rsidP="007427C8">
                            <w:pPr>
                              <w:spacing w:line="240" w:lineRule="auto"/>
                              <w:rPr>
                                <w:szCs w:val="20"/>
                              </w:rPr>
                            </w:pPr>
                            <w:r w:rsidRPr="009C1375">
                              <w:rPr>
                                <w:szCs w:val="20"/>
                              </w:rPr>
                              <w:t xml:space="preserve">This fact sheet was last updated </w:t>
                            </w:r>
                            <w:r w:rsidR="00D000DC" w:rsidRPr="00672BF1">
                              <w:rPr>
                                <w:szCs w:val="20"/>
                              </w:rPr>
                              <w:t xml:space="preserve">15 </w:t>
                            </w:r>
                            <w:r w:rsidR="00672BF1" w:rsidRPr="00672BF1">
                              <w:rPr>
                                <w:szCs w:val="20"/>
                              </w:rPr>
                              <w:t>April</w:t>
                            </w:r>
                            <w:r w:rsidR="00D000DC" w:rsidRPr="00672BF1">
                              <w:rPr>
                                <w:szCs w:val="20"/>
                              </w:rPr>
                              <w:t xml:space="preserve"> 2021</w:t>
                            </w:r>
                            <w:r w:rsidRPr="00672BF1">
                              <w:rPr>
                                <w:szCs w:val="20"/>
                              </w:rPr>
                              <w:t>.</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EAB11" id="_x0000_t202" coordsize="21600,21600" o:spt="202" path="m,l,21600r21600,l21600,xe">
                <v:stroke joinstyle="miter"/>
                <v:path gradientshapeok="t" o:connecttype="rect"/>
              </v:shapetype>
              <v:shape id="Text Box 56" o:spid="_x0000_s1026" type="#_x0000_t202" style="position:absolute;margin-left:154.3pt;margin-top:6.2pt;width:205.5pt;height:2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" filled="f" strokecolor="#c00000" strokeweight=".5pt">
                <v:textbox>
                  <w:txbxContent>
                    <w:p w14:paraId="6F857206" w14:textId="2180E39A" w:rsidR="007427C8" w:rsidRPr="009C1375" w:rsidRDefault="007427C8" w:rsidP="007427C8">
                      <w:pPr>
                        <w:spacing w:line="240" w:lineRule="auto"/>
                        <w:rPr>
                          <w:szCs w:val="20"/>
                        </w:rPr>
                      </w:pPr>
                      <w:r w:rsidRPr="009C1375">
                        <w:rPr>
                          <w:szCs w:val="20"/>
                        </w:rPr>
                        <w:t xml:space="preserve">This fact sheet was last updated </w:t>
                      </w:r>
                      <w:r w:rsidR="00D000DC" w:rsidRPr="00672BF1">
                        <w:rPr>
                          <w:szCs w:val="20"/>
                        </w:rPr>
                        <w:t xml:space="preserve">15 </w:t>
                      </w:r>
                      <w:r w:rsidR="00672BF1" w:rsidRPr="00672BF1">
                        <w:rPr>
                          <w:szCs w:val="20"/>
                        </w:rPr>
                        <w:t>April</w:t>
                      </w:r>
                      <w:r w:rsidR="00D000DC" w:rsidRPr="00672BF1">
                        <w:rPr>
                          <w:szCs w:val="20"/>
                        </w:rPr>
                        <w:t xml:space="preserve"> 2021</w:t>
                      </w:r>
                      <w:r w:rsidRPr="00672BF1">
                        <w:rPr>
                          <w:szCs w:val="20"/>
                        </w:rPr>
                        <w:t>.</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r w:rsidR="007427C8" w:rsidRPr="001C32DB">
        <w:rPr>
          <w:sz w:val="24"/>
          <w:szCs w:val="24"/>
        </w:rPr>
        <w:t>Joint Venture arrangements</w:t>
      </w:r>
    </w:p>
    <w:p w14:paraId="3C5477A8" w14:textId="749E37B4" w:rsidR="007427C8" w:rsidRDefault="007427C8" w:rsidP="00BC753C">
      <w:pPr>
        <w:spacing w:line="240" w:lineRule="auto"/>
      </w:pPr>
      <w:r>
        <w:t>In joint venture arrangements only the person/s conducting ‘building work’ will require Scheme accreditation</w:t>
      </w:r>
      <w:r w:rsidR="00A9747F">
        <w:t xml:space="preserve"> where the project is captured under the Scheme</w:t>
      </w:r>
      <w:r>
        <w:t xml:space="preserve">. </w:t>
      </w:r>
    </w:p>
    <w:p w14:paraId="0F7F3C67" w14:textId="05FA61C7" w:rsidR="007427C8" w:rsidRDefault="007427C8" w:rsidP="00BC753C">
      <w:pPr>
        <w:spacing w:line="240" w:lineRule="auto"/>
      </w:pPr>
      <w:r>
        <w:t xml:space="preserve">Provisions apply for joint venture arrangements that include both accredited and unaccredited builders seeking to undertake </w:t>
      </w:r>
      <w:r w:rsidRPr="00493CC7">
        <w:t>Australian Government funded building work</w:t>
      </w:r>
      <w:r>
        <w:t>.</w:t>
      </w:r>
    </w:p>
    <w:p w14:paraId="1F3D0320" w14:textId="54183FE3" w:rsidR="007427C8" w:rsidRDefault="007427C8" w:rsidP="00BC753C">
      <w:pPr>
        <w:spacing w:line="240" w:lineRule="auto"/>
      </w:pPr>
      <w:r>
        <w:t xml:space="preserve">You should note that parties to a joint venture arrangement that include an unaccredited builder are required to provide certain undertakings to the Federal Safety Commissioner, </w:t>
      </w:r>
      <w:r w:rsidRPr="00DC2C4D">
        <w:t>before</w:t>
      </w:r>
      <w:r>
        <w:t xml:space="preserve"> they may enter into a contract for building work. </w:t>
      </w:r>
    </w:p>
    <w:p w14:paraId="02ADB5F3" w14:textId="12EB944F" w:rsidR="007427C8" w:rsidRDefault="007427C8" w:rsidP="00BC753C">
      <w:pPr>
        <w:spacing w:line="240" w:lineRule="auto"/>
      </w:pPr>
      <w:r>
        <w:t xml:space="preserve">The Federal Safety Commissioner will provide written acknowledgement to the joint venture partners, that the required undertakings have been received. </w:t>
      </w:r>
    </w:p>
    <w:p w14:paraId="5D29DE27" w14:textId="28727D15" w:rsidR="007427C8" w:rsidRDefault="007427C8" w:rsidP="00BC753C">
      <w:pPr>
        <w:spacing w:line="240" w:lineRule="auto"/>
      </w:pPr>
      <w:r>
        <w:t>For information on joint venture arrangements under the Scheme, please refer to ou</w:t>
      </w:r>
      <w:r w:rsidR="00A9747F">
        <w:t>r</w:t>
      </w:r>
      <w:r>
        <w:t xml:space="preserve"> Fact Sheet </w:t>
      </w:r>
      <w:r w:rsidR="00A9747F">
        <w:t>‘</w:t>
      </w:r>
      <w:r w:rsidRPr="00A9747F">
        <w:rPr>
          <w:b/>
          <w:bCs/>
        </w:rPr>
        <w:t>Joint Venture Arrangements</w:t>
      </w:r>
      <w:r w:rsidR="00A9747F">
        <w:t>’</w:t>
      </w:r>
      <w:r>
        <w:t xml:space="preserve"> or contact the OFSC. </w:t>
      </w:r>
    </w:p>
    <w:p w14:paraId="2A3C64D3" w14:textId="77777777" w:rsidR="007427C8" w:rsidRPr="001C32DB" w:rsidRDefault="007427C8" w:rsidP="00BC753C">
      <w:pPr>
        <w:pStyle w:val="Heading1"/>
        <w:rPr>
          <w:sz w:val="24"/>
          <w:szCs w:val="24"/>
        </w:rPr>
      </w:pPr>
      <w:r w:rsidRPr="001C32DB">
        <w:rPr>
          <w:sz w:val="24"/>
          <w:szCs w:val="24"/>
        </w:rPr>
        <w:t>Contract notification</w:t>
      </w:r>
    </w:p>
    <w:p w14:paraId="69F4B749" w14:textId="77777777" w:rsidR="007427C8" w:rsidRDefault="007427C8" w:rsidP="00BC753C">
      <w:pPr>
        <w:spacing w:line="240" w:lineRule="auto"/>
      </w:pPr>
      <w:r w:rsidRPr="00DC2C4D">
        <w:t>Funding recipients are encouraged to notify the OFSC about the engagement of a successful builder after completing a procurement process, by completing a ‘Client Agency Contract Notification Form’. This form and additional information on contract notifications are available on the OFSC’s website at</w:t>
      </w:r>
      <w:r w:rsidR="009B2799">
        <w:t xml:space="preserve"> </w:t>
      </w:r>
      <w:hyperlink r:id="rId15" w:history="1">
        <w:r w:rsidR="009B2799" w:rsidRPr="006455B7">
          <w:rPr>
            <w:rStyle w:val="Hyperlink"/>
          </w:rPr>
          <w:t>www.fsc.gov.au</w:t>
        </w:r>
      </w:hyperlink>
      <w:r w:rsidRPr="00DC2C4D">
        <w:t>:</w:t>
      </w:r>
    </w:p>
    <w:p w14:paraId="6C28540B" w14:textId="77777777" w:rsidR="007427C8" w:rsidRPr="00CA2F89" w:rsidRDefault="009B2799" w:rsidP="007427C8">
      <w:pPr>
        <w:jc w:val="both"/>
        <w:rPr>
          <w:rStyle w:val="Hyperlink"/>
        </w:rPr>
      </w:pPr>
      <w:r>
        <w:rPr>
          <w:rFonts w:cstheme="minorHAnsi"/>
          <w:noProof/>
          <w:lang w:eastAsia="en-AU"/>
        </w:rPr>
        <mc:AlternateContent>
          <mc:Choice Requires="wps">
            <w:drawing>
              <wp:anchor distT="0" distB="0" distL="114300" distR="114300" simplePos="0" relativeHeight="251656192" behindDoc="1" locked="0" layoutInCell="1" allowOverlap="1" wp14:anchorId="729A2F05" wp14:editId="073BBDBB">
                <wp:simplePos x="0" y="0"/>
                <wp:positionH relativeFrom="margin">
                  <wp:align>left</wp:align>
                </wp:positionH>
                <wp:positionV relativeFrom="paragraph">
                  <wp:posOffset>251874</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chemeClr val="bg1">
                            <a:lumMod val="20000"/>
                            <a:lumOff val="80000"/>
                          </a:schemeClr>
                        </a:solidFill>
                        <a:ln w="6350">
                          <a:noFill/>
                        </a:ln>
                      </wps:spPr>
                      <wps:txbx>
                        <w:txbxContent>
                          <w:p w14:paraId="1F7F30E8" w14:textId="77777777" w:rsidR="007427C8" w:rsidRPr="00DB79B9" w:rsidRDefault="007427C8" w:rsidP="007427C8">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D83F671" w14:textId="77777777" w:rsidR="007427C8" w:rsidRPr="00DB79B9" w:rsidRDefault="007427C8" w:rsidP="007427C8">
                            <w:pPr>
                              <w:pStyle w:val="ListParagraph"/>
                              <w:numPr>
                                <w:ilvl w:val="0"/>
                                <w:numId w:val="22"/>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7A9235CC" w14:textId="12A4625D" w:rsidR="007427C8" w:rsidRPr="00DB79B9" w:rsidRDefault="007427C8" w:rsidP="007427C8">
                            <w:pPr>
                              <w:pStyle w:val="ListParagraph"/>
                              <w:numPr>
                                <w:ilvl w:val="0"/>
                                <w:numId w:val="22"/>
                              </w:numPr>
                              <w:spacing w:line="240" w:lineRule="auto"/>
                              <w:ind w:left="284" w:hanging="284"/>
                              <w:rPr>
                                <w:szCs w:val="20"/>
                              </w:rPr>
                            </w:pPr>
                            <w:r w:rsidRPr="00DB79B9">
                              <w:rPr>
                                <w:szCs w:val="20"/>
                              </w:rPr>
                              <w:t xml:space="preserve">Contact the FSC Assist Line on </w:t>
                            </w:r>
                            <w:r w:rsidRPr="00DB79B9">
                              <w:rPr>
                                <w:b/>
                                <w:szCs w:val="20"/>
                              </w:rPr>
                              <w:t>1800 652 500</w:t>
                            </w:r>
                          </w:p>
                          <w:p w14:paraId="5626D0EA" w14:textId="12D19F33" w:rsidR="007427C8" w:rsidRPr="00DB79B9" w:rsidRDefault="007427C8" w:rsidP="007427C8">
                            <w:pPr>
                              <w:pStyle w:val="ListParagraph"/>
                              <w:numPr>
                                <w:ilvl w:val="0"/>
                                <w:numId w:val="22"/>
                              </w:numPr>
                              <w:spacing w:line="240" w:lineRule="auto"/>
                              <w:ind w:left="284" w:hanging="284"/>
                              <w:rPr>
                                <w:szCs w:val="20"/>
                              </w:rPr>
                            </w:pPr>
                            <w:r w:rsidRPr="00DB79B9">
                              <w:rPr>
                                <w:szCs w:val="20"/>
                              </w:rPr>
                              <w:t xml:space="preserve">Contact the OFSC via email at </w:t>
                            </w:r>
                            <w:r w:rsidRPr="00DB79B9">
                              <w:rPr>
                                <w:b/>
                                <w:szCs w:val="20"/>
                              </w:rPr>
                              <w:t>ofsc@</w:t>
                            </w:r>
                            <w:r w:rsidR="00027193">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A2F05" id="_x0000_t202" coordsize="21600,21600" o:spt="202" path="m,l,21600r21600,l21600,xe">
                <v:stroke joinstyle="miter"/>
                <v:path gradientshapeok="t" o:connecttype="rect"/>
              </v:shapetype>
              <v:shape id="Text Box 1" o:spid="_x0000_s1027" type="#_x0000_t202" style="position:absolute;left:0;text-align:left;margin-left:0;margin-top:19.85pt;width:213pt;height:9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" fillcolor="#e5e5e5 [668]" stroked="f" strokeweight=".5pt">
                <v:textbox>
                  <w:txbxContent>
                    <w:p w14:paraId="1F7F30E8" w14:textId="77777777" w:rsidR="007427C8" w:rsidRPr="00DB79B9" w:rsidRDefault="007427C8" w:rsidP="007427C8">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D83F671" w14:textId="77777777" w:rsidR="007427C8" w:rsidRPr="00DB79B9" w:rsidRDefault="007427C8" w:rsidP="007427C8">
                      <w:pPr>
                        <w:pStyle w:val="ListParagraph"/>
                        <w:numPr>
                          <w:ilvl w:val="0"/>
                          <w:numId w:val="22"/>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7A9235CC" w14:textId="12A4625D" w:rsidR="007427C8" w:rsidRPr="00DB79B9" w:rsidRDefault="007427C8" w:rsidP="007427C8">
                      <w:pPr>
                        <w:pStyle w:val="ListParagraph"/>
                        <w:numPr>
                          <w:ilvl w:val="0"/>
                          <w:numId w:val="22"/>
                        </w:numPr>
                        <w:spacing w:line="240" w:lineRule="auto"/>
                        <w:ind w:left="284" w:hanging="284"/>
                        <w:rPr>
                          <w:szCs w:val="20"/>
                        </w:rPr>
                      </w:pPr>
                      <w:r w:rsidRPr="00DB79B9">
                        <w:rPr>
                          <w:szCs w:val="20"/>
                        </w:rPr>
                        <w:t xml:space="preserve">Contact the FSC Assist Line on </w:t>
                      </w:r>
                      <w:r w:rsidRPr="00DB79B9">
                        <w:rPr>
                          <w:b/>
                          <w:szCs w:val="20"/>
                        </w:rPr>
                        <w:t>1800 652 500</w:t>
                      </w:r>
                    </w:p>
                    <w:p w14:paraId="5626D0EA" w14:textId="12D19F33" w:rsidR="007427C8" w:rsidRPr="00DB79B9" w:rsidRDefault="007427C8" w:rsidP="007427C8">
                      <w:pPr>
                        <w:pStyle w:val="ListParagraph"/>
                        <w:numPr>
                          <w:ilvl w:val="0"/>
                          <w:numId w:val="22"/>
                        </w:numPr>
                        <w:spacing w:line="240" w:lineRule="auto"/>
                        <w:ind w:left="284" w:hanging="284"/>
                        <w:rPr>
                          <w:szCs w:val="20"/>
                        </w:rPr>
                      </w:pPr>
                      <w:r w:rsidRPr="00DB79B9">
                        <w:rPr>
                          <w:szCs w:val="20"/>
                        </w:rPr>
                        <w:t xml:space="preserve">Contact the OFSC via email at </w:t>
                      </w:r>
                      <w:r w:rsidRPr="00DB79B9">
                        <w:rPr>
                          <w:b/>
                          <w:szCs w:val="20"/>
                        </w:rPr>
                        <w:t>ofsc@</w:t>
                      </w:r>
                      <w:r w:rsidR="00027193">
                        <w:rPr>
                          <w:b/>
                          <w:szCs w:val="20"/>
                        </w:rPr>
                        <w:t>dewr.gov.au</w:t>
                      </w:r>
                    </w:p>
                  </w:txbxContent>
                </v:textbox>
                <w10:wrap anchorx="margin"/>
              </v:shape>
            </w:pict>
          </mc:Fallback>
        </mc:AlternateContent>
      </w:r>
      <w:r w:rsidR="007427C8">
        <w:fldChar w:fldCharType="begin"/>
      </w:r>
      <w:r w:rsidR="007427C8">
        <w:instrText xml:space="preserve"> HYPERLINK "http://www.fsc.gov.au/sites/fsc/engageaccredited/pages/reportingrequirementsforgovernmentandfundingrecipients" </w:instrText>
      </w:r>
      <w:r w:rsidR="007427C8">
        <w:fldChar w:fldCharType="separate"/>
      </w:r>
    </w:p>
    <w:p w14:paraId="622D12BE" w14:textId="4B355C54" w:rsidR="00C10C19" w:rsidRDefault="007427C8" w:rsidP="007427C8">
      <w:pPr>
        <w:spacing w:line="240" w:lineRule="auto"/>
        <w:jc w:val="both"/>
      </w:pPr>
      <w:r>
        <w:rPr>
          <w:color w:val="000000"/>
          <w:sz w:val="19"/>
          <w:szCs w:val="19"/>
        </w:rPr>
        <w:fldChar w:fldCharType="end"/>
      </w:r>
      <w:bookmarkEnd w:id="0"/>
    </w:p>
    <w:sectPr w:rsidR="00C10C19" w:rsidSect="00566668">
      <w:headerReference w:type="default" r:id="rId16"/>
      <w:footerReference w:type="default" r:id="rId17"/>
      <w:type w:val="continuous"/>
      <w:pgSz w:w="11906" w:h="16838"/>
      <w:pgMar w:top="1276" w:right="1440" w:bottom="1440" w:left="144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0C4A" w14:textId="77777777" w:rsidR="00785C95" w:rsidRDefault="00785C95" w:rsidP="00130923">
      <w:pPr>
        <w:spacing w:after="0" w:line="240" w:lineRule="auto"/>
      </w:pPr>
      <w:r>
        <w:separator/>
      </w:r>
    </w:p>
  </w:endnote>
  <w:endnote w:type="continuationSeparator" w:id="0">
    <w:p w14:paraId="6C33A8CD" w14:textId="77777777" w:rsidR="00785C95" w:rsidRDefault="00785C95"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A0D4" w14:textId="66EA2375" w:rsidR="003242B9" w:rsidRPr="000B1D63" w:rsidRDefault="00566668"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61312" behindDoc="0" locked="0" layoutInCell="1" allowOverlap="1" wp14:anchorId="3F5F2B67" wp14:editId="7895C4D6">
          <wp:simplePos x="0" y="0"/>
          <wp:positionH relativeFrom="page">
            <wp:align>left</wp:align>
          </wp:positionH>
          <wp:positionV relativeFrom="paragraph">
            <wp:posOffset>-563880</wp:posOffset>
          </wp:positionV>
          <wp:extent cx="7664400" cy="70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72FC" w14:textId="745AD0BD" w:rsidR="003242B9" w:rsidRDefault="00672BF1" w:rsidP="00672BF1">
    <w:pPr>
      <w:pStyle w:val="Footer"/>
      <w:tabs>
        <w:tab w:val="clear" w:pos="9026"/>
        <w:tab w:val="right" w:pos="8647"/>
      </w:tabs>
    </w:pPr>
    <w:r>
      <w:rPr>
        <w:noProof/>
        <w:lang w:eastAsia="en-AU"/>
      </w:rPr>
      <w:drawing>
        <wp:anchor distT="0" distB="0" distL="114300" distR="114300" simplePos="0" relativeHeight="251659264" behindDoc="0" locked="0" layoutInCell="1" allowOverlap="1" wp14:anchorId="5B06E4BC" wp14:editId="23676902">
          <wp:simplePos x="0" y="0"/>
          <wp:positionH relativeFrom="page">
            <wp:align>left</wp:align>
          </wp:positionH>
          <wp:positionV relativeFrom="paragraph">
            <wp:posOffset>-561975</wp:posOffset>
          </wp:positionV>
          <wp:extent cx="7664400" cy="705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BAB5" w14:textId="77777777" w:rsidR="00785C95" w:rsidRDefault="00785C95" w:rsidP="00130923">
      <w:pPr>
        <w:spacing w:after="0" w:line="240" w:lineRule="auto"/>
      </w:pPr>
      <w:r>
        <w:separator/>
      </w:r>
    </w:p>
  </w:footnote>
  <w:footnote w:type="continuationSeparator" w:id="0">
    <w:p w14:paraId="6EE5D2A5" w14:textId="77777777" w:rsidR="00785C95" w:rsidRDefault="00785C95"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A1D1" w14:textId="77777777" w:rsidR="00560CA0" w:rsidRDefault="0008197B" w:rsidP="00560CA0">
    <w:pPr>
      <w:pStyle w:val="Header"/>
      <w:jc w:val="right"/>
    </w:pPr>
    <w:r>
      <w:t>Fact Sheet – Advice for funding recipients: Applying the Work Health and Safety Accreditation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CE2F55"/>
    <w:multiLevelType w:val="hybridMultilevel"/>
    <w:tmpl w:val="6CE2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EE7D36"/>
    <w:multiLevelType w:val="hybridMultilevel"/>
    <w:tmpl w:val="FBD00CCC"/>
    <w:lvl w:ilvl="0" w:tplc="32763B48">
      <w:start w:val="1"/>
      <w:numFmt w:val="bullet"/>
      <w:pStyle w:val="OFSCBullets"/>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1"/>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16"/>
  </w:num>
  <w:num w:numId="22">
    <w:abstractNumId w:val="14"/>
  </w:num>
  <w:num w:numId="23">
    <w:abstractNumId w:val="12"/>
  </w:num>
  <w:num w:numId="24">
    <w:abstractNumId w:val="10"/>
  </w:num>
  <w:num w:numId="25">
    <w:abstractNumId w:val="1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27193"/>
    <w:rsid w:val="00033A35"/>
    <w:rsid w:val="00034EAA"/>
    <w:rsid w:val="0008197B"/>
    <w:rsid w:val="000861A6"/>
    <w:rsid w:val="000B1D63"/>
    <w:rsid w:val="000E6FBB"/>
    <w:rsid w:val="000F3BA2"/>
    <w:rsid w:val="001175BF"/>
    <w:rsid w:val="00130923"/>
    <w:rsid w:val="001414F3"/>
    <w:rsid w:val="00143FCD"/>
    <w:rsid w:val="001B6467"/>
    <w:rsid w:val="001C32DB"/>
    <w:rsid w:val="00202A65"/>
    <w:rsid w:val="00223EB1"/>
    <w:rsid w:val="00236917"/>
    <w:rsid w:val="00243D6B"/>
    <w:rsid w:val="00273059"/>
    <w:rsid w:val="00273E94"/>
    <w:rsid w:val="002854D6"/>
    <w:rsid w:val="00285763"/>
    <w:rsid w:val="002B06E6"/>
    <w:rsid w:val="002D271F"/>
    <w:rsid w:val="002D6386"/>
    <w:rsid w:val="003047AC"/>
    <w:rsid w:val="00305B35"/>
    <w:rsid w:val="003242B9"/>
    <w:rsid w:val="00344E7B"/>
    <w:rsid w:val="00362E5D"/>
    <w:rsid w:val="00367591"/>
    <w:rsid w:val="00367BAD"/>
    <w:rsid w:val="003D67FC"/>
    <w:rsid w:val="003F6471"/>
    <w:rsid w:val="00406E5A"/>
    <w:rsid w:val="00455B34"/>
    <w:rsid w:val="0048762C"/>
    <w:rsid w:val="004B256F"/>
    <w:rsid w:val="004C2500"/>
    <w:rsid w:val="004C5911"/>
    <w:rsid w:val="004D54E7"/>
    <w:rsid w:val="0050376B"/>
    <w:rsid w:val="005113B6"/>
    <w:rsid w:val="00531817"/>
    <w:rsid w:val="005401AB"/>
    <w:rsid w:val="00560CA0"/>
    <w:rsid w:val="005624F3"/>
    <w:rsid w:val="00566668"/>
    <w:rsid w:val="005811EF"/>
    <w:rsid w:val="005B0878"/>
    <w:rsid w:val="005C15C0"/>
    <w:rsid w:val="00610654"/>
    <w:rsid w:val="00614E19"/>
    <w:rsid w:val="006455B7"/>
    <w:rsid w:val="00652C32"/>
    <w:rsid w:val="0067026C"/>
    <w:rsid w:val="006708C7"/>
    <w:rsid w:val="00672BF1"/>
    <w:rsid w:val="006932B5"/>
    <w:rsid w:val="006A2549"/>
    <w:rsid w:val="006A5BDD"/>
    <w:rsid w:val="006D533A"/>
    <w:rsid w:val="006E21F2"/>
    <w:rsid w:val="006E2D49"/>
    <w:rsid w:val="00721BD9"/>
    <w:rsid w:val="007427C8"/>
    <w:rsid w:val="007468FC"/>
    <w:rsid w:val="00765ABB"/>
    <w:rsid w:val="00785C95"/>
    <w:rsid w:val="00792CA3"/>
    <w:rsid w:val="007B2FDD"/>
    <w:rsid w:val="007F47B5"/>
    <w:rsid w:val="007F7F1E"/>
    <w:rsid w:val="0083468A"/>
    <w:rsid w:val="0084292A"/>
    <w:rsid w:val="00842D43"/>
    <w:rsid w:val="00856D1C"/>
    <w:rsid w:val="00876AC0"/>
    <w:rsid w:val="009116EA"/>
    <w:rsid w:val="00923C84"/>
    <w:rsid w:val="00933671"/>
    <w:rsid w:val="009371F3"/>
    <w:rsid w:val="00957BDD"/>
    <w:rsid w:val="00972DD5"/>
    <w:rsid w:val="00984879"/>
    <w:rsid w:val="00985632"/>
    <w:rsid w:val="00991B63"/>
    <w:rsid w:val="009B2428"/>
    <w:rsid w:val="009B2799"/>
    <w:rsid w:val="009B5CB7"/>
    <w:rsid w:val="009C6457"/>
    <w:rsid w:val="00A31242"/>
    <w:rsid w:val="00A32A87"/>
    <w:rsid w:val="00A52530"/>
    <w:rsid w:val="00A551BF"/>
    <w:rsid w:val="00A70524"/>
    <w:rsid w:val="00A73406"/>
    <w:rsid w:val="00A904EC"/>
    <w:rsid w:val="00A9747F"/>
    <w:rsid w:val="00AC65DA"/>
    <w:rsid w:val="00B2722A"/>
    <w:rsid w:val="00B3197D"/>
    <w:rsid w:val="00B618BA"/>
    <w:rsid w:val="00BC753C"/>
    <w:rsid w:val="00C05E74"/>
    <w:rsid w:val="00C10C19"/>
    <w:rsid w:val="00C11863"/>
    <w:rsid w:val="00C5649C"/>
    <w:rsid w:val="00C6454E"/>
    <w:rsid w:val="00C75486"/>
    <w:rsid w:val="00C8202C"/>
    <w:rsid w:val="00C92A5B"/>
    <w:rsid w:val="00CA46EC"/>
    <w:rsid w:val="00D000DC"/>
    <w:rsid w:val="00D1394D"/>
    <w:rsid w:val="00D344EC"/>
    <w:rsid w:val="00D74115"/>
    <w:rsid w:val="00D903FD"/>
    <w:rsid w:val="00D94BC5"/>
    <w:rsid w:val="00D96C08"/>
    <w:rsid w:val="00DA0545"/>
    <w:rsid w:val="00DA23FE"/>
    <w:rsid w:val="00E07EF7"/>
    <w:rsid w:val="00E756D8"/>
    <w:rsid w:val="00E83233"/>
    <w:rsid w:val="00EC5EC6"/>
    <w:rsid w:val="00ED43D2"/>
    <w:rsid w:val="00EE3B8C"/>
    <w:rsid w:val="00EF4A38"/>
    <w:rsid w:val="00F5755C"/>
    <w:rsid w:val="00FB0AEA"/>
    <w:rsid w:val="00FB10CB"/>
    <w:rsid w:val="00FF6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ACE906"/>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957BDD"/>
    <w:pPr>
      <w:spacing w:after="0" w:line="240" w:lineRule="auto"/>
      <w:ind w:right="-166"/>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957BDD"/>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7427C8"/>
    <w:pPr>
      <w:numPr>
        <w:numId w:val="19"/>
      </w:numPr>
      <w:suppressAutoHyphens/>
      <w:autoSpaceDE w:val="0"/>
      <w:autoSpaceDN w:val="0"/>
      <w:adjustRightInd w:val="0"/>
      <w:spacing w:after="100" w:line="240" w:lineRule="auto"/>
      <w:textAlignment w:val="center"/>
    </w:pPr>
    <w:rPr>
      <w:rFonts w:eastAsia="Times New Roman" w:cstheme="minorHAnsi"/>
      <w:color w:val="000000"/>
      <w:sz w:val="19"/>
      <w:szCs w:val="19"/>
      <w:lang w:val="en-GB" w:eastAsia="en-AU"/>
    </w:rPr>
  </w:style>
  <w:style w:type="paragraph" w:customStyle="1" w:styleId="OFSCHeading2">
    <w:name w:val="OFSC Heading 2"/>
    <w:basedOn w:val="Normal"/>
    <w:qFormat/>
    <w:rsid w:val="007427C8"/>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sc.gov.a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AF3C4D"/>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57890-1795-4238-9229-4CE8D19A40F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F6AA2CB-8A9A-4F5A-96B9-1815270BD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445F6-3232-4B85-8924-BB39C95E79E0}">
  <ds:schemaRefs>
    <ds:schemaRef ds:uri="http://schemas.openxmlformats.org/officeDocument/2006/bibliography"/>
  </ds:schemaRefs>
</ds:datastoreItem>
</file>

<file path=customXml/itemProps4.xml><?xml version="1.0" encoding="utf-8"?>
<ds:datastoreItem xmlns:ds="http://schemas.openxmlformats.org/officeDocument/2006/customXml" ds:itemID="{B14F439C-0226-4B27-BF0E-10F2AF3DA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3907</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Fact Sheet - Advice for funding recipients: Applying the Work Health and Safety Accreditation Scheme</vt:lpstr>
    </vt:vector>
  </TitlesOfParts>
  <Company>Australian Government</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Advice for funding recipients: Applying the Work Health and Safety Accreditation Scheme</dc:title>
  <dc:creator>Danny Thomas</dc:creator>
  <cp:lastModifiedBy>MATTON-JOHNSON,Elanor</cp:lastModifiedBy>
  <cp:revision>3</cp:revision>
  <cp:lastPrinted>2022-08-26T02:08:00Z</cp:lastPrinted>
  <dcterms:created xsi:type="dcterms:W3CDTF">2023-02-06T02:23:00Z</dcterms:created>
  <dcterms:modified xsi:type="dcterms:W3CDTF">2023-02-06T02:23:00Z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2022-07-19T04:19:25Z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a0697da2-49a8-40cd-84fe-c0fc93700f56</vt:lpwstr>
  </property>
  <property fmtid="{D5CDD505-2E9C-101B-9397-08002B2CF9AE}" pid="9" name="MSIP_Label_79d889eb-932f-4752-8739-64d25806ef64_ContentBits">
    <vt:lpwstr>0</vt:lpwstr>
  </property>
</Properties>
</file>