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E7E6" w14:textId="6FE424B5" w:rsidR="00C10C19" w:rsidRPr="00CB57B7" w:rsidRDefault="00CB57B7" w:rsidP="00CB57B7">
      <w:pPr>
        <w:ind w:left="1276"/>
        <w:rPr>
          <w:rFonts w:ascii="Calibri" w:eastAsiaTheme="majorEastAsia" w:hAnsi="Calibri" w:cstheme="majorBidi"/>
          <w:b/>
          <w:color w:val="C00000"/>
          <w:spacing w:val="5"/>
          <w:sz w:val="40"/>
          <w:szCs w:val="52"/>
        </w:rPr>
      </w:pPr>
      <w:r w:rsidRPr="00A13CB9">
        <w:rPr>
          <w:rFonts w:eastAsia="Times New Roman" w:cs="Times New Roman"/>
          <w:b/>
          <w:noProof/>
          <w:sz w:val="44"/>
          <w:szCs w:val="44"/>
          <w:lang w:eastAsia="en-AU"/>
        </w:rPr>
        <w:drawing>
          <wp:anchor distT="0" distB="0" distL="114300" distR="114300" simplePos="0" relativeHeight="251665408" behindDoc="0" locked="0" layoutInCell="1" allowOverlap="1" wp14:anchorId="208956DC" wp14:editId="6D083036">
            <wp:simplePos x="0" y="0"/>
            <wp:positionH relativeFrom="margin">
              <wp:posOffset>-151130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eastAsiaTheme="majorEastAsia" w:hAnsi="Calibri" w:cstheme="majorBidi"/>
            <w:b/>
            <w:color w:val="C00000"/>
            <w:spacing w:val="5"/>
            <w:sz w:val="40"/>
            <w:szCs w:val="52"/>
          </w:rPr>
          <w:alias w:val="Title"/>
          <w:tag w:val=""/>
          <w:id w:val="-1223357544"/>
          <w:placeholder>
            <w:docPart w:val="5964901328E54839B47150C9D0DD227E"/>
          </w:placeholder>
          <w:dataBinding w:prefixMappings="xmlns:ns0='http://purl.org/dc/elements/1.1/' xmlns:ns1='http://schemas.openxmlformats.org/package/2006/metadata/core-properties' " w:xpath="/ns1:coreProperties[1]/ns0:title[1]" w:storeItemID="{6C3C8BC8-F283-45AE-878A-BAB7291924A1}"/>
          <w:text/>
        </w:sdtPr>
        <w:sdtEndPr/>
        <w:sdtContent>
          <w:r w:rsidR="00731937" w:rsidRPr="00CB57B7">
            <w:rPr>
              <w:rFonts w:ascii="Calibri" w:eastAsiaTheme="majorEastAsia" w:hAnsi="Calibri" w:cstheme="majorBidi"/>
              <w:b/>
              <w:color w:val="C00000"/>
              <w:spacing w:val="5"/>
              <w:sz w:val="40"/>
              <w:szCs w:val="52"/>
            </w:rPr>
            <w:t>Fact Sheet – Definitions o</w:t>
          </w:r>
          <w:r w:rsidR="00A30120" w:rsidRPr="00CB57B7">
            <w:rPr>
              <w:rFonts w:ascii="Calibri" w:eastAsiaTheme="majorEastAsia" w:hAnsi="Calibri" w:cstheme="majorBidi"/>
              <w:b/>
              <w:color w:val="C00000"/>
              <w:spacing w:val="5"/>
              <w:sz w:val="40"/>
              <w:szCs w:val="52"/>
            </w:rPr>
            <w:t>f ‘Builder’ and ‘Building Work’</w:t>
          </w:r>
        </w:sdtContent>
      </w:sdt>
    </w:p>
    <w:p w14:paraId="10B20AA5" w14:textId="77777777" w:rsidR="004D54E7" w:rsidRPr="00F5755C" w:rsidRDefault="004D54E7" w:rsidP="00F5755C">
      <w:pPr>
        <w:pStyle w:val="DeleteText"/>
        <w:ind w:left="1276" w:right="-120"/>
        <w:contextualSpacing/>
        <w:rPr>
          <w:i/>
        </w:rPr>
        <w:sectPr w:rsidR="004D54E7" w:rsidRPr="00F5755C" w:rsidSect="00731937">
          <w:footerReference w:type="default" r:id="rId12"/>
          <w:type w:val="continuous"/>
          <w:pgSz w:w="11906" w:h="16838"/>
          <w:pgMar w:top="0" w:right="1440" w:bottom="1440" w:left="238" w:header="624" w:footer="0" w:gutter="0"/>
          <w:cols w:space="708"/>
          <w:docGrid w:linePitch="360"/>
        </w:sectPr>
      </w:pPr>
      <w:bookmarkStart w:id="0" w:name="_Toc364946114"/>
    </w:p>
    <w:bookmarkEnd w:id="0"/>
    <w:p w14:paraId="194F163D" w14:textId="77777777" w:rsidR="00731937" w:rsidRPr="00CB57B7" w:rsidRDefault="00731937" w:rsidP="00C51EE8">
      <w:pPr>
        <w:pStyle w:val="Heading1"/>
        <w:rPr>
          <w:sz w:val="24"/>
          <w:szCs w:val="24"/>
        </w:rPr>
      </w:pPr>
      <w:r w:rsidRPr="00CB57B7">
        <w:rPr>
          <w:sz w:val="24"/>
          <w:szCs w:val="24"/>
        </w:rPr>
        <w:t xml:space="preserve">The Scheme </w:t>
      </w:r>
    </w:p>
    <w:p w14:paraId="0A14E1C7" w14:textId="1FF8C003" w:rsidR="00731937" w:rsidRPr="006C4DBB" w:rsidRDefault="00731937" w:rsidP="00731937">
      <w:pPr>
        <w:spacing w:line="240" w:lineRule="auto"/>
        <w:rPr>
          <w:i/>
        </w:rPr>
      </w:pPr>
      <w:bookmarkStart w:id="1" w:name="_Toc364946115"/>
      <w:r w:rsidRPr="006C4DBB">
        <w:t xml:space="preserve">The </w:t>
      </w:r>
      <w:r w:rsidRPr="004168C6">
        <w:t xml:space="preserve">Work Health and Safety Accreditation Scheme </w:t>
      </w:r>
      <w:r w:rsidRPr="006C4DBB">
        <w:t xml:space="preserve">(the Scheme) is established </w:t>
      </w:r>
      <w:r w:rsidR="006158C8">
        <w:t xml:space="preserve">under </w:t>
      </w:r>
      <w:r w:rsidRPr="006C4DBB">
        <w:t xml:space="preserve">the </w:t>
      </w:r>
      <w:r w:rsidR="00E842E5">
        <w:rPr>
          <w:i/>
          <w:iCs/>
        </w:rPr>
        <w:t>Federal Safety Commissioner Act 2022</w:t>
      </w:r>
      <w:r w:rsidRPr="004168C6">
        <w:rPr>
          <w:i/>
        </w:rPr>
        <w:t xml:space="preserve"> </w:t>
      </w:r>
      <w:r w:rsidRPr="009755F2">
        <w:t>(the Act) and</w:t>
      </w:r>
      <w:r w:rsidR="003F3DBD">
        <w:t xml:space="preserve"> is designed to improve Work, Health and Safety (WHS) in the building and construction industry</w:t>
      </w:r>
      <w:r w:rsidRPr="009755F2">
        <w:t>.</w:t>
      </w:r>
      <w:r w:rsidRPr="006C4DBB">
        <w:rPr>
          <w:i/>
        </w:rPr>
        <w:t xml:space="preserve"> </w:t>
      </w:r>
    </w:p>
    <w:p w14:paraId="5E264AEF" w14:textId="7CACC781" w:rsidR="00C51EE8" w:rsidRDefault="003F3DBD" w:rsidP="00DA4855">
      <w:pPr>
        <w:spacing w:after="240" w:line="240" w:lineRule="auto"/>
      </w:pPr>
      <w:r>
        <w:t xml:space="preserve">Subject to financial thresholds, </w:t>
      </w:r>
      <w:r w:rsidR="00731937" w:rsidRPr="006C4DBB">
        <w:t xml:space="preserve">only ‘builders’ who are accredited under the Scheme can enter into head contracts for building work that is funded </w:t>
      </w:r>
      <w:r w:rsidR="00731937" w:rsidRPr="006C4DBB">
        <w:rPr>
          <w:noProof/>
        </w:rPr>
        <w:t xml:space="preserve">directly or indirectly by the </w:t>
      </w:r>
      <w:r w:rsidR="006158C8">
        <w:rPr>
          <w:noProof/>
        </w:rPr>
        <w:t xml:space="preserve">Commonwealth or </w:t>
      </w:r>
      <w:r w:rsidR="0080754E">
        <w:rPr>
          <w:noProof/>
        </w:rPr>
        <w:t xml:space="preserve">a </w:t>
      </w:r>
      <w:r>
        <w:rPr>
          <w:noProof/>
        </w:rPr>
        <w:t>c</w:t>
      </w:r>
      <w:r w:rsidR="006158C8">
        <w:rPr>
          <w:noProof/>
        </w:rPr>
        <w:t xml:space="preserve">orporate Commonwealth </w:t>
      </w:r>
      <w:r>
        <w:rPr>
          <w:noProof/>
        </w:rPr>
        <w:t>e</w:t>
      </w:r>
      <w:r w:rsidR="006158C8">
        <w:rPr>
          <w:noProof/>
        </w:rPr>
        <w:t>ntit</w:t>
      </w:r>
      <w:r w:rsidR="0080754E">
        <w:rPr>
          <w:noProof/>
        </w:rPr>
        <w:t>y</w:t>
      </w:r>
      <w:r w:rsidR="00731937" w:rsidRPr="006C4DBB">
        <w:rPr>
          <w:noProof/>
        </w:rPr>
        <w:t>.</w:t>
      </w:r>
      <w:r w:rsidR="00731937" w:rsidRPr="006C4DBB">
        <w:t xml:space="preserve"> </w:t>
      </w:r>
      <w:bookmarkStart w:id="2" w:name="_Toc364946116"/>
      <w:bookmarkEnd w:id="1"/>
    </w:p>
    <w:p w14:paraId="7E15A323" w14:textId="13FA2B1F" w:rsidR="00731937" w:rsidRPr="00CB57B7" w:rsidRDefault="00731937" w:rsidP="00C51EE8">
      <w:pPr>
        <w:pStyle w:val="Heading1"/>
        <w:rPr>
          <w:sz w:val="24"/>
          <w:szCs w:val="24"/>
        </w:rPr>
      </w:pPr>
      <w:r w:rsidRPr="00CB57B7">
        <w:rPr>
          <w:sz w:val="24"/>
          <w:szCs w:val="24"/>
        </w:rPr>
        <w:t>Definition of a</w:t>
      </w:r>
      <w:r w:rsidR="003F3DBD" w:rsidRPr="00CB57B7">
        <w:rPr>
          <w:sz w:val="24"/>
          <w:szCs w:val="24"/>
        </w:rPr>
        <w:t xml:space="preserve"> ‘</w:t>
      </w:r>
      <w:r w:rsidRPr="00CB57B7">
        <w:rPr>
          <w:sz w:val="24"/>
          <w:szCs w:val="24"/>
        </w:rPr>
        <w:t>Builder</w:t>
      </w:r>
      <w:r w:rsidR="003F3DBD" w:rsidRPr="00CB57B7">
        <w:rPr>
          <w:sz w:val="24"/>
          <w:szCs w:val="24"/>
        </w:rPr>
        <w:t>’</w:t>
      </w:r>
    </w:p>
    <w:bookmarkEnd w:id="2"/>
    <w:p w14:paraId="1F2080A2" w14:textId="77777777" w:rsidR="00731937" w:rsidRDefault="00731937" w:rsidP="00731937">
      <w:pPr>
        <w:spacing w:line="240" w:lineRule="auto"/>
      </w:pPr>
      <w:r w:rsidRPr="006C4DBB">
        <w:t>The Act defines a builder, in relation to ‘building work’, as ‘a person who carries out any of the building work’.</w:t>
      </w:r>
    </w:p>
    <w:p w14:paraId="3CF397B3" w14:textId="77777777" w:rsidR="00731937" w:rsidRPr="006C4DBB" w:rsidRDefault="00A30120" w:rsidP="00731937">
      <w:pPr>
        <w:spacing w:line="240" w:lineRule="auto"/>
      </w:pPr>
      <w:r>
        <w:t>A</w:t>
      </w:r>
      <w:r w:rsidR="00731937" w:rsidRPr="006C4DBB">
        <w:t xml:space="preserve"> project or contract manager, or developer </w:t>
      </w:r>
      <w:r>
        <w:t xml:space="preserve">who </w:t>
      </w:r>
      <w:r w:rsidR="00731937" w:rsidRPr="006C4DBB">
        <w:t>carries out ‘building work’ will be required to obtain accreditation</w:t>
      </w:r>
      <w:r w:rsidR="00731937">
        <w:t xml:space="preserve"> in order to undertake projects </w:t>
      </w:r>
      <w:r>
        <w:t>covered by the</w:t>
      </w:r>
      <w:r w:rsidR="00731937">
        <w:t xml:space="preserve"> Scheme. </w:t>
      </w:r>
      <w:r w:rsidR="00731937" w:rsidRPr="006C4DBB">
        <w:t xml:space="preserve"> </w:t>
      </w:r>
    </w:p>
    <w:p w14:paraId="36CDC1F8" w14:textId="2EFC728B" w:rsidR="005105EF" w:rsidRDefault="00731937" w:rsidP="003F3DBD">
      <w:pPr>
        <w:spacing w:line="240" w:lineRule="auto"/>
      </w:pPr>
      <w:r w:rsidRPr="006C4DBB">
        <w:t>However, where a project manager, contract manager or developer is not carrying out building work, they will not require accreditation.</w:t>
      </w:r>
      <w:r w:rsidR="003F3DBD">
        <w:t xml:space="preserve"> </w:t>
      </w:r>
      <w:r w:rsidRPr="006C4DBB">
        <w:t>In these circumstances, they will be required to engage an accredited builder to carry out the ‘building work’.</w:t>
      </w:r>
    </w:p>
    <w:p w14:paraId="7F6C4417" w14:textId="02C659FB" w:rsidR="003F3DBD" w:rsidRPr="00CB57B7" w:rsidRDefault="003F3DBD" w:rsidP="003F3DBD">
      <w:pPr>
        <w:pStyle w:val="Heading1"/>
        <w:rPr>
          <w:sz w:val="24"/>
          <w:szCs w:val="24"/>
        </w:rPr>
      </w:pPr>
      <w:r w:rsidRPr="00CB57B7">
        <w:rPr>
          <w:sz w:val="24"/>
          <w:szCs w:val="24"/>
        </w:rPr>
        <w:t>Definition of ‘Building Work’</w:t>
      </w:r>
    </w:p>
    <w:p w14:paraId="777D310B" w14:textId="39536C11" w:rsidR="003F3DBD" w:rsidRPr="00E92F4D" w:rsidRDefault="003F3DBD" w:rsidP="003F3DBD">
      <w:pPr>
        <w:spacing w:line="240" w:lineRule="auto"/>
        <w:rPr>
          <w:szCs w:val="20"/>
        </w:rPr>
      </w:pPr>
      <w:r w:rsidRPr="00DA4855">
        <w:rPr>
          <w:szCs w:val="20"/>
        </w:rPr>
        <w:t xml:space="preserve">Building work </w:t>
      </w:r>
      <w:r>
        <w:rPr>
          <w:szCs w:val="20"/>
        </w:rPr>
        <w:t>for Scheme purposes means</w:t>
      </w:r>
      <w:r w:rsidRPr="00DA4855">
        <w:rPr>
          <w:szCs w:val="20"/>
        </w:rPr>
        <w:t xml:space="preserve"> the:</w:t>
      </w:r>
    </w:p>
    <w:p w14:paraId="18CF7B98" w14:textId="77777777" w:rsidR="003F3DBD" w:rsidRPr="009755F2" w:rsidRDefault="003F3DBD" w:rsidP="003F3DBD">
      <w:pPr>
        <w:pStyle w:val="OFSCBullets"/>
        <w:spacing w:after="0"/>
        <w:ind w:left="714" w:hanging="357"/>
        <w:rPr>
          <w:sz w:val="20"/>
          <w:szCs w:val="20"/>
        </w:rPr>
      </w:pPr>
      <w:r w:rsidRPr="009755F2">
        <w:rPr>
          <w:sz w:val="20"/>
          <w:szCs w:val="20"/>
        </w:rPr>
        <w:t>construction</w:t>
      </w:r>
    </w:p>
    <w:p w14:paraId="6AC52ECA" w14:textId="77777777" w:rsidR="003F3DBD" w:rsidRPr="009755F2" w:rsidRDefault="003F3DBD" w:rsidP="003F3DBD">
      <w:pPr>
        <w:pStyle w:val="OFSCBullets"/>
        <w:spacing w:after="0"/>
        <w:ind w:left="714" w:hanging="357"/>
        <w:rPr>
          <w:sz w:val="20"/>
          <w:szCs w:val="20"/>
        </w:rPr>
      </w:pPr>
      <w:r w:rsidRPr="009755F2">
        <w:rPr>
          <w:sz w:val="20"/>
          <w:szCs w:val="20"/>
        </w:rPr>
        <w:t>alteration</w:t>
      </w:r>
    </w:p>
    <w:p w14:paraId="29A0DA8B" w14:textId="77777777" w:rsidR="003F3DBD" w:rsidRPr="009755F2" w:rsidRDefault="003F3DBD" w:rsidP="003F3DBD">
      <w:pPr>
        <w:pStyle w:val="OFSCBullets"/>
        <w:spacing w:after="0"/>
        <w:ind w:left="714" w:hanging="357"/>
        <w:rPr>
          <w:sz w:val="20"/>
          <w:szCs w:val="20"/>
        </w:rPr>
      </w:pPr>
      <w:r w:rsidRPr="009755F2">
        <w:rPr>
          <w:sz w:val="20"/>
          <w:szCs w:val="20"/>
        </w:rPr>
        <w:t>extension</w:t>
      </w:r>
    </w:p>
    <w:p w14:paraId="1AECD459" w14:textId="77777777" w:rsidR="003F3DBD" w:rsidRPr="009755F2" w:rsidRDefault="003F3DBD" w:rsidP="003F3DBD">
      <w:pPr>
        <w:pStyle w:val="OFSCBullets"/>
        <w:spacing w:after="0"/>
        <w:ind w:left="714" w:hanging="357"/>
        <w:rPr>
          <w:sz w:val="20"/>
          <w:szCs w:val="20"/>
        </w:rPr>
      </w:pPr>
      <w:r w:rsidRPr="009755F2">
        <w:rPr>
          <w:sz w:val="20"/>
          <w:szCs w:val="20"/>
        </w:rPr>
        <w:t>restoration</w:t>
      </w:r>
    </w:p>
    <w:p w14:paraId="0A9B299C" w14:textId="77777777" w:rsidR="003F3DBD" w:rsidRPr="009755F2" w:rsidRDefault="003F3DBD" w:rsidP="003F3DBD">
      <w:pPr>
        <w:pStyle w:val="OFSCBullets"/>
        <w:spacing w:after="0"/>
        <w:ind w:left="714" w:hanging="357"/>
        <w:rPr>
          <w:sz w:val="20"/>
          <w:szCs w:val="20"/>
        </w:rPr>
      </w:pPr>
      <w:r w:rsidRPr="009755F2">
        <w:rPr>
          <w:sz w:val="20"/>
          <w:szCs w:val="20"/>
        </w:rPr>
        <w:t>repair</w:t>
      </w:r>
    </w:p>
    <w:p w14:paraId="7D97FFE3" w14:textId="77777777" w:rsidR="003F3DBD" w:rsidRPr="009755F2" w:rsidRDefault="003F3DBD" w:rsidP="003F3DBD">
      <w:pPr>
        <w:pStyle w:val="OFSCBullets"/>
        <w:spacing w:after="0"/>
        <w:ind w:left="714" w:hanging="357"/>
        <w:rPr>
          <w:sz w:val="20"/>
          <w:szCs w:val="20"/>
        </w:rPr>
      </w:pPr>
      <w:r w:rsidRPr="009755F2">
        <w:rPr>
          <w:sz w:val="20"/>
          <w:szCs w:val="20"/>
        </w:rPr>
        <w:t>demolition</w:t>
      </w:r>
    </w:p>
    <w:p w14:paraId="4B40ACD6" w14:textId="77777777" w:rsidR="003F3DBD" w:rsidRPr="009755F2" w:rsidRDefault="003F3DBD" w:rsidP="003F3DBD">
      <w:pPr>
        <w:pStyle w:val="OFSCBullets"/>
        <w:spacing w:after="0"/>
        <w:ind w:left="714" w:hanging="357"/>
        <w:rPr>
          <w:sz w:val="20"/>
          <w:szCs w:val="20"/>
        </w:rPr>
      </w:pPr>
      <w:r w:rsidRPr="009755F2">
        <w:rPr>
          <w:sz w:val="20"/>
          <w:szCs w:val="20"/>
        </w:rPr>
        <w:t>dismantling</w:t>
      </w:r>
    </w:p>
    <w:p w14:paraId="0B3373DF" w14:textId="77777777" w:rsidR="003F3DBD" w:rsidRPr="009755F2" w:rsidRDefault="003F3DBD" w:rsidP="003F3DBD">
      <w:pPr>
        <w:pStyle w:val="OFSCBullets"/>
        <w:numPr>
          <w:ilvl w:val="0"/>
          <w:numId w:val="0"/>
        </w:numPr>
        <w:spacing w:after="0"/>
        <w:ind w:left="714"/>
        <w:rPr>
          <w:sz w:val="20"/>
          <w:szCs w:val="20"/>
        </w:rPr>
      </w:pPr>
    </w:p>
    <w:p w14:paraId="4FF0FB97" w14:textId="7A3984FF" w:rsidR="003F3DBD" w:rsidRPr="00DA4855" w:rsidRDefault="003F3DBD" w:rsidP="003F3DBD">
      <w:pPr>
        <w:pStyle w:val="ListBullet"/>
        <w:numPr>
          <w:ilvl w:val="0"/>
          <w:numId w:val="0"/>
        </w:numPr>
        <w:spacing w:line="240" w:lineRule="auto"/>
        <w:ind w:right="-120"/>
        <w:rPr>
          <w:szCs w:val="20"/>
        </w:rPr>
      </w:pPr>
      <w:r w:rsidRPr="00DA4855">
        <w:rPr>
          <w:szCs w:val="20"/>
        </w:rPr>
        <w:t>of any buildings, structures or works that form, or are to form, part of land, whether or not the</w:t>
      </w:r>
      <w:r>
        <w:rPr>
          <w:szCs w:val="20"/>
        </w:rPr>
        <w:t xml:space="preserve">y are </w:t>
      </w:r>
      <w:r w:rsidRPr="00E92F4D">
        <w:rPr>
          <w:szCs w:val="20"/>
        </w:rPr>
        <w:t>permanent. Any of these activities carried out on railways</w:t>
      </w:r>
      <w:r>
        <w:rPr>
          <w:szCs w:val="20"/>
        </w:rPr>
        <w:t xml:space="preserve"> (not including rolling stock)</w:t>
      </w:r>
      <w:r w:rsidRPr="00DA4855">
        <w:rPr>
          <w:szCs w:val="20"/>
        </w:rPr>
        <w:t xml:space="preserve"> and docks </w:t>
      </w:r>
      <w:r>
        <w:rPr>
          <w:szCs w:val="20"/>
        </w:rPr>
        <w:t>is also</w:t>
      </w:r>
      <w:r w:rsidRPr="00DA4855">
        <w:rPr>
          <w:szCs w:val="20"/>
        </w:rPr>
        <w:t xml:space="preserve"> building work</w:t>
      </w:r>
      <w:r>
        <w:rPr>
          <w:szCs w:val="20"/>
        </w:rPr>
        <w:t>.</w:t>
      </w:r>
    </w:p>
    <w:p w14:paraId="6AF0B7EE" w14:textId="77777777" w:rsidR="003F3DBD" w:rsidRPr="00E92F4D" w:rsidRDefault="003F3DBD" w:rsidP="003F3DBD">
      <w:pPr>
        <w:pStyle w:val="ListBullet"/>
        <w:numPr>
          <w:ilvl w:val="0"/>
          <w:numId w:val="0"/>
        </w:numPr>
        <w:spacing w:after="0" w:line="240" w:lineRule="auto"/>
        <w:ind w:right="-120"/>
        <w:rPr>
          <w:szCs w:val="20"/>
        </w:rPr>
      </w:pPr>
    </w:p>
    <w:p w14:paraId="2FCD0AC4" w14:textId="19DA3147" w:rsidR="003F3DBD" w:rsidRPr="00DA4855" w:rsidRDefault="003F3DBD" w:rsidP="003F3DBD">
      <w:pPr>
        <w:spacing w:line="240" w:lineRule="auto"/>
        <w:rPr>
          <w:szCs w:val="20"/>
        </w:rPr>
      </w:pPr>
      <w:r w:rsidRPr="00A30120">
        <w:rPr>
          <w:szCs w:val="20"/>
        </w:rPr>
        <w:t>Building work</w:t>
      </w:r>
      <w:r>
        <w:rPr>
          <w:szCs w:val="20"/>
        </w:rPr>
        <w:t xml:space="preserve"> is</w:t>
      </w:r>
      <w:r w:rsidRPr="00A30120">
        <w:rPr>
          <w:szCs w:val="20"/>
        </w:rPr>
        <w:t xml:space="preserve"> also </w:t>
      </w:r>
      <w:r>
        <w:rPr>
          <w:szCs w:val="20"/>
        </w:rPr>
        <w:t>any a</w:t>
      </w:r>
      <w:r w:rsidRPr="00A30120">
        <w:rPr>
          <w:szCs w:val="20"/>
        </w:rPr>
        <w:t>ctivit</w:t>
      </w:r>
      <w:r>
        <w:rPr>
          <w:szCs w:val="20"/>
        </w:rPr>
        <w:t>ies</w:t>
      </w:r>
      <w:r w:rsidRPr="00A30120">
        <w:rPr>
          <w:szCs w:val="20"/>
        </w:rPr>
        <w:t xml:space="preserve"> which involve the installation in any buildings, structures or works of</w:t>
      </w:r>
      <w:r>
        <w:rPr>
          <w:szCs w:val="20"/>
        </w:rPr>
        <w:t xml:space="preserve"> fittings, including</w:t>
      </w:r>
      <w:r w:rsidRPr="00DA4855">
        <w:rPr>
          <w:szCs w:val="20"/>
        </w:rPr>
        <w:t>:</w:t>
      </w:r>
      <w:r w:rsidRPr="00DA4855">
        <w:rPr>
          <w:rFonts w:cstheme="minorHAnsi"/>
          <w:noProof/>
          <w:szCs w:val="20"/>
        </w:rPr>
        <w:t xml:space="preserve"> </w:t>
      </w:r>
    </w:p>
    <w:p w14:paraId="6822CADB" w14:textId="77777777" w:rsidR="003F3DBD" w:rsidRPr="009755F2" w:rsidRDefault="003F3DBD" w:rsidP="003F3DBD">
      <w:pPr>
        <w:pStyle w:val="OFSCBullets"/>
        <w:spacing w:after="0"/>
        <w:ind w:left="714" w:hanging="357"/>
        <w:rPr>
          <w:sz w:val="20"/>
          <w:szCs w:val="20"/>
        </w:rPr>
      </w:pPr>
      <w:r w:rsidRPr="009755F2">
        <w:rPr>
          <w:sz w:val="20"/>
          <w:szCs w:val="20"/>
        </w:rPr>
        <w:t>heating</w:t>
      </w:r>
    </w:p>
    <w:p w14:paraId="19CD229B" w14:textId="77777777" w:rsidR="003F3DBD" w:rsidRPr="009755F2" w:rsidRDefault="003F3DBD" w:rsidP="003F3DBD">
      <w:pPr>
        <w:pStyle w:val="OFSCBullets"/>
        <w:spacing w:after="0"/>
        <w:ind w:left="714" w:hanging="357"/>
        <w:rPr>
          <w:sz w:val="20"/>
          <w:szCs w:val="20"/>
        </w:rPr>
      </w:pPr>
      <w:r w:rsidRPr="009755F2">
        <w:rPr>
          <w:sz w:val="20"/>
          <w:szCs w:val="20"/>
        </w:rPr>
        <w:t>lighting</w:t>
      </w:r>
    </w:p>
    <w:p w14:paraId="6DB54F20" w14:textId="77777777" w:rsidR="003F3DBD" w:rsidRPr="009755F2" w:rsidRDefault="003F3DBD" w:rsidP="003F3DBD">
      <w:pPr>
        <w:pStyle w:val="OFSCBullets"/>
        <w:spacing w:after="0"/>
        <w:ind w:left="714" w:hanging="357"/>
        <w:rPr>
          <w:sz w:val="20"/>
          <w:szCs w:val="20"/>
        </w:rPr>
      </w:pPr>
      <w:r w:rsidRPr="009755F2">
        <w:rPr>
          <w:sz w:val="20"/>
          <w:szCs w:val="20"/>
        </w:rPr>
        <w:t>air-conditioning</w:t>
      </w:r>
    </w:p>
    <w:p w14:paraId="5FA96F04" w14:textId="77777777" w:rsidR="003F3DBD" w:rsidRPr="009755F2" w:rsidRDefault="003F3DBD" w:rsidP="003F3DBD">
      <w:pPr>
        <w:pStyle w:val="OFSCBullets"/>
        <w:spacing w:after="0"/>
        <w:ind w:left="714" w:hanging="357"/>
        <w:rPr>
          <w:sz w:val="20"/>
          <w:szCs w:val="20"/>
        </w:rPr>
      </w:pPr>
      <w:r w:rsidRPr="009755F2">
        <w:rPr>
          <w:sz w:val="20"/>
          <w:szCs w:val="20"/>
        </w:rPr>
        <w:t>ventilation</w:t>
      </w:r>
    </w:p>
    <w:p w14:paraId="0214D7FB" w14:textId="77777777" w:rsidR="003F3DBD" w:rsidRPr="009755F2" w:rsidRDefault="003F3DBD" w:rsidP="003F3DBD">
      <w:pPr>
        <w:pStyle w:val="OFSCBullets"/>
        <w:spacing w:after="0"/>
        <w:ind w:left="714" w:hanging="357"/>
        <w:rPr>
          <w:sz w:val="20"/>
          <w:szCs w:val="20"/>
        </w:rPr>
      </w:pPr>
      <w:r w:rsidRPr="009755F2">
        <w:rPr>
          <w:sz w:val="20"/>
          <w:szCs w:val="20"/>
        </w:rPr>
        <w:t>power supply</w:t>
      </w:r>
    </w:p>
    <w:p w14:paraId="74AE5E65" w14:textId="77777777" w:rsidR="003F3DBD" w:rsidRPr="009755F2" w:rsidRDefault="003F3DBD" w:rsidP="003F3DBD">
      <w:pPr>
        <w:pStyle w:val="OFSCBullets"/>
        <w:spacing w:after="0"/>
        <w:ind w:left="714" w:hanging="357"/>
        <w:rPr>
          <w:sz w:val="20"/>
          <w:szCs w:val="20"/>
        </w:rPr>
      </w:pPr>
      <w:r w:rsidRPr="009755F2">
        <w:rPr>
          <w:sz w:val="20"/>
          <w:szCs w:val="20"/>
        </w:rPr>
        <w:t>drainage</w:t>
      </w:r>
    </w:p>
    <w:p w14:paraId="60683AF5" w14:textId="77777777" w:rsidR="003F3DBD" w:rsidRPr="009755F2" w:rsidRDefault="003F3DBD" w:rsidP="003F3DBD">
      <w:pPr>
        <w:pStyle w:val="OFSCBullets"/>
        <w:spacing w:after="0"/>
        <w:ind w:left="714" w:hanging="357"/>
        <w:rPr>
          <w:sz w:val="20"/>
          <w:szCs w:val="20"/>
        </w:rPr>
      </w:pPr>
      <w:r w:rsidRPr="009755F2">
        <w:rPr>
          <w:sz w:val="20"/>
          <w:szCs w:val="20"/>
        </w:rPr>
        <w:t>sanitation</w:t>
      </w:r>
    </w:p>
    <w:p w14:paraId="19AAB9EC" w14:textId="77777777" w:rsidR="003F3DBD" w:rsidRPr="009755F2" w:rsidRDefault="003F3DBD" w:rsidP="003F3DBD">
      <w:pPr>
        <w:pStyle w:val="OFSCBullets"/>
        <w:spacing w:after="0"/>
        <w:ind w:left="714" w:hanging="357"/>
        <w:rPr>
          <w:sz w:val="20"/>
          <w:szCs w:val="20"/>
        </w:rPr>
      </w:pPr>
      <w:r w:rsidRPr="009755F2">
        <w:rPr>
          <w:sz w:val="20"/>
          <w:szCs w:val="20"/>
        </w:rPr>
        <w:t>water supply</w:t>
      </w:r>
    </w:p>
    <w:p w14:paraId="45AB624F" w14:textId="77777777" w:rsidR="003F3DBD" w:rsidRPr="009755F2" w:rsidRDefault="003F3DBD" w:rsidP="003F3DBD">
      <w:pPr>
        <w:pStyle w:val="OFSCBullets"/>
        <w:spacing w:after="0"/>
        <w:ind w:left="714" w:hanging="357"/>
        <w:rPr>
          <w:sz w:val="20"/>
          <w:szCs w:val="20"/>
        </w:rPr>
      </w:pPr>
      <w:r w:rsidRPr="009755F2">
        <w:rPr>
          <w:sz w:val="20"/>
          <w:szCs w:val="20"/>
        </w:rPr>
        <w:t>fire protection</w:t>
      </w:r>
    </w:p>
    <w:p w14:paraId="5AE746CA" w14:textId="77777777" w:rsidR="003F3DBD" w:rsidRPr="009755F2" w:rsidRDefault="003F3DBD" w:rsidP="003F3DBD">
      <w:pPr>
        <w:pStyle w:val="OFSCBullets"/>
        <w:spacing w:after="0"/>
        <w:ind w:left="714" w:hanging="357"/>
        <w:rPr>
          <w:sz w:val="20"/>
          <w:szCs w:val="20"/>
        </w:rPr>
      </w:pPr>
      <w:r w:rsidRPr="009755F2">
        <w:rPr>
          <w:sz w:val="20"/>
          <w:szCs w:val="20"/>
        </w:rPr>
        <w:t>security</w:t>
      </w:r>
    </w:p>
    <w:p w14:paraId="7593A845" w14:textId="77777777" w:rsidR="003F3DBD" w:rsidRPr="009755F2" w:rsidRDefault="003F3DBD" w:rsidP="003F3DBD">
      <w:pPr>
        <w:pStyle w:val="OFSCBullets"/>
        <w:spacing w:after="0"/>
        <w:ind w:left="714" w:hanging="357"/>
        <w:rPr>
          <w:sz w:val="20"/>
          <w:szCs w:val="20"/>
        </w:rPr>
      </w:pPr>
      <w:r w:rsidRPr="009755F2">
        <w:rPr>
          <w:sz w:val="20"/>
          <w:szCs w:val="20"/>
        </w:rPr>
        <w:t>communications systems</w:t>
      </w:r>
    </w:p>
    <w:p w14:paraId="3CAB46B1" w14:textId="77777777" w:rsidR="003F3DBD" w:rsidRPr="009755F2" w:rsidRDefault="003F3DBD" w:rsidP="003F3DBD">
      <w:pPr>
        <w:pStyle w:val="OFSCBullets"/>
        <w:numPr>
          <w:ilvl w:val="0"/>
          <w:numId w:val="0"/>
        </w:numPr>
        <w:spacing w:after="0"/>
        <w:ind w:left="714"/>
        <w:rPr>
          <w:sz w:val="20"/>
          <w:szCs w:val="20"/>
        </w:rPr>
      </w:pPr>
    </w:p>
    <w:p w14:paraId="11C3D63C" w14:textId="3C155EF1" w:rsidR="003F3DBD" w:rsidRPr="009755F2" w:rsidRDefault="003F3DBD" w:rsidP="003F3DBD">
      <w:pPr>
        <w:pStyle w:val="OFSCBullets"/>
        <w:numPr>
          <w:ilvl w:val="0"/>
          <w:numId w:val="0"/>
        </w:numPr>
        <w:spacing w:after="0"/>
        <w:rPr>
          <w:sz w:val="20"/>
          <w:szCs w:val="20"/>
        </w:rPr>
      </w:pPr>
      <w:r w:rsidRPr="009755F2">
        <w:rPr>
          <w:sz w:val="20"/>
          <w:szCs w:val="20"/>
        </w:rPr>
        <w:t>Finally, building work</w:t>
      </w:r>
      <w:r>
        <w:rPr>
          <w:sz w:val="20"/>
          <w:szCs w:val="20"/>
        </w:rPr>
        <w:t xml:space="preserve"> is any</w:t>
      </w:r>
      <w:r w:rsidRPr="009755F2">
        <w:rPr>
          <w:sz w:val="20"/>
          <w:szCs w:val="20"/>
        </w:rPr>
        <w:t xml:space="preserve"> operations </w:t>
      </w:r>
      <w:r>
        <w:rPr>
          <w:sz w:val="20"/>
          <w:szCs w:val="20"/>
        </w:rPr>
        <w:t>to</w:t>
      </w:r>
      <w:r w:rsidRPr="009755F2">
        <w:rPr>
          <w:sz w:val="20"/>
          <w:szCs w:val="20"/>
        </w:rPr>
        <w:t xml:space="preserve"> prepar</w:t>
      </w:r>
      <w:r>
        <w:rPr>
          <w:sz w:val="20"/>
          <w:szCs w:val="20"/>
        </w:rPr>
        <w:t>e</w:t>
      </w:r>
      <w:r w:rsidRPr="009755F2">
        <w:rPr>
          <w:sz w:val="20"/>
          <w:szCs w:val="20"/>
        </w:rPr>
        <w:t xml:space="preserve">, or </w:t>
      </w:r>
      <w:r>
        <w:rPr>
          <w:sz w:val="20"/>
          <w:szCs w:val="20"/>
        </w:rPr>
        <w:t>to complete</w:t>
      </w:r>
      <w:r w:rsidRPr="009755F2">
        <w:rPr>
          <w:sz w:val="20"/>
          <w:szCs w:val="20"/>
        </w:rPr>
        <w:t>, any of the building activities listed above, including, for example:</w:t>
      </w:r>
    </w:p>
    <w:p w14:paraId="20FE7EC9" w14:textId="77777777" w:rsidR="003F3DBD" w:rsidRPr="009755F2" w:rsidRDefault="003F3DBD" w:rsidP="003F3DBD">
      <w:pPr>
        <w:pStyle w:val="OFSCBullets"/>
        <w:numPr>
          <w:ilvl w:val="0"/>
          <w:numId w:val="0"/>
        </w:numPr>
        <w:spacing w:after="0"/>
        <w:rPr>
          <w:sz w:val="20"/>
          <w:szCs w:val="20"/>
        </w:rPr>
      </w:pPr>
    </w:p>
    <w:p w14:paraId="5E52A754" w14:textId="77777777" w:rsidR="003F3DBD" w:rsidRPr="009755F2" w:rsidRDefault="003F3DBD" w:rsidP="003F3DBD">
      <w:pPr>
        <w:pStyle w:val="OFSCBullets"/>
        <w:spacing w:after="0"/>
        <w:ind w:left="714" w:hanging="357"/>
        <w:rPr>
          <w:sz w:val="20"/>
          <w:szCs w:val="20"/>
        </w:rPr>
      </w:pPr>
      <w:r w:rsidRPr="009755F2">
        <w:rPr>
          <w:sz w:val="20"/>
          <w:szCs w:val="20"/>
        </w:rPr>
        <w:t>site clearance</w:t>
      </w:r>
    </w:p>
    <w:p w14:paraId="23EA3834" w14:textId="77777777" w:rsidR="003F3DBD" w:rsidRPr="009755F2" w:rsidRDefault="003F3DBD" w:rsidP="003F3DBD">
      <w:pPr>
        <w:pStyle w:val="OFSCBullets"/>
        <w:spacing w:after="0"/>
        <w:ind w:left="714" w:hanging="357"/>
        <w:rPr>
          <w:sz w:val="20"/>
          <w:szCs w:val="20"/>
        </w:rPr>
      </w:pPr>
      <w:r w:rsidRPr="009755F2">
        <w:rPr>
          <w:sz w:val="20"/>
          <w:szCs w:val="20"/>
        </w:rPr>
        <w:t>earth-moving</w:t>
      </w:r>
    </w:p>
    <w:p w14:paraId="6B7AF1F0" w14:textId="77777777" w:rsidR="003F3DBD" w:rsidRPr="009755F2" w:rsidRDefault="003F3DBD" w:rsidP="003F3DBD">
      <w:pPr>
        <w:pStyle w:val="OFSCBullets"/>
        <w:spacing w:after="0"/>
        <w:ind w:left="714" w:hanging="357"/>
        <w:rPr>
          <w:sz w:val="20"/>
          <w:szCs w:val="20"/>
        </w:rPr>
      </w:pPr>
      <w:r w:rsidRPr="009755F2">
        <w:rPr>
          <w:sz w:val="20"/>
          <w:szCs w:val="20"/>
        </w:rPr>
        <w:t>excavation</w:t>
      </w:r>
    </w:p>
    <w:p w14:paraId="66A0763A" w14:textId="77777777" w:rsidR="003F3DBD" w:rsidRPr="009755F2" w:rsidRDefault="003F3DBD" w:rsidP="003F3DBD">
      <w:pPr>
        <w:pStyle w:val="OFSCBullets"/>
        <w:spacing w:after="0"/>
        <w:ind w:left="714" w:hanging="357"/>
        <w:rPr>
          <w:sz w:val="20"/>
          <w:szCs w:val="20"/>
        </w:rPr>
      </w:pPr>
      <w:r w:rsidRPr="009755F2">
        <w:rPr>
          <w:sz w:val="20"/>
          <w:szCs w:val="20"/>
        </w:rPr>
        <w:t>tunnelling</w:t>
      </w:r>
    </w:p>
    <w:p w14:paraId="34E47A98" w14:textId="77777777" w:rsidR="003F3DBD" w:rsidRPr="009755F2" w:rsidRDefault="003F3DBD" w:rsidP="003F3DBD">
      <w:pPr>
        <w:pStyle w:val="OFSCBullets"/>
        <w:spacing w:after="0"/>
        <w:ind w:left="714" w:hanging="357"/>
        <w:rPr>
          <w:sz w:val="20"/>
          <w:szCs w:val="20"/>
        </w:rPr>
      </w:pPr>
      <w:r w:rsidRPr="009755F2">
        <w:rPr>
          <w:sz w:val="20"/>
          <w:szCs w:val="20"/>
        </w:rPr>
        <w:t>boring</w:t>
      </w:r>
    </w:p>
    <w:p w14:paraId="3C3FE5CC" w14:textId="77777777" w:rsidR="003F3DBD" w:rsidRPr="009755F2" w:rsidRDefault="003F3DBD" w:rsidP="003F3DBD">
      <w:pPr>
        <w:pStyle w:val="OFSCBullets"/>
        <w:spacing w:after="0"/>
        <w:ind w:left="714" w:hanging="357"/>
        <w:rPr>
          <w:sz w:val="20"/>
          <w:szCs w:val="20"/>
        </w:rPr>
      </w:pPr>
      <w:r w:rsidRPr="009755F2">
        <w:rPr>
          <w:sz w:val="20"/>
          <w:szCs w:val="20"/>
        </w:rPr>
        <w:t>laying of foundations</w:t>
      </w:r>
    </w:p>
    <w:p w14:paraId="7A5F8F02" w14:textId="77777777" w:rsidR="003F3DBD" w:rsidRPr="009755F2" w:rsidRDefault="003F3DBD" w:rsidP="003F3DBD">
      <w:pPr>
        <w:pStyle w:val="OFSCBullets"/>
        <w:spacing w:after="0"/>
        <w:ind w:left="714" w:hanging="357"/>
        <w:rPr>
          <w:sz w:val="20"/>
          <w:szCs w:val="20"/>
        </w:rPr>
      </w:pPr>
      <w:r w:rsidRPr="009755F2">
        <w:rPr>
          <w:sz w:val="20"/>
          <w:szCs w:val="20"/>
        </w:rPr>
        <w:t>erection, maintenance and dismantling of scaffolding</w:t>
      </w:r>
    </w:p>
    <w:p w14:paraId="3EFE4001" w14:textId="77777777" w:rsidR="003F3DBD" w:rsidRPr="009755F2" w:rsidRDefault="003F3DBD" w:rsidP="003F3DBD">
      <w:pPr>
        <w:pStyle w:val="OFSCBullets"/>
        <w:spacing w:after="0"/>
        <w:ind w:left="714" w:hanging="357"/>
        <w:rPr>
          <w:sz w:val="20"/>
          <w:szCs w:val="20"/>
        </w:rPr>
      </w:pPr>
      <w:r>
        <w:rPr>
          <w:sz w:val="20"/>
          <w:szCs w:val="20"/>
        </w:rPr>
        <w:t xml:space="preserve">on-site </w:t>
      </w:r>
      <w:r w:rsidRPr="009755F2">
        <w:rPr>
          <w:sz w:val="20"/>
          <w:szCs w:val="20"/>
        </w:rPr>
        <w:t xml:space="preserve">prefabrication of </w:t>
      </w:r>
      <w:r>
        <w:rPr>
          <w:sz w:val="20"/>
          <w:szCs w:val="20"/>
        </w:rPr>
        <w:t xml:space="preserve">made-to-order </w:t>
      </w:r>
      <w:r w:rsidRPr="009755F2">
        <w:rPr>
          <w:sz w:val="20"/>
          <w:szCs w:val="20"/>
        </w:rPr>
        <w:t>components</w:t>
      </w:r>
      <w:r>
        <w:rPr>
          <w:sz w:val="20"/>
          <w:szCs w:val="20"/>
        </w:rPr>
        <w:t xml:space="preserve"> to form part of any building, structure or works</w:t>
      </w:r>
    </w:p>
    <w:p w14:paraId="3AEA3F01" w14:textId="77777777" w:rsidR="003F3DBD" w:rsidRPr="009755F2" w:rsidRDefault="003F3DBD" w:rsidP="003F3DBD">
      <w:pPr>
        <w:pStyle w:val="OFSCBullets"/>
        <w:spacing w:after="0"/>
        <w:ind w:left="714" w:hanging="357"/>
        <w:rPr>
          <w:sz w:val="20"/>
          <w:szCs w:val="20"/>
        </w:rPr>
      </w:pPr>
      <w:r w:rsidRPr="009755F2">
        <w:rPr>
          <w:sz w:val="20"/>
          <w:szCs w:val="20"/>
        </w:rPr>
        <w:t>site restoration</w:t>
      </w:r>
    </w:p>
    <w:p w14:paraId="477FDEA2" w14:textId="77777777" w:rsidR="003F3DBD" w:rsidRPr="009755F2" w:rsidRDefault="003F3DBD" w:rsidP="003F3DBD">
      <w:pPr>
        <w:pStyle w:val="OFSCBullets"/>
        <w:spacing w:after="0"/>
        <w:ind w:left="714" w:hanging="357"/>
        <w:rPr>
          <w:sz w:val="20"/>
          <w:szCs w:val="20"/>
        </w:rPr>
      </w:pPr>
      <w:r w:rsidRPr="009755F2">
        <w:rPr>
          <w:sz w:val="20"/>
          <w:szCs w:val="20"/>
        </w:rPr>
        <w:t>landscaping</w:t>
      </w:r>
    </w:p>
    <w:p w14:paraId="0F8CBB74" w14:textId="77777777" w:rsidR="003F3DBD" w:rsidRPr="009755F2" w:rsidRDefault="003F3DBD" w:rsidP="003F3DBD">
      <w:pPr>
        <w:pStyle w:val="OFSCBullets"/>
        <w:spacing w:after="200"/>
        <w:ind w:left="714" w:hanging="357"/>
        <w:rPr>
          <w:sz w:val="20"/>
          <w:szCs w:val="20"/>
        </w:rPr>
      </w:pPr>
      <w:r w:rsidRPr="009755F2">
        <w:rPr>
          <w:sz w:val="20"/>
          <w:szCs w:val="20"/>
        </w:rPr>
        <w:t>roadways and other access works</w:t>
      </w:r>
    </w:p>
    <w:p w14:paraId="005AA690" w14:textId="5E128137" w:rsidR="003F3DBD" w:rsidRPr="00CB57B7" w:rsidRDefault="003F3DBD" w:rsidP="003F3DBD">
      <w:pPr>
        <w:pStyle w:val="Heading1"/>
        <w:rPr>
          <w:sz w:val="24"/>
          <w:szCs w:val="24"/>
        </w:rPr>
      </w:pPr>
      <w:r w:rsidRPr="00CB57B7">
        <w:rPr>
          <w:sz w:val="24"/>
          <w:szCs w:val="24"/>
        </w:rPr>
        <w:t>What is not included as ‘Building Work’?</w:t>
      </w:r>
    </w:p>
    <w:p w14:paraId="30B4829C" w14:textId="77777777" w:rsidR="003F3DBD" w:rsidRDefault="003F3DBD" w:rsidP="003F3DBD">
      <w:pPr>
        <w:suppressAutoHyphens/>
        <w:autoSpaceDE w:val="0"/>
        <w:autoSpaceDN w:val="0"/>
        <w:adjustRightInd w:val="0"/>
        <w:spacing w:after="100" w:line="240" w:lineRule="auto"/>
        <w:textAlignment w:val="center"/>
        <w:rPr>
          <w:rFonts w:ascii="Calibri" w:eastAsia="Times New Roman" w:hAnsi="Calibri" w:cs="Calibri"/>
          <w:color w:val="000000"/>
          <w:szCs w:val="19"/>
          <w:lang w:val="en-GB" w:eastAsia="en-AU"/>
        </w:rPr>
      </w:pPr>
      <w:r>
        <w:rPr>
          <w:rFonts w:ascii="Calibri" w:eastAsia="Times New Roman" w:hAnsi="Calibri" w:cs="Calibri"/>
          <w:color w:val="000000"/>
          <w:szCs w:val="19"/>
          <w:lang w:val="en-GB" w:eastAsia="en-AU"/>
        </w:rPr>
        <w:t>The Act and Rules include provisions that excludes certain types of work from being included in the definition of ‘building work’. These works are not captured under the Scheme and may be undertaken by an unaccredited builder. They include the following:</w:t>
      </w:r>
    </w:p>
    <w:p w14:paraId="79CD53D8" w14:textId="77777777" w:rsidR="00CB57B7" w:rsidRDefault="00CB57B7">
      <w:pPr>
        <w:rPr>
          <w:rFonts w:ascii="Calibri" w:eastAsia="Times New Roman" w:hAnsi="Calibri" w:cs="Calibri"/>
          <w:b/>
          <w:color w:val="000000"/>
          <w:sz w:val="22"/>
          <w:szCs w:val="19"/>
          <w:lang w:val="en-GB" w:eastAsia="en-AU"/>
        </w:rPr>
      </w:pPr>
      <w:r>
        <w:rPr>
          <w:rFonts w:ascii="Calibri" w:eastAsia="Times New Roman" w:hAnsi="Calibri" w:cs="Calibri"/>
          <w:b/>
          <w:color w:val="000000"/>
          <w:sz w:val="22"/>
          <w:szCs w:val="19"/>
          <w:lang w:val="en-GB" w:eastAsia="en-AU"/>
        </w:rPr>
        <w:br w:type="page"/>
      </w:r>
    </w:p>
    <w:p w14:paraId="1803702A" w14:textId="5C5D13CC" w:rsidR="003F3DBD" w:rsidRPr="00CB57B7" w:rsidRDefault="003F3DBD" w:rsidP="003F3DBD">
      <w:pPr>
        <w:suppressAutoHyphens/>
        <w:autoSpaceDE w:val="0"/>
        <w:autoSpaceDN w:val="0"/>
        <w:adjustRightInd w:val="0"/>
        <w:spacing w:after="100" w:line="240" w:lineRule="auto"/>
        <w:textAlignment w:val="center"/>
        <w:rPr>
          <w:rFonts w:ascii="Calibri" w:eastAsia="Times New Roman" w:hAnsi="Calibri" w:cs="Calibri"/>
          <w:b/>
          <w:color w:val="000000"/>
          <w:szCs w:val="20"/>
          <w:lang w:val="en-GB" w:eastAsia="en-AU"/>
        </w:rPr>
      </w:pPr>
      <w:r w:rsidRPr="00CB57B7">
        <w:rPr>
          <w:rFonts w:ascii="Calibri" w:eastAsia="Times New Roman" w:hAnsi="Calibri" w:cs="Calibri"/>
          <w:b/>
          <w:color w:val="000000"/>
          <w:szCs w:val="20"/>
          <w:lang w:val="en-GB" w:eastAsia="en-AU"/>
        </w:rPr>
        <w:lastRenderedPageBreak/>
        <w:t>Building work undertaken as part of a project or under a contract that is below the Scheme thresholds</w:t>
      </w:r>
    </w:p>
    <w:p w14:paraId="57C790AD" w14:textId="0AEDA9FE" w:rsidR="003F3DBD" w:rsidRDefault="004A528B" w:rsidP="003F3DBD">
      <w:pPr>
        <w:spacing w:line="240" w:lineRule="auto"/>
      </w:pPr>
      <w:r>
        <w:t>B</w:t>
      </w:r>
      <w:r w:rsidR="00C11196" w:rsidRPr="00C11196">
        <w:t xml:space="preserve">uilding work </w:t>
      </w:r>
      <w:r>
        <w:t>carried out under a ‘</w:t>
      </w:r>
      <w:r w:rsidRPr="00C11196">
        <w:t xml:space="preserve">head contract for building work’ </w:t>
      </w:r>
      <w:r>
        <w:t xml:space="preserve">which </w:t>
      </w:r>
      <w:r w:rsidRPr="00C11196">
        <w:t xml:space="preserve">has a value </w:t>
      </w:r>
      <w:r>
        <w:t>less than</w:t>
      </w:r>
      <w:r w:rsidRPr="00C11196">
        <w:t xml:space="preserve"> $4</w:t>
      </w:r>
      <w:r>
        <w:t> </w:t>
      </w:r>
      <w:r w:rsidRPr="00C11196">
        <w:t>million (GST inclusive)</w:t>
      </w:r>
      <w:r>
        <w:t xml:space="preserve"> is not captured under the Scheme</w:t>
      </w:r>
      <w:r w:rsidRPr="00C11196">
        <w:t>.</w:t>
      </w:r>
    </w:p>
    <w:p w14:paraId="5FFAF63E" w14:textId="77777777" w:rsidR="004A528B" w:rsidRDefault="004A528B" w:rsidP="00C11196">
      <w:pPr>
        <w:spacing w:line="240" w:lineRule="auto"/>
      </w:pPr>
      <w:r>
        <w:t>In addition, f</w:t>
      </w:r>
      <w:r w:rsidR="00C11196">
        <w:t xml:space="preserve">or </w:t>
      </w:r>
      <w:r>
        <w:t xml:space="preserve">projects </w:t>
      </w:r>
      <w:r w:rsidR="00C11196">
        <w:t xml:space="preserve">that are indirectly funded by the Commonwealth or a corporate Commonwealth entity, </w:t>
      </w:r>
      <w:r>
        <w:t>building work that forms part of the project will not be captured under the Scheme where:</w:t>
      </w:r>
    </w:p>
    <w:p w14:paraId="79261632" w14:textId="77777777" w:rsidR="00D00F41" w:rsidRDefault="00C11196" w:rsidP="004A528B">
      <w:pPr>
        <w:pStyle w:val="ListParagraph"/>
        <w:numPr>
          <w:ilvl w:val="0"/>
          <w:numId w:val="24"/>
        </w:numPr>
        <w:spacing w:line="240" w:lineRule="auto"/>
      </w:pPr>
      <w:r>
        <w:t>the value of the Australian Government contribution to the project is le</w:t>
      </w:r>
      <w:r w:rsidR="00D00F41">
        <w:t>ss than</w:t>
      </w:r>
      <w:r>
        <w:t xml:space="preserve"> $6</w:t>
      </w:r>
      <w:r w:rsidR="00D00F41">
        <w:t> </w:t>
      </w:r>
      <w:r>
        <w:t xml:space="preserve">million </w:t>
      </w:r>
      <w:r w:rsidR="00D00F41">
        <w:t>(GST inclusive); or</w:t>
      </w:r>
    </w:p>
    <w:p w14:paraId="0D5E6517" w14:textId="036ED96B" w:rsidR="00C11196" w:rsidRDefault="00D00F41" w:rsidP="00D00F41">
      <w:pPr>
        <w:pStyle w:val="ListParagraph"/>
        <w:numPr>
          <w:ilvl w:val="0"/>
          <w:numId w:val="24"/>
        </w:numPr>
        <w:spacing w:line="240" w:lineRule="auto"/>
      </w:pPr>
      <w:r>
        <w:t>the value of the Australian Government contribution to the project is less than $10 million (GST inclusive) and represents no more than 50 per cent of the total project value.</w:t>
      </w:r>
    </w:p>
    <w:p w14:paraId="2C8F8AD2" w14:textId="38BA6C26" w:rsidR="00C11196" w:rsidRPr="00794B48" w:rsidRDefault="00C11196" w:rsidP="00C11196">
      <w:pPr>
        <w:spacing w:line="240" w:lineRule="auto"/>
      </w:pPr>
      <w:r>
        <w:t>More information on the application of the financial thresholds and when an accredited builder must be engaged is available in the fact sheet</w:t>
      </w:r>
      <w:r w:rsidR="00D00F41">
        <w:t>s</w:t>
      </w:r>
      <w:r>
        <w:t xml:space="preserve"> ‘</w:t>
      </w:r>
      <w:r w:rsidRPr="00D00F41">
        <w:rPr>
          <w:b/>
          <w:bCs/>
        </w:rPr>
        <w:t xml:space="preserve">Applying the Scheme to </w:t>
      </w:r>
      <w:r w:rsidR="00D00F41" w:rsidRPr="00D00F41">
        <w:rPr>
          <w:b/>
          <w:bCs/>
        </w:rPr>
        <w:t>I</w:t>
      </w:r>
      <w:r w:rsidRPr="00D00F41">
        <w:rPr>
          <w:b/>
          <w:bCs/>
        </w:rPr>
        <w:t>ndirectly funded building work</w:t>
      </w:r>
      <w:r>
        <w:t>’</w:t>
      </w:r>
      <w:r w:rsidR="00D00F41">
        <w:t xml:space="preserve"> and ‘</w:t>
      </w:r>
      <w:r w:rsidR="00D00F41" w:rsidRPr="00D00F41">
        <w:rPr>
          <w:b/>
          <w:bCs/>
        </w:rPr>
        <w:t>Applying the Scheme to Directly funded building work</w:t>
      </w:r>
      <w:r w:rsidR="00D00F41">
        <w:t>’</w:t>
      </w:r>
      <w:r>
        <w:t>.</w:t>
      </w:r>
    </w:p>
    <w:p w14:paraId="56F2A824" w14:textId="3A7B5B5A" w:rsidR="003F3DBD" w:rsidRPr="00CB57B7" w:rsidRDefault="003F3DBD" w:rsidP="003F3DBD">
      <w:pPr>
        <w:suppressAutoHyphens/>
        <w:autoSpaceDE w:val="0"/>
        <w:autoSpaceDN w:val="0"/>
        <w:adjustRightInd w:val="0"/>
        <w:spacing w:after="100" w:line="240" w:lineRule="auto"/>
        <w:textAlignment w:val="center"/>
        <w:rPr>
          <w:rFonts w:ascii="Calibri" w:eastAsia="Times New Roman" w:hAnsi="Calibri" w:cs="Calibri"/>
          <w:b/>
          <w:color w:val="000000"/>
          <w:szCs w:val="20"/>
          <w:lang w:val="en-GB" w:eastAsia="en-AU"/>
        </w:rPr>
      </w:pPr>
      <w:r w:rsidRPr="00CB57B7">
        <w:rPr>
          <w:rFonts w:ascii="Calibri" w:eastAsia="Times New Roman" w:hAnsi="Calibri" w:cs="Calibri"/>
          <w:b/>
          <w:color w:val="000000"/>
          <w:szCs w:val="20"/>
          <w:lang w:val="en-GB" w:eastAsia="en-AU"/>
        </w:rPr>
        <w:t>Single-dwelling house construction</w:t>
      </w:r>
    </w:p>
    <w:p w14:paraId="36293F5A" w14:textId="2EB63EF3" w:rsidR="003F3DBD" w:rsidRPr="00794B48" w:rsidRDefault="003F3DBD" w:rsidP="003F3DBD">
      <w:pPr>
        <w:spacing w:line="240" w:lineRule="auto"/>
      </w:pPr>
      <w:r w:rsidRPr="00794B48">
        <w:t xml:space="preserve">Building work does not include any work that is part of a project for the construction, repair or restoration of a single-dwelling house or any building, structure or work associated with a single-dwelling house. </w:t>
      </w:r>
      <w:r w:rsidR="00D00F41">
        <w:t>T</w:t>
      </w:r>
      <w:r w:rsidRPr="00794B48">
        <w:t>he alteration or extension of a single-dwelling house</w:t>
      </w:r>
      <w:r w:rsidR="00D00F41">
        <w:t xml:space="preserve"> is also not building work</w:t>
      </w:r>
      <w:r w:rsidR="008532BF">
        <w:t xml:space="preserve"> if it</w:t>
      </w:r>
      <w:r w:rsidRPr="00794B48">
        <w:t xml:space="preserve"> remains a single-dwelling house</w:t>
      </w:r>
      <w:r w:rsidR="008532BF">
        <w:t xml:space="preserve"> after the alteration or extension</w:t>
      </w:r>
      <w:r w:rsidRPr="00794B48">
        <w:t>.</w:t>
      </w:r>
      <w:r w:rsidR="008532BF">
        <w:t xml:space="preserve"> The Office of the Federal Safety Commissioner applies</w:t>
      </w:r>
      <w:r>
        <w:t xml:space="preserve"> the definition of ‘single dwelling’ in the Building Code of Australia </w:t>
      </w:r>
      <w:r w:rsidR="008532BF">
        <w:t>to determine if housing related construction is building work</w:t>
      </w:r>
      <w:r>
        <w:t>.</w:t>
      </w:r>
      <w:r w:rsidR="008532BF" w:rsidRPr="008532BF">
        <w:rPr>
          <w:rFonts w:cstheme="minorHAnsi"/>
          <w:noProof/>
          <w:lang w:eastAsia="en-AU"/>
        </w:rPr>
        <w:t xml:space="preserve"> </w:t>
      </w:r>
    </w:p>
    <w:p w14:paraId="6770241A" w14:textId="71283CAB" w:rsidR="003F3DBD" w:rsidRPr="00CB57B7" w:rsidRDefault="003F3DBD" w:rsidP="003F3DBD">
      <w:pPr>
        <w:suppressAutoHyphens/>
        <w:autoSpaceDE w:val="0"/>
        <w:autoSpaceDN w:val="0"/>
        <w:adjustRightInd w:val="0"/>
        <w:spacing w:after="100" w:line="240" w:lineRule="auto"/>
        <w:textAlignment w:val="center"/>
        <w:rPr>
          <w:rFonts w:ascii="Calibri" w:eastAsia="Times New Roman" w:hAnsi="Calibri" w:cs="Calibri"/>
          <w:b/>
          <w:color w:val="000000"/>
          <w:szCs w:val="20"/>
          <w:lang w:val="en-GB" w:eastAsia="en-AU"/>
        </w:rPr>
      </w:pPr>
      <w:r w:rsidRPr="00CB57B7">
        <w:rPr>
          <w:rFonts w:ascii="Calibri" w:eastAsia="Times New Roman" w:hAnsi="Calibri" w:cs="Calibri"/>
          <w:b/>
          <w:color w:val="000000"/>
          <w:szCs w:val="20"/>
          <w:lang w:val="en-GB" w:eastAsia="en-AU"/>
        </w:rPr>
        <w:t>Transportation or supply of goods</w:t>
      </w:r>
    </w:p>
    <w:p w14:paraId="5425F36D" w14:textId="18A890E1" w:rsidR="003F3DBD" w:rsidRPr="00794B48" w:rsidRDefault="003F3DBD" w:rsidP="003F3DBD">
      <w:pPr>
        <w:spacing w:line="240" w:lineRule="auto"/>
      </w:pPr>
      <w:r w:rsidRPr="00794B48">
        <w:t>Building work does not include the transportation or supply of goods, to be used in building work, directly to building sites (including any resources platform) where that work is being or may be performed.</w:t>
      </w:r>
    </w:p>
    <w:p w14:paraId="30FAC949" w14:textId="68D8FAB9" w:rsidR="003F3DBD" w:rsidRPr="00CB57B7" w:rsidRDefault="003F3DBD" w:rsidP="003F3DBD">
      <w:pPr>
        <w:suppressAutoHyphens/>
        <w:autoSpaceDE w:val="0"/>
        <w:autoSpaceDN w:val="0"/>
        <w:adjustRightInd w:val="0"/>
        <w:spacing w:after="100" w:line="240" w:lineRule="auto"/>
        <w:textAlignment w:val="center"/>
        <w:rPr>
          <w:rFonts w:ascii="Calibri" w:eastAsia="Times New Roman" w:hAnsi="Calibri" w:cs="Calibri"/>
          <w:b/>
          <w:color w:val="000000"/>
          <w:szCs w:val="20"/>
          <w:lang w:val="en-GB" w:eastAsia="en-AU"/>
        </w:rPr>
      </w:pPr>
      <w:r w:rsidRPr="00CB57B7">
        <w:rPr>
          <w:rFonts w:ascii="Calibri" w:eastAsia="Times New Roman" w:hAnsi="Calibri" w:cs="Calibri"/>
          <w:b/>
          <w:color w:val="000000"/>
          <w:szCs w:val="20"/>
          <w:lang w:val="en-GB" w:eastAsia="en-AU"/>
        </w:rPr>
        <w:t>Prefabrication</w:t>
      </w:r>
    </w:p>
    <w:p w14:paraId="2008CB04" w14:textId="4D23BAC2" w:rsidR="003F3DBD" w:rsidRPr="00794B48" w:rsidRDefault="003F3DBD" w:rsidP="003F3DBD">
      <w:pPr>
        <w:spacing w:line="240" w:lineRule="auto"/>
      </w:pPr>
      <w:r w:rsidRPr="00794B48">
        <w:t>Building work does not include the prefabrication of made-to-order components to form part of any building, structure or works, that is carried out at a place that is not:</w:t>
      </w:r>
    </w:p>
    <w:p w14:paraId="0C611599" w14:textId="77777777" w:rsidR="003F3DBD" w:rsidRPr="00794B48" w:rsidRDefault="003F3DBD" w:rsidP="003F3DBD">
      <w:pPr>
        <w:pStyle w:val="ListParagraph"/>
        <w:numPr>
          <w:ilvl w:val="0"/>
          <w:numId w:val="24"/>
        </w:numPr>
        <w:spacing w:line="240" w:lineRule="auto"/>
      </w:pPr>
      <w:r w:rsidRPr="00794B48">
        <w:t>the site where the construction, alteration, extension, restoration, repair of, or the installation of fittings in, the building, structure or works occurs or is to occur; or</w:t>
      </w:r>
    </w:p>
    <w:p w14:paraId="03864A74" w14:textId="77777777" w:rsidR="003F3DBD" w:rsidRPr="00794B48" w:rsidRDefault="003F3DBD" w:rsidP="003F3DBD">
      <w:pPr>
        <w:pStyle w:val="ListParagraph"/>
        <w:numPr>
          <w:ilvl w:val="0"/>
          <w:numId w:val="24"/>
        </w:numPr>
        <w:spacing w:line="240" w:lineRule="auto"/>
      </w:pPr>
      <w:r w:rsidRPr="00794B48">
        <w:t>a site that is separate from the main site and is either merely auxiliary to the main site or merely a holding site for components of the building, structure or works.</w:t>
      </w:r>
    </w:p>
    <w:p w14:paraId="0E970EBB" w14:textId="77777777" w:rsidR="00731937" w:rsidRPr="00CB57B7" w:rsidRDefault="00794B48" w:rsidP="00DA4855">
      <w:pPr>
        <w:pStyle w:val="Heading1"/>
        <w:rPr>
          <w:sz w:val="24"/>
          <w:szCs w:val="24"/>
        </w:rPr>
      </w:pPr>
      <w:r w:rsidRPr="00CB57B7">
        <w:rPr>
          <w:sz w:val="24"/>
          <w:szCs w:val="24"/>
        </w:rPr>
        <w:t>Subcontractors and a</w:t>
      </w:r>
      <w:r w:rsidR="00731937" w:rsidRPr="00CB57B7">
        <w:rPr>
          <w:sz w:val="24"/>
          <w:szCs w:val="24"/>
        </w:rPr>
        <w:t>ccreditation</w:t>
      </w:r>
    </w:p>
    <w:p w14:paraId="6E485818" w14:textId="0DA9E76C" w:rsidR="00DA4855" w:rsidRDefault="00804213" w:rsidP="00804213">
      <w:pPr>
        <w:spacing w:line="240" w:lineRule="auto"/>
        <w:ind w:right="-120"/>
      </w:pPr>
      <w:r>
        <w:rPr>
          <w:bCs/>
        </w:rPr>
        <w:t>S</w:t>
      </w:r>
      <w:r w:rsidR="00A30120" w:rsidRPr="00A30120">
        <w:rPr>
          <w:bCs/>
        </w:rPr>
        <w:t>ubcontractor</w:t>
      </w:r>
      <w:r>
        <w:rPr>
          <w:bCs/>
        </w:rPr>
        <w:t>s</w:t>
      </w:r>
      <w:r w:rsidR="00A30120" w:rsidRPr="00A30120">
        <w:rPr>
          <w:bCs/>
        </w:rPr>
        <w:t xml:space="preserve"> who carr</w:t>
      </w:r>
      <w:r>
        <w:rPr>
          <w:bCs/>
        </w:rPr>
        <w:t>y</w:t>
      </w:r>
      <w:r w:rsidR="00A30120" w:rsidRPr="00A30120">
        <w:rPr>
          <w:bCs/>
        </w:rPr>
        <w:t xml:space="preserve"> out building work under a contract with a builder</w:t>
      </w:r>
      <w:r w:rsidR="009755F2">
        <w:t xml:space="preserve"> do not require accreditation for work covered by the Scheme because they work under the Work Health and Safety Management Systems of accredited builders.</w:t>
      </w:r>
      <w:r w:rsidR="00731937" w:rsidRPr="00A30120">
        <w:t xml:space="preserve"> </w:t>
      </w:r>
    </w:p>
    <w:p w14:paraId="0AA9EC3B" w14:textId="2871890C" w:rsidR="00C51EE8" w:rsidRPr="00CB57B7" w:rsidRDefault="00794B48" w:rsidP="00C51EE8">
      <w:pPr>
        <w:pStyle w:val="Heading1"/>
        <w:rPr>
          <w:sz w:val="24"/>
          <w:szCs w:val="24"/>
        </w:rPr>
      </w:pPr>
      <w:r w:rsidRPr="00CB57B7">
        <w:rPr>
          <w:sz w:val="24"/>
          <w:szCs w:val="24"/>
        </w:rPr>
        <w:t>Joint venture r</w:t>
      </w:r>
      <w:r w:rsidR="00731937" w:rsidRPr="00CB57B7">
        <w:rPr>
          <w:sz w:val="24"/>
          <w:szCs w:val="24"/>
        </w:rPr>
        <w:t>equirements</w:t>
      </w:r>
    </w:p>
    <w:p w14:paraId="33D853DF" w14:textId="77777777" w:rsidR="00731937" w:rsidRDefault="00731937" w:rsidP="0053067D">
      <w:pPr>
        <w:spacing w:after="240" w:line="240" w:lineRule="auto"/>
      </w:pPr>
      <w:r w:rsidRPr="004168C6">
        <w:t>In joint venture arrangements only the person</w:t>
      </w:r>
      <w:r w:rsidR="009755F2">
        <w:t>/s</w:t>
      </w:r>
      <w:r w:rsidRPr="004168C6">
        <w:t xml:space="preserve"> conducting ‘building work’ (that is, the builder</w:t>
      </w:r>
      <w:r w:rsidR="009755F2">
        <w:t xml:space="preserve">) </w:t>
      </w:r>
      <w:r w:rsidRPr="004168C6">
        <w:t xml:space="preserve">will require Scheme accreditation. </w:t>
      </w:r>
    </w:p>
    <w:p w14:paraId="0D1673F2" w14:textId="407F0562" w:rsidR="008532BF" w:rsidRDefault="00BE4693" w:rsidP="0053067D">
      <w:pPr>
        <w:spacing w:after="240" w:line="240" w:lineRule="auto"/>
      </w:pPr>
      <w:r>
        <w:rPr>
          <w:rFonts w:cstheme="minorHAnsi"/>
          <w:noProof/>
          <w:lang w:eastAsia="en-AU"/>
        </w:rPr>
        <mc:AlternateContent>
          <mc:Choice Requires="wps">
            <w:drawing>
              <wp:anchor distT="0" distB="0" distL="114300" distR="114300" simplePos="0" relativeHeight="251663360" behindDoc="1" locked="0" layoutInCell="1" allowOverlap="1" wp14:anchorId="58F1EF5A" wp14:editId="276AF14E">
                <wp:simplePos x="0" y="0"/>
                <wp:positionH relativeFrom="column">
                  <wp:align>left</wp:align>
                </wp:positionH>
                <wp:positionV relativeFrom="paragraph">
                  <wp:posOffset>979805</wp:posOffset>
                </wp:positionV>
                <wp:extent cx="2932981" cy="942975"/>
                <wp:effectExtent l="0" t="0" r="1270" b="9525"/>
                <wp:wrapNone/>
                <wp:docPr id="1" name="Text Box 1"/>
                <wp:cNvGraphicFramePr/>
                <a:graphic xmlns:a="http://schemas.openxmlformats.org/drawingml/2006/main">
                  <a:graphicData uri="http://schemas.microsoft.com/office/word/2010/wordprocessingShape">
                    <wps:wsp>
                      <wps:cNvSpPr txBox="1"/>
                      <wps:spPr>
                        <a:xfrm>
                          <a:off x="0" y="0"/>
                          <a:ext cx="2932981" cy="942975"/>
                        </a:xfrm>
                        <a:prstGeom prst="rect">
                          <a:avLst/>
                        </a:prstGeom>
                        <a:solidFill>
                          <a:schemeClr val="bg1">
                            <a:lumMod val="40000"/>
                            <a:lumOff val="60000"/>
                          </a:schemeClr>
                        </a:solidFill>
                        <a:ln w="6350">
                          <a:noFill/>
                        </a:ln>
                      </wps:spPr>
                      <wps:txbx>
                        <w:txbxContent>
                          <w:p w14:paraId="6D3A171E" w14:textId="77777777" w:rsidR="008532BF" w:rsidRPr="00DB79B9" w:rsidRDefault="008532BF" w:rsidP="008532BF">
                            <w:pPr>
                              <w:shd w:val="clear" w:color="auto" w:fill="CBCBCB" w:themeFill="background1" w:themeFillTint="66"/>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895C6B1" w14:textId="77777777" w:rsidR="008532BF" w:rsidRPr="00DB79B9" w:rsidRDefault="008532BF" w:rsidP="008532BF">
                            <w:pPr>
                              <w:pStyle w:val="ListParagraph"/>
                              <w:numPr>
                                <w:ilvl w:val="0"/>
                                <w:numId w:val="22"/>
                              </w:numPr>
                              <w:shd w:val="clear" w:color="auto" w:fill="CBCBCB" w:themeFill="background1" w:themeFillTint="66"/>
                              <w:spacing w:after="0" w:line="240" w:lineRule="auto"/>
                              <w:ind w:left="284" w:hanging="284"/>
                              <w:rPr>
                                <w:szCs w:val="20"/>
                              </w:rPr>
                            </w:pPr>
                            <w:r w:rsidRPr="00DB79B9">
                              <w:rPr>
                                <w:szCs w:val="20"/>
                              </w:rPr>
                              <w:t xml:space="preserve">Visit the FSC website at </w:t>
                            </w:r>
                            <w:r w:rsidRPr="005E05CC">
                              <w:rPr>
                                <w:b/>
                                <w:szCs w:val="20"/>
                              </w:rPr>
                              <w:t>www.fsc</w:t>
                            </w:r>
                            <w:r w:rsidRPr="00DB79B9">
                              <w:rPr>
                                <w:b/>
                                <w:szCs w:val="20"/>
                              </w:rPr>
                              <w:t>.gov.au</w:t>
                            </w:r>
                          </w:p>
                          <w:p w14:paraId="54F46A9D" w14:textId="77777777" w:rsidR="008532BF" w:rsidRPr="00DB79B9" w:rsidRDefault="008532BF" w:rsidP="008532BF">
                            <w:pPr>
                              <w:pStyle w:val="ListParagraph"/>
                              <w:numPr>
                                <w:ilvl w:val="0"/>
                                <w:numId w:val="22"/>
                              </w:numPr>
                              <w:shd w:val="clear" w:color="auto" w:fill="CBCBCB" w:themeFill="background1" w:themeFillTint="66"/>
                              <w:spacing w:after="0" w:line="240" w:lineRule="auto"/>
                              <w:ind w:left="284" w:hanging="284"/>
                              <w:rPr>
                                <w:szCs w:val="20"/>
                              </w:rPr>
                            </w:pPr>
                            <w:r>
                              <w:rPr>
                                <w:szCs w:val="20"/>
                              </w:rPr>
                              <w:t>Cont</w:t>
                            </w:r>
                            <w:r w:rsidRPr="00DB79B9">
                              <w:rPr>
                                <w:szCs w:val="20"/>
                              </w:rPr>
                              <w:t xml:space="preserve">act the FSC Assist Line on </w:t>
                            </w:r>
                            <w:r w:rsidRPr="00DB79B9">
                              <w:rPr>
                                <w:b/>
                                <w:szCs w:val="20"/>
                              </w:rPr>
                              <w:t>1800 652 500</w:t>
                            </w:r>
                          </w:p>
                          <w:p w14:paraId="3FAADB9B" w14:textId="3548DB99" w:rsidR="008532BF" w:rsidRPr="00DB79B9" w:rsidRDefault="008532BF" w:rsidP="008532BF">
                            <w:pPr>
                              <w:pStyle w:val="ListParagraph"/>
                              <w:numPr>
                                <w:ilvl w:val="0"/>
                                <w:numId w:val="22"/>
                              </w:numPr>
                              <w:shd w:val="clear" w:color="auto" w:fill="CBCBCB" w:themeFill="background1" w:themeFillTint="66"/>
                              <w:spacing w:after="0" w:line="240" w:lineRule="auto"/>
                              <w:ind w:left="284" w:hanging="284"/>
                              <w:rPr>
                                <w:szCs w:val="20"/>
                              </w:rPr>
                            </w:pPr>
                            <w:r w:rsidRPr="00DB79B9">
                              <w:rPr>
                                <w:szCs w:val="20"/>
                              </w:rPr>
                              <w:t xml:space="preserve">Contact the OFSC via email at </w:t>
                            </w:r>
                            <w:r w:rsidRPr="00DB79B9">
                              <w:rPr>
                                <w:b/>
                                <w:szCs w:val="20"/>
                              </w:rPr>
                              <w:t>ofsc@</w:t>
                            </w:r>
                            <w:r w:rsidR="002F651D">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1EF5A" id="_x0000_t202" coordsize="21600,21600" o:spt="202" path="m,l,21600r21600,l21600,xe">
                <v:stroke joinstyle="miter"/>
                <v:path gradientshapeok="t" o:connecttype="rect"/>
              </v:shapetype>
              <v:shape id="Text Box 1" o:spid="_x0000_s1026" type="#_x0000_t202" style="position:absolute;margin-left:0;margin-top:77.15pt;width:230.95pt;height:74.25pt;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SXAIAALQEAAAOAAAAZHJzL2Uyb0RvYy54bWysVE1PGzEQvVfqf7B8L5uE8JGIDUpBVJUo&#10;IIWKs+P1JivZHtd2skt/fZ+9G6C0p6o5OOOZ8Xy8ebMXl53RbK98aMiWfHw04kxZSVVjNyX//njz&#10;6ZyzEIWthCarSv6sAr9cfPxw0bq5mtCWdKU8QxAb5q0r+TZGNy+KILfKiHBETlkYa/JGRFz9pqi8&#10;aBHd6GIyGp0WLfnKeZIqBGiveyNf5Ph1rWS8r+ugItMlR20xnz6f63QWiwsx33jhto0cyhD/UIUR&#10;jUXSl1DXIgq2880foUwjPQWq45EkU1BdN1LlHtDNePSum9VWOJV7ATjBvcAU/l9Yebd/8KypMDvO&#10;rDAY0aPqIvtMHRsndFoX5nBaObjFDurkOegDlKnprvYm/aMdBjtwfn7BNgWTUE5mx5PZOZJI2GbT&#10;yezsJIUpXl87H+IXRYYloeQes8uQiv1tiL3rwSUlC6Sb6qbROl8SX9SV9mwvMOn1Zpyf6p35RlWv&#10;m47w6+cNNVjRq08PalSSWZei5Lp+S6Ata0t+enwyyoEtpcx9UdrCPcHUw5Gk2K27AaM1Vc+AzlNP&#10;veDkTYP+bkWID8KDa0AL+xPvcdSakIQGibMt+Z9/0yd/UABWzlpwt+Thx054xZn+akGO2Xg6TWTP&#10;l+nJ2QQX/9ayfmuxO3NFAA2zQXVZTP5RH8Tak3nCmi1TVpiElchd8ngQr2K/UVhTqZbL7AR6OxFv&#10;7crJFDoNKU3vsXsS3g0jjiDHHR1YLubvJt37ppeWlrtIdZNpkADuUR1wx2rkgQ1rnHbv7T17vX5s&#10;Fr8AAAD//wMAUEsDBBQABgAIAAAAIQCED3ng3gAAAAgBAAAPAAAAZHJzL2Rvd25yZXYueG1sTI/B&#10;TsMwEETvSPyDtUjcqN02VG2IU6FKFHGDUglxc+IliRqvI9tNw9+znOA4O6uZN8V2cr0YMcTOk4b5&#10;TIFAqr3tqNFwfH+6W4OIyZA1vSfU8I0RtuX1VWFy6y/0huMhNYJDKOZGQ5vSkEsZ6xadiTM/ILH3&#10;5YMziWVopA3mwuGulwulVtKZjrihNQPuWqxPh7PTUKnP08d+et6Px82r7ND7l7DLtL69mR4fQCSc&#10;0t8z/OIzOpTMVPkz2Sh6DTwk8fU+W4JgO1vNNyAqDUu1WIMsC/l/QPkDAAD//wMAUEsBAi0AFAAG&#10;AAgAAAAhALaDOJL+AAAA4QEAABMAAAAAAAAAAAAAAAAAAAAAAFtDb250ZW50X1R5cGVzXS54bWxQ&#10;SwECLQAUAAYACAAAACEAOP0h/9YAAACUAQAACwAAAAAAAAAAAAAAAAAvAQAAX3JlbHMvLnJlbHNQ&#10;SwECLQAUAAYACAAAACEA8Z/k0lwCAAC0BAAADgAAAAAAAAAAAAAAAAAuAgAAZHJzL2Uyb0RvYy54&#10;bWxQSwECLQAUAAYACAAAACEAhA954N4AAAAIAQAADwAAAAAAAAAAAAAAAAC2BAAAZHJzL2Rvd25y&#10;ZXYueG1sUEsFBgAAAAAEAAQA8wAAAMEFAAAAAA==&#10;" fillcolor="#cbcbcb [1308]" stroked="f" strokeweight=".5pt">
                <v:textbox>
                  <w:txbxContent>
                    <w:p w14:paraId="6D3A171E" w14:textId="77777777" w:rsidR="008532BF" w:rsidRPr="00DB79B9" w:rsidRDefault="008532BF" w:rsidP="008532BF">
                      <w:pPr>
                        <w:shd w:val="clear" w:color="auto" w:fill="CBCBCB" w:themeFill="background1" w:themeFillTint="66"/>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895C6B1" w14:textId="77777777" w:rsidR="008532BF" w:rsidRPr="00DB79B9" w:rsidRDefault="008532BF" w:rsidP="008532BF">
                      <w:pPr>
                        <w:pStyle w:val="ListParagraph"/>
                        <w:numPr>
                          <w:ilvl w:val="0"/>
                          <w:numId w:val="22"/>
                        </w:numPr>
                        <w:shd w:val="clear" w:color="auto" w:fill="CBCBCB" w:themeFill="background1" w:themeFillTint="66"/>
                        <w:spacing w:after="0" w:line="240" w:lineRule="auto"/>
                        <w:ind w:left="284" w:hanging="284"/>
                        <w:rPr>
                          <w:szCs w:val="20"/>
                        </w:rPr>
                      </w:pPr>
                      <w:r w:rsidRPr="00DB79B9">
                        <w:rPr>
                          <w:szCs w:val="20"/>
                        </w:rPr>
                        <w:t xml:space="preserve">Visit the FSC website at </w:t>
                      </w:r>
                      <w:r w:rsidRPr="005E05CC">
                        <w:rPr>
                          <w:b/>
                          <w:szCs w:val="20"/>
                        </w:rPr>
                        <w:t>www.fsc</w:t>
                      </w:r>
                      <w:r w:rsidRPr="00DB79B9">
                        <w:rPr>
                          <w:b/>
                          <w:szCs w:val="20"/>
                        </w:rPr>
                        <w:t>.gov.au</w:t>
                      </w:r>
                    </w:p>
                    <w:p w14:paraId="54F46A9D" w14:textId="77777777" w:rsidR="008532BF" w:rsidRPr="00DB79B9" w:rsidRDefault="008532BF" w:rsidP="008532BF">
                      <w:pPr>
                        <w:pStyle w:val="ListParagraph"/>
                        <w:numPr>
                          <w:ilvl w:val="0"/>
                          <w:numId w:val="22"/>
                        </w:numPr>
                        <w:shd w:val="clear" w:color="auto" w:fill="CBCBCB" w:themeFill="background1" w:themeFillTint="66"/>
                        <w:spacing w:after="0" w:line="240" w:lineRule="auto"/>
                        <w:ind w:left="284" w:hanging="284"/>
                        <w:rPr>
                          <w:szCs w:val="20"/>
                        </w:rPr>
                      </w:pPr>
                      <w:r>
                        <w:rPr>
                          <w:szCs w:val="20"/>
                        </w:rPr>
                        <w:t>Cont</w:t>
                      </w:r>
                      <w:r w:rsidRPr="00DB79B9">
                        <w:rPr>
                          <w:szCs w:val="20"/>
                        </w:rPr>
                        <w:t xml:space="preserve">act the FSC Assist Line on </w:t>
                      </w:r>
                      <w:r w:rsidRPr="00DB79B9">
                        <w:rPr>
                          <w:b/>
                          <w:szCs w:val="20"/>
                        </w:rPr>
                        <w:t>1800 652 500</w:t>
                      </w:r>
                    </w:p>
                    <w:p w14:paraId="3FAADB9B" w14:textId="3548DB99" w:rsidR="008532BF" w:rsidRPr="00DB79B9" w:rsidRDefault="008532BF" w:rsidP="008532BF">
                      <w:pPr>
                        <w:pStyle w:val="ListParagraph"/>
                        <w:numPr>
                          <w:ilvl w:val="0"/>
                          <w:numId w:val="22"/>
                        </w:numPr>
                        <w:shd w:val="clear" w:color="auto" w:fill="CBCBCB" w:themeFill="background1" w:themeFillTint="66"/>
                        <w:spacing w:after="0" w:line="240" w:lineRule="auto"/>
                        <w:ind w:left="284" w:hanging="284"/>
                        <w:rPr>
                          <w:szCs w:val="20"/>
                        </w:rPr>
                      </w:pPr>
                      <w:r w:rsidRPr="00DB79B9">
                        <w:rPr>
                          <w:szCs w:val="20"/>
                        </w:rPr>
                        <w:t xml:space="preserve">Contact the OFSC via email at </w:t>
                      </w:r>
                      <w:r w:rsidRPr="00DB79B9">
                        <w:rPr>
                          <w:b/>
                          <w:szCs w:val="20"/>
                        </w:rPr>
                        <w:t>ofsc@</w:t>
                      </w:r>
                      <w:r w:rsidR="002F651D">
                        <w:rPr>
                          <w:b/>
                          <w:szCs w:val="20"/>
                        </w:rPr>
                        <w:t>dewr.gov.au</w:t>
                      </w:r>
                    </w:p>
                  </w:txbxContent>
                </v:textbox>
              </v:shape>
            </w:pict>
          </mc:Fallback>
        </mc:AlternateContent>
      </w:r>
      <w:r w:rsidR="0053067D" w:rsidRPr="0053067D">
        <w:t>Provisions apply for joint venture arrangements that include both accredited and unaccredited builders seeking to undertake Australian Government funded building work.</w:t>
      </w:r>
      <w:r w:rsidR="0053067D">
        <w:t xml:space="preserve"> For further information refer to the </w:t>
      </w:r>
      <w:r w:rsidR="008532BF">
        <w:t>f</w:t>
      </w:r>
      <w:r w:rsidR="0053067D">
        <w:t xml:space="preserve">act </w:t>
      </w:r>
      <w:r w:rsidR="008532BF">
        <w:t>s</w:t>
      </w:r>
      <w:r w:rsidR="0053067D">
        <w:t>heet ‘</w:t>
      </w:r>
      <w:r w:rsidR="0053067D" w:rsidRPr="0053067D">
        <w:rPr>
          <w:b/>
          <w:bCs/>
        </w:rPr>
        <w:t>Joint Venture Arrangements</w:t>
      </w:r>
      <w:r w:rsidR="0053067D">
        <w:t>’.</w:t>
      </w:r>
    </w:p>
    <w:p w14:paraId="1EED1DBA" w14:textId="254721E5" w:rsidR="0053067D" w:rsidRDefault="00BE4693" w:rsidP="004752A6">
      <w:r>
        <w:rPr>
          <w:noProof/>
          <w:lang w:eastAsia="en-AU"/>
        </w:rPr>
        <mc:AlternateContent>
          <mc:Choice Requires="wps">
            <w:drawing>
              <wp:anchor distT="0" distB="0" distL="114300" distR="114300" simplePos="0" relativeHeight="251661312" behindDoc="1" locked="0" layoutInCell="1" allowOverlap="1" wp14:anchorId="191EF25A" wp14:editId="4559A630">
                <wp:simplePos x="0" y="0"/>
                <wp:positionH relativeFrom="column">
                  <wp:align>left</wp:align>
                </wp:positionH>
                <wp:positionV relativeFrom="paragraph">
                  <wp:posOffset>906780</wp:posOffset>
                </wp:positionV>
                <wp:extent cx="2867025" cy="33623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867025" cy="3362325"/>
                        </a:xfrm>
                        <a:prstGeom prst="rect">
                          <a:avLst/>
                        </a:prstGeom>
                        <a:noFill/>
                        <a:ln w="6350">
                          <a:solidFill>
                            <a:srgbClr val="C00000"/>
                          </a:solidFill>
                        </a:ln>
                      </wps:spPr>
                      <wps:txbx>
                        <w:txbxContent>
                          <w:p w14:paraId="39B85392" w14:textId="2E0B7755" w:rsidR="000821A3" w:rsidRPr="009C1375" w:rsidRDefault="000821A3" w:rsidP="000821A3">
                            <w:pPr>
                              <w:rPr>
                                <w:szCs w:val="20"/>
                              </w:rPr>
                            </w:pPr>
                            <w:r w:rsidRPr="009C1375">
                              <w:rPr>
                                <w:szCs w:val="20"/>
                              </w:rPr>
                              <w:t xml:space="preserve">This fact sheet was last updated </w:t>
                            </w:r>
                            <w:r w:rsidR="00E842E5">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EF25A" id="_x0000_t202" coordsize="21600,21600" o:spt="202" path="m,l,21600r21600,l21600,xe">
                <v:stroke joinstyle="miter"/>
                <v:path gradientshapeok="t" o:connecttype="rect"/>
              </v:shapetype>
              <v:shape id="Text Box 56" o:spid="_x0000_s1027" type="#_x0000_t202" style="position:absolute;margin-left:0;margin-top:71.4pt;width:225.75pt;height:264.75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mFMgIAAF0EAAAOAAAAZHJzL2Uyb0RvYy54bWysVEtv2zAMvg/YfxB0X+w4j7ZBnCJLkWFA&#10;0BZIh54VWY4FyKImKbGzXz9Kdh7odhrmg0yKNB/fR3r+2NaKHIV1EnROh4OUEqE5FFLvc/rjbf3l&#10;nhLnmS6YAi1yehKOPi4+f5o3ZiYyqEAVwhIMot2sMTmtvDezJHG8EjVzAzBCo7EEWzOPqt0nhWUN&#10;Rq9VkqXpNGnAFsYCF87h7VNnpIsYvywF9y9l6YQnKqdYm4+njecunMlizmZ7y0wleV8G+4cqaiY1&#10;Jr2EemKekYOVf4SqJbfgoPQDDnUCZSm5iD1gN8P0QzfbihkRe0FwnLnA5P5fWP583JpXS3z7FVok&#10;MADSGDdzeBn6aUtbhzdWStCOEJ4usInWE46X2f30Ls0mlHC0jUbTbIQKxkmunxvr/DcBNQlCTi3y&#10;EuFix43znevZJWTTsJZKRW6UJk1Op6NJGj9woGQRjMHN2f1upSw5MmR3lYanz3vjhlUojcVcuwqS&#10;b3ctkcVNxzsoTgiEhW5GnOFricVumPOvzOJQYO846P4Fj1IBFgW9REkF9tff7oM/coVWShocspy6&#10;nwdmBSXqu0YWH4bjcZjKqIwndxkq9tayu7XoQ70C7HSIK2V4FIO/V2extFC/4z4sQ1Y0Mc0xd079&#10;WVz5bvRxn7hYLqMTzqFhfqO3hofQAddAxVv7zqzp+fJI9TOcx5HNPtDW+XbELQ8eShk5DTh3qPbw&#10;4wzHqej3LSzJrR69rn+FxW8AAAD//wMAUEsDBBQABgAIAAAAIQCpEJoL2wAAAAgBAAAPAAAAZHJz&#10;L2Rvd25yZXYueG1sTI/BTsMwDIbvSLxDZCRuLF3XFVSaTgiJB1i3w45Z4rUVjRM12da+PeYER/u3&#10;fn9fvZvdKG44xcGTgvUqA4FkvB2oU3A8fL28gYhJk9WjJ1SwYIRd8/hQ68r6O+3x1qZOcAnFSivo&#10;UwqVlNH06HRc+YDE2cVPTicep07aSd+53I0yz7JSOj0Qf+h1wM8ezXd7dQrcpSgXH/b55tQWp+UQ&#10;jDlORqnnp/njHUTCOf0dwy8+o0PDTGd/JRvFqIBFEm+LnAU4LrbrLYizgvI134BsavlfoPkBAAD/&#10;/wMAUEsBAi0AFAAGAAgAAAAhALaDOJL+AAAA4QEAABMAAAAAAAAAAAAAAAAAAAAAAFtDb250ZW50&#10;X1R5cGVzXS54bWxQSwECLQAUAAYACAAAACEAOP0h/9YAAACUAQAACwAAAAAAAAAAAAAAAAAvAQAA&#10;X3JlbHMvLnJlbHNQSwECLQAUAAYACAAAACEAx7bphTICAABdBAAADgAAAAAAAAAAAAAAAAAuAgAA&#10;ZHJzL2Uyb0RvYy54bWxQSwECLQAUAAYACAAAACEAqRCaC9sAAAAIAQAADwAAAAAAAAAAAAAAAACM&#10;BAAAZHJzL2Rvd25yZXYueG1sUEsFBgAAAAAEAAQA8wAAAJQFAAAAAA==&#10;" filled="f" strokecolor="#c00000" strokeweight=".5pt">
                <v:textbox>
                  <w:txbxContent>
                    <w:p w14:paraId="39B85392" w14:textId="2E0B7755" w:rsidR="000821A3" w:rsidRPr="009C1375" w:rsidRDefault="000821A3" w:rsidP="000821A3">
                      <w:pPr>
                        <w:rPr>
                          <w:szCs w:val="20"/>
                        </w:rPr>
                      </w:pPr>
                      <w:r w:rsidRPr="009C1375">
                        <w:rPr>
                          <w:szCs w:val="20"/>
                        </w:rPr>
                        <w:t xml:space="preserve">This fact sheet was last updated </w:t>
                      </w:r>
                      <w:r w:rsidR="00E842E5">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v:shape>
            </w:pict>
          </mc:Fallback>
        </mc:AlternateContent>
      </w:r>
    </w:p>
    <w:p w14:paraId="4F2B9721" w14:textId="3919A0F4" w:rsidR="00DD192D" w:rsidRDefault="00DD192D" w:rsidP="00731937">
      <w:pPr>
        <w:pStyle w:val="Heading1"/>
        <w:rPr>
          <w:sz w:val="28"/>
        </w:rPr>
      </w:pPr>
    </w:p>
    <w:p w14:paraId="78011C91" w14:textId="72DBCD40" w:rsidR="009755F2" w:rsidRDefault="009755F2" w:rsidP="00731937">
      <w:pPr>
        <w:spacing w:after="0"/>
        <w:rPr>
          <w:lang w:val="en-GB" w:eastAsia="en-AU"/>
        </w:rPr>
      </w:pPr>
    </w:p>
    <w:p w14:paraId="5DB1CE26" w14:textId="6D44F4C5" w:rsidR="009755F2" w:rsidRDefault="009755F2" w:rsidP="00731937">
      <w:pPr>
        <w:spacing w:after="0"/>
        <w:rPr>
          <w:lang w:val="en-GB" w:eastAsia="en-AU"/>
        </w:rPr>
      </w:pPr>
    </w:p>
    <w:p w14:paraId="093E822B" w14:textId="4996FD6F" w:rsidR="009755F2" w:rsidRDefault="009755F2" w:rsidP="00731937">
      <w:pPr>
        <w:spacing w:after="0"/>
        <w:rPr>
          <w:lang w:val="en-GB" w:eastAsia="en-AU"/>
        </w:rPr>
      </w:pPr>
    </w:p>
    <w:p w14:paraId="3E14507C" w14:textId="13E59A2C" w:rsidR="009755F2" w:rsidRDefault="009755F2" w:rsidP="00731937">
      <w:pPr>
        <w:spacing w:after="0"/>
        <w:rPr>
          <w:lang w:val="en-GB" w:eastAsia="en-AU"/>
        </w:rPr>
      </w:pPr>
    </w:p>
    <w:p w14:paraId="2C608CF9" w14:textId="32C95D72" w:rsidR="00731937" w:rsidRDefault="00731937" w:rsidP="00731937">
      <w:pPr>
        <w:spacing w:after="0"/>
        <w:rPr>
          <w:lang w:val="en-GB" w:eastAsia="en-AU"/>
        </w:rPr>
      </w:pPr>
    </w:p>
    <w:p w14:paraId="0F0D03D4" w14:textId="53F8EF0E" w:rsidR="00731937" w:rsidRDefault="00731937" w:rsidP="00731937">
      <w:pPr>
        <w:rPr>
          <w:lang w:val="en-GB" w:eastAsia="en-AU"/>
        </w:rPr>
      </w:pPr>
    </w:p>
    <w:p w14:paraId="0158878E" w14:textId="42C7E0F9" w:rsidR="00731937" w:rsidRDefault="00731937" w:rsidP="00731937">
      <w:pPr>
        <w:rPr>
          <w:lang w:val="en-GB" w:eastAsia="en-AU"/>
        </w:rPr>
      </w:pPr>
    </w:p>
    <w:p w14:paraId="3C54F428" w14:textId="0A2CA5DF" w:rsidR="00731937" w:rsidRDefault="00731937" w:rsidP="00731937">
      <w:pPr>
        <w:pStyle w:val="Caption"/>
        <w:keepNext/>
        <w:tabs>
          <w:tab w:val="right" w:pos="9146"/>
        </w:tabs>
        <w:ind w:right="-120"/>
      </w:pPr>
    </w:p>
    <w:p w14:paraId="22276466" w14:textId="14991A83" w:rsidR="00C10C19" w:rsidRPr="00731937" w:rsidRDefault="00C10C19" w:rsidP="00731937"/>
    <w:sectPr w:rsidR="00C10C19" w:rsidRPr="00731937" w:rsidSect="00DD192D">
      <w:headerReference w:type="default" r:id="rId13"/>
      <w:type w:val="continuous"/>
      <w:pgSz w:w="11906" w:h="16838"/>
      <w:pgMar w:top="156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7680" w14:textId="77777777" w:rsidR="00130923" w:rsidRDefault="00130923" w:rsidP="00130923">
      <w:pPr>
        <w:spacing w:after="0" w:line="240" w:lineRule="auto"/>
      </w:pPr>
      <w:r>
        <w:separator/>
      </w:r>
    </w:p>
  </w:endnote>
  <w:endnote w:type="continuationSeparator" w:id="0">
    <w:p w14:paraId="018A9F06"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FCDE" w14:textId="77777777" w:rsidR="003242B9" w:rsidRPr="000B1D63" w:rsidRDefault="00731937"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73C34638" wp14:editId="2569B94C">
          <wp:simplePos x="0" y="0"/>
          <wp:positionH relativeFrom="page">
            <wp:align>center</wp:align>
          </wp:positionH>
          <wp:positionV relativeFrom="paragraph">
            <wp:posOffset>-287655</wp:posOffset>
          </wp:positionV>
          <wp:extent cx="7663180" cy="75374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53745"/>
                  </a:xfrm>
                  <a:prstGeom prst="rect">
                    <a:avLst/>
                  </a:prstGeom>
                </pic:spPr>
              </pic:pic>
            </a:graphicData>
          </a:graphic>
          <wp14:sizeRelH relativeFrom="page">
            <wp14:pctWidth>0</wp14:pctWidth>
          </wp14:sizeRelH>
          <wp14:sizeRelV relativeFrom="page">
            <wp14:pctHeight>0</wp14:pctHeight>
          </wp14:sizeRelV>
        </wp:anchor>
      </w:drawing>
    </w:r>
    <w:r w:rsidR="000B1D63">
      <w:tab/>
    </w:r>
    <w:r w:rsidR="000B1D63">
      <w:tab/>
    </w:r>
    <w:r w:rsidR="000B1D63">
      <w:tab/>
    </w:r>
    <w:r w:rsidR="00923C84">
      <w:tab/>
    </w:r>
    <w:r w:rsidR="000B1D63">
      <w:tab/>
    </w:r>
  </w:p>
  <w:p w14:paraId="02A6A28D" w14:textId="77777777" w:rsidR="00836D01" w:rsidRDefault="00836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626F" w14:textId="77777777" w:rsidR="00130923" w:rsidRDefault="00130923" w:rsidP="00130923">
      <w:pPr>
        <w:spacing w:after="0" w:line="240" w:lineRule="auto"/>
      </w:pPr>
      <w:r>
        <w:separator/>
      </w:r>
    </w:p>
  </w:footnote>
  <w:footnote w:type="continuationSeparator" w:id="0">
    <w:p w14:paraId="50593600"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D99C" w14:textId="77777777" w:rsidR="00560CA0" w:rsidRDefault="002503C4" w:rsidP="00560CA0">
    <w:pPr>
      <w:pStyle w:val="Header"/>
      <w:jc w:val="right"/>
    </w:pPr>
    <w:r>
      <w:t xml:space="preserve">Fact Sheet – Definitions of ‘Builder’ and ‘Building Work’ for </w:t>
    </w:r>
    <w:r w:rsidR="008775B1">
      <w:t>Scheme purposes</w:t>
    </w:r>
  </w:p>
  <w:p w14:paraId="1C0E198E" w14:textId="77777777" w:rsidR="002503C4" w:rsidRDefault="002503C4" w:rsidP="002503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2C63445"/>
    <w:multiLevelType w:val="hybridMultilevel"/>
    <w:tmpl w:val="DEAAC9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E538F"/>
    <w:multiLevelType w:val="hybridMultilevel"/>
    <w:tmpl w:val="64684FC4"/>
    <w:lvl w:ilvl="0" w:tplc="0C090001">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EE7D36"/>
    <w:multiLevelType w:val="hybridMultilevel"/>
    <w:tmpl w:val="8F3C95D4"/>
    <w:lvl w:ilvl="0" w:tplc="92D80AB4">
      <w:start w:val="1"/>
      <w:numFmt w:val="bullet"/>
      <w:pStyle w:val="OFSC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94E659D"/>
    <w:multiLevelType w:val="hybridMultilevel"/>
    <w:tmpl w:val="1026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6"/>
  </w:num>
  <w:num w:numId="22">
    <w:abstractNumId w:val="14"/>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51F84"/>
    <w:rsid w:val="000821A3"/>
    <w:rsid w:val="000861A6"/>
    <w:rsid w:val="000A2815"/>
    <w:rsid w:val="000B1D63"/>
    <w:rsid w:val="000E6FBB"/>
    <w:rsid w:val="000E6FCE"/>
    <w:rsid w:val="000F3BA2"/>
    <w:rsid w:val="00104DF1"/>
    <w:rsid w:val="001175BF"/>
    <w:rsid w:val="00130923"/>
    <w:rsid w:val="001414F3"/>
    <w:rsid w:val="00143FCD"/>
    <w:rsid w:val="001B6467"/>
    <w:rsid w:val="00200F60"/>
    <w:rsid w:val="00223EB1"/>
    <w:rsid w:val="0023561A"/>
    <w:rsid w:val="00236917"/>
    <w:rsid w:val="00243D6B"/>
    <w:rsid w:val="002503C4"/>
    <w:rsid w:val="002854D6"/>
    <w:rsid w:val="00287C43"/>
    <w:rsid w:val="002A2B6A"/>
    <w:rsid w:val="002B06E6"/>
    <w:rsid w:val="002B4FA6"/>
    <w:rsid w:val="002D271F"/>
    <w:rsid w:val="002D6386"/>
    <w:rsid w:val="002F651D"/>
    <w:rsid w:val="00305B35"/>
    <w:rsid w:val="003242B9"/>
    <w:rsid w:val="003542EE"/>
    <w:rsid w:val="00367BAD"/>
    <w:rsid w:val="003D5848"/>
    <w:rsid w:val="003D67FC"/>
    <w:rsid w:val="003F3DBD"/>
    <w:rsid w:val="00406E5A"/>
    <w:rsid w:val="00455B34"/>
    <w:rsid w:val="004752A6"/>
    <w:rsid w:val="0048762C"/>
    <w:rsid w:val="004A528B"/>
    <w:rsid w:val="004B256F"/>
    <w:rsid w:val="004C5911"/>
    <w:rsid w:val="004C5CD0"/>
    <w:rsid w:val="004D54E7"/>
    <w:rsid w:val="004E7F12"/>
    <w:rsid w:val="005105EF"/>
    <w:rsid w:val="005113B6"/>
    <w:rsid w:val="0053067D"/>
    <w:rsid w:val="00531817"/>
    <w:rsid w:val="00533907"/>
    <w:rsid w:val="00551AC2"/>
    <w:rsid w:val="00560CA0"/>
    <w:rsid w:val="005624F3"/>
    <w:rsid w:val="005811EF"/>
    <w:rsid w:val="005B0878"/>
    <w:rsid w:val="005C15C0"/>
    <w:rsid w:val="005E05CC"/>
    <w:rsid w:val="006045DE"/>
    <w:rsid w:val="00610654"/>
    <w:rsid w:val="006158C8"/>
    <w:rsid w:val="0067026C"/>
    <w:rsid w:val="00681656"/>
    <w:rsid w:val="006A5BDD"/>
    <w:rsid w:val="006D5F63"/>
    <w:rsid w:val="006E2D49"/>
    <w:rsid w:val="00731937"/>
    <w:rsid w:val="007468FC"/>
    <w:rsid w:val="00765ABB"/>
    <w:rsid w:val="00775002"/>
    <w:rsid w:val="00792CA3"/>
    <w:rsid w:val="00794B48"/>
    <w:rsid w:val="007B2FDD"/>
    <w:rsid w:val="007F7F1E"/>
    <w:rsid w:val="00804213"/>
    <w:rsid w:val="0080754E"/>
    <w:rsid w:val="00807D08"/>
    <w:rsid w:val="008226AC"/>
    <w:rsid w:val="0083468A"/>
    <w:rsid w:val="00836D01"/>
    <w:rsid w:val="0084292A"/>
    <w:rsid w:val="00842D43"/>
    <w:rsid w:val="008532BF"/>
    <w:rsid w:val="00856D1C"/>
    <w:rsid w:val="00857757"/>
    <w:rsid w:val="00876AC0"/>
    <w:rsid w:val="008775B1"/>
    <w:rsid w:val="009116EA"/>
    <w:rsid w:val="00923C84"/>
    <w:rsid w:val="00933671"/>
    <w:rsid w:val="00972DD5"/>
    <w:rsid w:val="009755F2"/>
    <w:rsid w:val="00984879"/>
    <w:rsid w:val="00985632"/>
    <w:rsid w:val="00991B63"/>
    <w:rsid w:val="009A3DCC"/>
    <w:rsid w:val="009B2428"/>
    <w:rsid w:val="009B5CB7"/>
    <w:rsid w:val="009D1533"/>
    <w:rsid w:val="009F7078"/>
    <w:rsid w:val="00A25763"/>
    <w:rsid w:val="00A30120"/>
    <w:rsid w:val="00A31242"/>
    <w:rsid w:val="00A52530"/>
    <w:rsid w:val="00A551BF"/>
    <w:rsid w:val="00A70524"/>
    <w:rsid w:val="00A73406"/>
    <w:rsid w:val="00A904EC"/>
    <w:rsid w:val="00AC65DA"/>
    <w:rsid w:val="00AD5F00"/>
    <w:rsid w:val="00B2722A"/>
    <w:rsid w:val="00B618BA"/>
    <w:rsid w:val="00BE4693"/>
    <w:rsid w:val="00C05E74"/>
    <w:rsid w:val="00C10C19"/>
    <w:rsid w:val="00C11196"/>
    <w:rsid w:val="00C51EE8"/>
    <w:rsid w:val="00C5649C"/>
    <w:rsid w:val="00C6146A"/>
    <w:rsid w:val="00C6664F"/>
    <w:rsid w:val="00C75486"/>
    <w:rsid w:val="00C8202C"/>
    <w:rsid w:val="00C92A5B"/>
    <w:rsid w:val="00CA46EC"/>
    <w:rsid w:val="00CB4B06"/>
    <w:rsid w:val="00CB57B7"/>
    <w:rsid w:val="00CC2A8D"/>
    <w:rsid w:val="00CE13CE"/>
    <w:rsid w:val="00CE7898"/>
    <w:rsid w:val="00D00F41"/>
    <w:rsid w:val="00D1394D"/>
    <w:rsid w:val="00D63E4F"/>
    <w:rsid w:val="00D64BD8"/>
    <w:rsid w:val="00D7578A"/>
    <w:rsid w:val="00D75A94"/>
    <w:rsid w:val="00D903FD"/>
    <w:rsid w:val="00D94BC5"/>
    <w:rsid w:val="00D96C08"/>
    <w:rsid w:val="00DA4855"/>
    <w:rsid w:val="00DD192D"/>
    <w:rsid w:val="00E037C3"/>
    <w:rsid w:val="00E842E5"/>
    <w:rsid w:val="00E92F4D"/>
    <w:rsid w:val="00EB24C0"/>
    <w:rsid w:val="00ED43D2"/>
    <w:rsid w:val="00EE3B8C"/>
    <w:rsid w:val="00EF4A38"/>
    <w:rsid w:val="00F33A68"/>
    <w:rsid w:val="00F5755C"/>
    <w:rsid w:val="00F81A79"/>
    <w:rsid w:val="00F84149"/>
    <w:rsid w:val="00FA63E4"/>
    <w:rsid w:val="00FB0AEA"/>
    <w:rsid w:val="00FB10CB"/>
    <w:rsid w:val="00FB5D93"/>
    <w:rsid w:val="00FB7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73C983D"/>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C51EE8"/>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51EE8"/>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542EE"/>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3542EE"/>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731937"/>
    <w:pPr>
      <w:numPr>
        <w:numId w:val="21"/>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styleId="CommentText">
    <w:name w:val="annotation text"/>
    <w:basedOn w:val="Normal"/>
    <w:link w:val="CommentTextChar"/>
    <w:uiPriority w:val="99"/>
    <w:semiHidden/>
    <w:unhideWhenUsed/>
    <w:rsid w:val="00731937"/>
    <w:pPr>
      <w:spacing w:line="240" w:lineRule="auto"/>
    </w:pPr>
    <w:rPr>
      <w:szCs w:val="20"/>
    </w:rPr>
  </w:style>
  <w:style w:type="character" w:customStyle="1" w:styleId="CommentTextChar">
    <w:name w:val="Comment Text Char"/>
    <w:basedOn w:val="DefaultParagraphFont"/>
    <w:link w:val="CommentText"/>
    <w:uiPriority w:val="99"/>
    <w:semiHidden/>
    <w:rsid w:val="00731937"/>
    <w:rPr>
      <w:sz w:val="20"/>
      <w:szCs w:val="20"/>
    </w:rPr>
  </w:style>
  <w:style w:type="paragraph" w:styleId="CommentSubject">
    <w:name w:val="annotation subject"/>
    <w:basedOn w:val="CommentText"/>
    <w:next w:val="CommentText"/>
    <w:link w:val="CommentSubjectChar"/>
    <w:rsid w:val="00731937"/>
    <w:pPr>
      <w:suppressAutoHyphens/>
      <w:autoSpaceDE w:val="0"/>
      <w:autoSpaceDN w:val="0"/>
      <w:adjustRightInd w:val="0"/>
      <w:spacing w:after="100"/>
      <w:textAlignment w:val="center"/>
    </w:pPr>
    <w:rPr>
      <w:rFonts w:eastAsia="Times New Roman" w:cstheme="minorHAnsi"/>
      <w:b/>
      <w:bCs/>
      <w:color w:val="000000"/>
      <w:lang w:val="en-GB" w:eastAsia="en-AU"/>
    </w:rPr>
  </w:style>
  <w:style w:type="character" w:customStyle="1" w:styleId="CommentSubjectChar">
    <w:name w:val="Comment Subject Char"/>
    <w:basedOn w:val="CommentTextChar"/>
    <w:link w:val="CommentSubject"/>
    <w:rsid w:val="00731937"/>
    <w:rPr>
      <w:rFonts w:eastAsia="Times New Roman" w:cstheme="minorHAnsi"/>
      <w:b/>
      <w:bCs/>
      <w:color w:val="000000"/>
      <w:sz w:val="20"/>
      <w:szCs w:val="20"/>
      <w:lang w:val="en-GB" w:eastAsia="en-AU"/>
    </w:rPr>
  </w:style>
  <w:style w:type="character" w:customStyle="1" w:styleId="bold">
    <w:name w:val="bold"/>
    <w:rsid w:val="00731937"/>
    <w:rPr>
      <w:b/>
      <w:bCs/>
    </w:rPr>
  </w:style>
  <w:style w:type="paragraph" w:customStyle="1" w:styleId="OFSCShadedBoxHeader">
    <w:name w:val="OFSC Shaded Box Header"/>
    <w:basedOn w:val="Normal"/>
    <w:link w:val="OFSCShadedBoxHeaderChar"/>
    <w:qFormat/>
    <w:rsid w:val="00731937"/>
    <w:pPr>
      <w:pBdr>
        <w:top w:val="single" w:sz="12" w:space="8" w:color="6C6C6C" w:themeColor="background1" w:themeShade="D9"/>
        <w:left w:val="single" w:sz="24" w:space="4" w:color="6C6C6C" w:themeColor="background1" w:themeShade="D9"/>
        <w:bottom w:val="single" w:sz="18" w:space="1" w:color="6C6C6C" w:themeColor="background1" w:themeShade="D9"/>
        <w:right w:val="single" w:sz="24" w:space="4" w:color="6C6C6C" w:themeColor="background1" w:themeShade="D9"/>
      </w:pBdr>
      <w:shd w:val="clear" w:color="auto" w:fill="6C6C6C" w:themeFill="background1" w:themeFillShade="D9"/>
      <w:spacing w:before="120" w:after="0" w:line="240" w:lineRule="auto"/>
    </w:pPr>
    <w:rPr>
      <w:rFonts w:ascii="Calibri" w:eastAsia="Times New Roman" w:hAnsi="Calibri" w:cs="Times New Roman"/>
      <w:color w:val="C00000"/>
      <w:sz w:val="24"/>
      <w:szCs w:val="24"/>
      <w:lang w:eastAsia="en-AU"/>
    </w:rPr>
  </w:style>
  <w:style w:type="character" w:customStyle="1" w:styleId="OFSCShadedBoxHeaderChar">
    <w:name w:val="OFSC Shaded Box Header Char"/>
    <w:basedOn w:val="DefaultParagraphFont"/>
    <w:link w:val="OFSCShadedBoxHeader"/>
    <w:rsid w:val="00731937"/>
    <w:rPr>
      <w:rFonts w:ascii="Calibri" w:eastAsia="Times New Roman" w:hAnsi="Calibri" w:cs="Times New Roman"/>
      <w:color w:val="C00000"/>
      <w:sz w:val="24"/>
      <w:szCs w:val="24"/>
      <w:shd w:val="clear" w:color="auto" w:fill="6C6C6C" w:themeFill="background1" w:themeFillShade="D9"/>
      <w:lang w:eastAsia="en-AU"/>
    </w:rPr>
  </w:style>
  <w:style w:type="paragraph" w:customStyle="1" w:styleId="OFSCShadedBoxBullets">
    <w:name w:val="OFSC Shaded Box Bullets"/>
    <w:basedOn w:val="OFSCBullets"/>
    <w:qFormat/>
    <w:rsid w:val="00731937"/>
    <w:pPr>
      <w:numPr>
        <w:numId w:val="0"/>
      </w:numPr>
      <w:pBdr>
        <w:top w:val="single" w:sz="18" w:space="1" w:color="6C6C6C" w:themeColor="background1" w:themeShade="D9"/>
        <w:left w:val="single" w:sz="18" w:space="4" w:color="6C6C6C" w:themeColor="background1" w:themeShade="D9"/>
        <w:bottom w:val="single" w:sz="18" w:space="1" w:color="6C6C6C" w:themeColor="background1" w:themeShade="D9"/>
        <w:right w:val="single" w:sz="18" w:space="4" w:color="6C6C6C" w:themeColor="background1" w:themeShade="D9"/>
      </w:pBdr>
      <w:shd w:val="clear" w:color="auto" w:fill="6C6C6C" w:themeFill="background1" w:themeFillShade="D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4901328E54839B47150C9D0DD227E"/>
        <w:category>
          <w:name w:val="General"/>
          <w:gallery w:val="placeholder"/>
        </w:category>
        <w:types>
          <w:type w:val="bbPlcHdr"/>
        </w:types>
        <w:behaviors>
          <w:behavior w:val="content"/>
        </w:behaviors>
        <w:guid w:val="{56A59083-85C7-4818-B470-5033F595F999}"/>
      </w:docPartPr>
      <w:docPartBody>
        <w:p w:rsidR="00301417" w:rsidRDefault="000A4037" w:rsidP="000A4037">
          <w:pPr>
            <w:pStyle w:val="5964901328E54839B47150C9D0DD227E"/>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0A4037"/>
    <w:rsid w:val="00301417"/>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037"/>
    <w:rPr>
      <w:color w:val="808080"/>
    </w:rPr>
  </w:style>
  <w:style w:type="paragraph" w:customStyle="1" w:styleId="5964901328E54839B47150C9D0DD227E">
    <w:name w:val="5964901328E54839B47150C9D0DD227E"/>
    <w:rsid w:val="000A40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FD27-3198-42AF-B5D5-AD30896D1049}">
  <ds:schemaRefs>
    <ds:schemaRef ds:uri="http://schemas.microsoft.com/sharepoint/v3/contenttype/forms"/>
  </ds:schemaRefs>
</ds:datastoreItem>
</file>

<file path=customXml/itemProps2.xml><?xml version="1.0" encoding="utf-8"?>
<ds:datastoreItem xmlns:ds="http://schemas.openxmlformats.org/officeDocument/2006/customXml" ds:itemID="{81599B5F-0DE6-471B-913B-C25946052BA5}">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30404AB-0E4F-4D2A-B587-7C30DBDB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6B434-3606-4AD0-B05E-F07CB541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4689</Characters>
  <Application>Microsoft Office Word</Application>
  <DocSecurity>0</DocSecurity>
  <Lines>173</Lines>
  <Paragraphs>73</Paragraphs>
  <ScaleCrop>false</ScaleCrop>
  <HeadingPairs>
    <vt:vector size="2" baseType="variant">
      <vt:variant>
        <vt:lpstr>Title</vt:lpstr>
      </vt:variant>
      <vt:variant>
        <vt:i4>1</vt:i4>
      </vt:variant>
    </vt:vector>
  </HeadingPairs>
  <TitlesOfParts>
    <vt:vector size="1" baseType="lpstr">
      <vt:lpstr>Fact Sheet – Definitions of ‘Builder’ and ‘Building Work’</vt:lpstr>
    </vt:vector>
  </TitlesOfParts>
  <Company>Australian Government</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Definitions of ‘Builder’ and ‘Building Work’</dc:title>
  <dc:creator>Danny Thomas</dc:creator>
  <cp:lastModifiedBy>MATTON-JOHNSON,Elanor</cp:lastModifiedBy>
  <cp:revision>3</cp:revision>
  <cp:lastPrinted>2022-08-30T03:31:00Z</cp:lastPrinted>
  <dcterms:created xsi:type="dcterms:W3CDTF">2023-02-06T03:05:00Z</dcterms:created>
  <dcterms:modified xsi:type="dcterms:W3CDTF">2023-02-06T03:06:00Z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2022-07-22T03:39:13Z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b3a8f768-7ff8-47f0-ad66-bf4edd0746a6</vt:lpwstr>
  </property>
  <property fmtid="{D5CDD505-2E9C-101B-9397-08002B2CF9AE}" pid="9" name="MSIP_Label_79d889eb-932f-4752-8739-64d25806ef64_ContentBits">
    <vt:lpwstr>0</vt:lpwstr>
  </property>
</Properties>
</file>