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6707" w14:textId="12CA165A" w:rsidR="004D54E7" w:rsidRPr="00B6770A" w:rsidRDefault="00B33281" w:rsidP="00EA7FA7">
      <w:pPr>
        <w:pStyle w:val="Title"/>
        <w:spacing w:after="240"/>
        <w:ind w:left="1276" w:right="-119"/>
        <w:sectPr w:rsidR="004D54E7" w:rsidRPr="00B6770A" w:rsidSect="000E67D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0" w:right="1416" w:bottom="1440" w:left="238" w:header="709" w:footer="567" w:gutter="0"/>
          <w:cols w:space="708"/>
          <w:docGrid w:linePitch="360"/>
        </w:sectPr>
      </w:pPr>
      <w:r>
        <w:rPr>
          <w:noProof/>
          <w:lang w:eastAsia="en-AU"/>
        </w:rPr>
        <w:drawing>
          <wp:anchor distT="0" distB="0" distL="114300" distR="114300" simplePos="0" relativeHeight="251665920" behindDoc="0" locked="0" layoutInCell="1" allowOverlap="1" wp14:anchorId="488CF6B7" wp14:editId="0E14A17F">
            <wp:simplePos x="0" y="0"/>
            <wp:positionH relativeFrom="page">
              <wp:align>right</wp:align>
            </wp:positionH>
            <wp:positionV relativeFrom="margin">
              <wp:posOffset>-600075</wp:posOffset>
            </wp:positionV>
            <wp:extent cx="7604760" cy="1410335"/>
            <wp:effectExtent l="0" t="0" r="0" b="0"/>
            <wp:wrapThrough wrapText="bothSides">
              <wp:wrapPolygon edited="0">
                <wp:start x="0" y="0"/>
                <wp:lineTo x="0" y="21299"/>
                <wp:lineTo x="21535" y="21299"/>
                <wp:lineTo x="21535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41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sz w:val="40"/>
            <w:szCs w:val="40"/>
          </w:rPr>
          <w:alias w:val="Title"/>
          <w:tag w:val=""/>
          <w:id w:val="-1223357544"/>
          <w:placeholder>
            <w:docPart w:val="6B3DA97B18DF46E2989A7CC4B0FDAB3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1730E" w:rsidRPr="0001730E">
            <w:rPr>
              <w:sz w:val="40"/>
              <w:szCs w:val="40"/>
            </w:rPr>
            <w:t>Fact Sheet</w:t>
          </w:r>
          <w:r w:rsidR="00B6770A">
            <w:rPr>
              <w:sz w:val="40"/>
              <w:szCs w:val="40"/>
            </w:rPr>
            <w:t xml:space="preserve"> – How to appeal a decision of the Federal Safety Commissioner</w:t>
          </w:r>
        </w:sdtContent>
      </w:sdt>
      <w:bookmarkStart w:id="0" w:name="_Toc364946114"/>
      <w:r w:rsidR="0001730E" w:rsidRPr="000E67DE">
        <w:rPr>
          <w:sz w:val="40"/>
          <w:szCs w:val="40"/>
        </w:rPr>
        <w:t xml:space="preserve"> </w:t>
      </w:r>
    </w:p>
    <w:p w14:paraId="07D877AD" w14:textId="205275FC" w:rsidR="00281226" w:rsidRPr="00B6770A" w:rsidRDefault="00281226" w:rsidP="00B6770A">
      <w:pPr>
        <w:pStyle w:val="Heading1"/>
      </w:pPr>
      <w:r w:rsidRPr="00B6770A">
        <w:t>The Scheme</w:t>
      </w:r>
    </w:p>
    <w:p w14:paraId="1673CC31" w14:textId="533601E3" w:rsidR="009C3191" w:rsidRDefault="00281226" w:rsidP="00281226">
      <w:r w:rsidRPr="006C4DBB">
        <w:t xml:space="preserve">The </w:t>
      </w:r>
      <w:r w:rsidR="00A766C4" w:rsidRPr="00A766C4">
        <w:t>Work Health and Safety Accreditation Scheme</w:t>
      </w:r>
      <w:r w:rsidR="009C3191">
        <w:t xml:space="preserve"> (the Scheme)</w:t>
      </w:r>
      <w:r w:rsidRPr="006C4DBB">
        <w:t xml:space="preserve"> </w:t>
      </w:r>
      <w:r w:rsidR="009C3191">
        <w:t>was established by the Australian Government to improve safety in the building and construction industry by using</w:t>
      </w:r>
      <w:r w:rsidR="009C3191" w:rsidRPr="009C3191">
        <w:t xml:space="preserve"> its influence as a client and provider of capital to foster </w:t>
      </w:r>
      <w:r w:rsidR="009C3191">
        <w:t>enhanced</w:t>
      </w:r>
      <w:r w:rsidR="001C343B">
        <w:t xml:space="preserve"> safety</w:t>
      </w:r>
      <w:r w:rsidR="009C3191">
        <w:t xml:space="preserve"> </w:t>
      </w:r>
      <w:r w:rsidR="009C3191" w:rsidRPr="009C3191">
        <w:t>performance.</w:t>
      </w:r>
    </w:p>
    <w:p w14:paraId="736D2AF2" w14:textId="77777777" w:rsidR="009C3191" w:rsidRDefault="009C3191" w:rsidP="009C3191">
      <w:r>
        <w:t>T</w:t>
      </w:r>
      <w:r w:rsidRPr="00586E91">
        <w:t>he Scheme operates such that only ‘builders’ who are accredited under the Scheme can enter into head contracts for ‘building work’ that is funded direc</w:t>
      </w:r>
      <w:r>
        <w:t xml:space="preserve">tly or </w:t>
      </w:r>
      <w:r w:rsidRPr="00586E91">
        <w:t xml:space="preserve">indirectly by the Australian Government, subject to certain </w:t>
      </w:r>
      <w:r>
        <w:t>thresholds</w:t>
      </w:r>
      <w:r w:rsidRPr="00586E91">
        <w:t>.</w:t>
      </w:r>
    </w:p>
    <w:p w14:paraId="3E157A21" w14:textId="77777777" w:rsidR="00374F9C" w:rsidRDefault="00374F9C" w:rsidP="009C3191">
      <w:pPr>
        <w:pStyle w:val="Heading1"/>
      </w:pPr>
    </w:p>
    <w:p w14:paraId="58FB1356" w14:textId="77777777" w:rsidR="009C3191" w:rsidRPr="00B6770A" w:rsidRDefault="009C3191" w:rsidP="009C3191">
      <w:pPr>
        <w:pStyle w:val="Heading1"/>
      </w:pPr>
      <w:r>
        <w:t>Authority for the Scheme</w:t>
      </w:r>
    </w:p>
    <w:p w14:paraId="3321B1CB" w14:textId="709283A6" w:rsidR="00281226" w:rsidRDefault="009C3191" w:rsidP="00281226">
      <w:r>
        <w:t xml:space="preserve">The Scheme and the role of the Federal Safety Commissioner (FSC) </w:t>
      </w:r>
      <w:r w:rsidR="00281226" w:rsidRPr="006C4DBB">
        <w:t xml:space="preserve">is established by the </w:t>
      </w:r>
      <w:r w:rsidR="0034261B">
        <w:rPr>
          <w:i/>
          <w:iCs/>
        </w:rPr>
        <w:t>Federal Safety Commissioner Act 2022</w:t>
      </w:r>
      <w:r w:rsidR="00281226" w:rsidRPr="00A766C4">
        <w:t xml:space="preserve"> and the</w:t>
      </w:r>
      <w:r w:rsidR="007B00B5">
        <w:rPr>
          <w:rFonts w:cstheme="minorHAnsi"/>
        </w:rPr>
        <w:t xml:space="preserve"> </w:t>
      </w:r>
      <w:r w:rsidR="007B00B5" w:rsidRPr="00E33DAE">
        <w:rPr>
          <w:bCs/>
          <w:i/>
        </w:rPr>
        <w:t>Building and Construction (Improving Productivity) (Accreditation Scheme) Rules 2019</w:t>
      </w:r>
      <w:r w:rsidR="007B00B5">
        <w:rPr>
          <w:bCs/>
        </w:rPr>
        <w:t xml:space="preserve"> (the Rules)</w:t>
      </w:r>
      <w:r w:rsidR="00281226" w:rsidRPr="00A766C4">
        <w:t xml:space="preserve">. </w:t>
      </w:r>
    </w:p>
    <w:p w14:paraId="2EAE93A3" w14:textId="77777777" w:rsidR="002032B9" w:rsidRPr="00EA7FA7" w:rsidRDefault="002032B9" w:rsidP="00281226">
      <w:r>
        <w:t>T</w:t>
      </w:r>
      <w:r w:rsidRPr="00E52D5A">
        <w:t>he process for</w:t>
      </w:r>
      <w:r>
        <w:t xml:space="preserve"> appealing decisions of the FSC is outlined in Division 9 of the </w:t>
      </w:r>
      <w:r w:rsidR="00625E52">
        <w:t>Rules</w:t>
      </w:r>
      <w:r w:rsidRPr="00E52D5A">
        <w:t>.</w:t>
      </w:r>
    </w:p>
    <w:p w14:paraId="7A62945A" w14:textId="77777777" w:rsidR="00374F9C" w:rsidRDefault="00374F9C" w:rsidP="00B6770A">
      <w:pPr>
        <w:pStyle w:val="Heading1"/>
      </w:pPr>
    </w:p>
    <w:p w14:paraId="32E22D1E" w14:textId="77777777" w:rsidR="00281226" w:rsidRPr="00281226" w:rsidRDefault="001179C0" w:rsidP="00B6770A">
      <w:pPr>
        <w:pStyle w:val="Heading1"/>
      </w:pPr>
      <w:r>
        <w:t>Decisions Made by the Federal Safety Commissioner</w:t>
      </w:r>
    </w:p>
    <w:p w14:paraId="29E9AB72" w14:textId="77777777" w:rsidR="00281226" w:rsidRDefault="00281226" w:rsidP="00281226">
      <w:r w:rsidRPr="00586E91">
        <w:t xml:space="preserve">The </w:t>
      </w:r>
      <w:r w:rsidR="00037D1C">
        <w:t>FSC</w:t>
      </w:r>
      <w:r w:rsidRPr="00586E91">
        <w:t xml:space="preserve"> </w:t>
      </w:r>
      <w:r w:rsidR="001179C0">
        <w:t xml:space="preserve">makes a range of decisions under the </w:t>
      </w:r>
      <w:r w:rsidR="007B00B5">
        <w:t xml:space="preserve">Rules </w:t>
      </w:r>
      <w:r w:rsidR="001179C0">
        <w:t xml:space="preserve">related to the accreditation </w:t>
      </w:r>
      <w:r w:rsidRPr="00586E91">
        <w:t>of contractors</w:t>
      </w:r>
      <w:r w:rsidR="001179C0">
        <w:t>, the imposition of accreditation conditions and compliance actions.</w:t>
      </w:r>
      <w:r w:rsidRPr="00586E91">
        <w:t xml:space="preserve"> </w:t>
      </w:r>
    </w:p>
    <w:p w14:paraId="0462FC33" w14:textId="77777777" w:rsidR="00595A0E" w:rsidRDefault="00595A0E" w:rsidP="00595A0E">
      <w:r>
        <w:t xml:space="preserve">Where the FSC makes a decision that is reviewable under the </w:t>
      </w:r>
      <w:r w:rsidR="007B00B5">
        <w:t xml:space="preserve">Rules </w:t>
      </w:r>
      <w:r>
        <w:t>an “Affected Person” may seek a review of that decision if they</w:t>
      </w:r>
      <w:r w:rsidRPr="00B12E23">
        <w:t xml:space="preserve"> do not agree with </w:t>
      </w:r>
      <w:r>
        <w:t xml:space="preserve">it. </w:t>
      </w:r>
    </w:p>
    <w:p w14:paraId="6471E473" w14:textId="77777777" w:rsidR="00374F9C" w:rsidRDefault="00374F9C" w:rsidP="00595A0E">
      <w:pPr>
        <w:pStyle w:val="OFSCHeading2"/>
        <w:spacing w:after="200" w:line="276" w:lineRule="auto"/>
        <w:rPr>
          <w:rFonts w:eastAsiaTheme="minorEastAsia" w:cstheme="minorBidi"/>
          <w:color w:val="auto"/>
          <w:sz w:val="20"/>
          <w:szCs w:val="22"/>
          <w:lang w:val="en-AU" w:eastAsia="en-US"/>
        </w:rPr>
      </w:pPr>
    </w:p>
    <w:p w14:paraId="00560B43" w14:textId="77777777" w:rsidR="00374F9C" w:rsidRDefault="00374F9C" w:rsidP="00595A0E">
      <w:pPr>
        <w:pStyle w:val="OFSCHeading2"/>
        <w:spacing w:after="200" w:line="276" w:lineRule="auto"/>
        <w:rPr>
          <w:rFonts w:eastAsiaTheme="minorEastAsia" w:cstheme="minorBidi"/>
          <w:color w:val="auto"/>
          <w:sz w:val="20"/>
          <w:szCs w:val="22"/>
          <w:lang w:val="en-AU" w:eastAsia="en-US"/>
        </w:rPr>
      </w:pPr>
    </w:p>
    <w:p w14:paraId="7FFACA00" w14:textId="77777777" w:rsidR="00595A0E" w:rsidRDefault="00595A0E" w:rsidP="00595A0E">
      <w:pPr>
        <w:pStyle w:val="OFSCHeading2"/>
        <w:spacing w:after="200" w:line="276" w:lineRule="auto"/>
        <w:rPr>
          <w:rFonts w:eastAsiaTheme="minorEastAsia" w:cstheme="minorBidi"/>
          <w:color w:val="auto"/>
          <w:sz w:val="20"/>
          <w:szCs w:val="22"/>
          <w:lang w:val="en-AU" w:eastAsia="en-US"/>
        </w:rPr>
      </w:pPr>
      <w:r>
        <w:rPr>
          <w:rFonts w:eastAsiaTheme="minorEastAsia" w:cstheme="minorBidi"/>
          <w:color w:val="auto"/>
          <w:sz w:val="20"/>
          <w:szCs w:val="22"/>
          <w:lang w:val="en-AU" w:eastAsia="en-US"/>
        </w:rPr>
        <w:t>T</w:t>
      </w:r>
      <w:r w:rsidRPr="00142118">
        <w:rPr>
          <w:rFonts w:eastAsiaTheme="minorEastAsia" w:cstheme="minorBidi"/>
          <w:color w:val="auto"/>
          <w:sz w:val="20"/>
          <w:szCs w:val="22"/>
          <w:lang w:val="en-AU" w:eastAsia="en-US"/>
        </w:rPr>
        <w:t xml:space="preserve">he following decisions </w:t>
      </w:r>
      <w:r>
        <w:rPr>
          <w:rFonts w:eastAsiaTheme="minorEastAsia" w:cstheme="minorBidi"/>
          <w:color w:val="auto"/>
          <w:sz w:val="20"/>
          <w:szCs w:val="22"/>
          <w:lang w:val="en-AU" w:eastAsia="en-US"/>
        </w:rPr>
        <w:t xml:space="preserve">of the FSC </w:t>
      </w:r>
      <w:r w:rsidRPr="00142118">
        <w:rPr>
          <w:rFonts w:eastAsiaTheme="minorEastAsia" w:cstheme="minorBidi"/>
          <w:color w:val="auto"/>
          <w:sz w:val="20"/>
          <w:szCs w:val="22"/>
          <w:lang w:val="en-AU" w:eastAsia="en-US"/>
        </w:rPr>
        <w:t>are reviewable.</w:t>
      </w:r>
    </w:p>
    <w:p w14:paraId="532458D6" w14:textId="77777777" w:rsidR="00595A0E" w:rsidRPr="00142118" w:rsidRDefault="00595A0E" w:rsidP="00595A0E">
      <w:pPr>
        <w:pStyle w:val="Heading2"/>
      </w:pPr>
      <w:r w:rsidRPr="00142118">
        <w:t>Table 1 – Reviewable decisions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65"/>
        <w:gridCol w:w="2084"/>
      </w:tblGrid>
      <w:tr w:rsidR="00595A0E" w:rsidRPr="00DD0921" w14:paraId="5C040847" w14:textId="77777777" w:rsidTr="00595A0E">
        <w:tc>
          <w:tcPr>
            <w:tcW w:w="2065" w:type="dxa"/>
            <w:tcBorders>
              <w:bottom w:val="nil"/>
            </w:tcBorders>
            <w:shd w:val="clear" w:color="auto" w:fill="000000" w:themeFill="text1"/>
          </w:tcPr>
          <w:p w14:paraId="3470F51E" w14:textId="77777777" w:rsidR="00595A0E" w:rsidRPr="00142118" w:rsidRDefault="00595A0E" w:rsidP="00AB1114">
            <w:pPr>
              <w:ind w:right="-120"/>
              <w:rPr>
                <w:color w:val="FFFFFF" w:themeColor="background2"/>
              </w:rPr>
            </w:pPr>
            <w:r w:rsidRPr="00142118">
              <w:rPr>
                <w:b/>
                <w:color w:val="FFFFFF" w:themeColor="background2"/>
              </w:rPr>
              <w:t>Decision</w:t>
            </w:r>
          </w:p>
        </w:tc>
        <w:tc>
          <w:tcPr>
            <w:tcW w:w="2084" w:type="dxa"/>
            <w:tcBorders>
              <w:bottom w:val="nil"/>
            </w:tcBorders>
            <w:shd w:val="clear" w:color="auto" w:fill="000000" w:themeFill="text1"/>
          </w:tcPr>
          <w:p w14:paraId="6C783E89" w14:textId="77777777" w:rsidR="00595A0E" w:rsidRPr="00142118" w:rsidRDefault="00595A0E" w:rsidP="00AB1114">
            <w:pPr>
              <w:ind w:right="-120"/>
              <w:rPr>
                <w:b/>
                <w:color w:val="FFFFFF" w:themeColor="background2"/>
              </w:rPr>
            </w:pPr>
            <w:r w:rsidRPr="00142118">
              <w:rPr>
                <w:b/>
                <w:color w:val="FFFFFF" w:themeColor="background2"/>
              </w:rPr>
              <w:t>Provision</w:t>
            </w:r>
            <w:r w:rsidR="0045155F">
              <w:rPr>
                <w:b/>
                <w:color w:val="FFFFFF" w:themeColor="background2"/>
              </w:rPr>
              <w:t>s</w:t>
            </w:r>
          </w:p>
        </w:tc>
      </w:tr>
      <w:tr w:rsidR="00595A0E" w:rsidRPr="00DD0921" w14:paraId="7105A3F1" w14:textId="77777777" w:rsidTr="00595A0E"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E6509" w14:textId="77777777" w:rsidR="00595A0E" w:rsidRPr="00142118" w:rsidRDefault="00595A0E" w:rsidP="00AB1114">
            <w:pPr>
              <w:ind w:right="-120"/>
            </w:pPr>
            <w:r w:rsidRPr="00142118">
              <w:t>To refuse to accredit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6CA8F" w14:textId="77777777" w:rsidR="00595A0E" w:rsidRPr="00142118" w:rsidRDefault="00595A0E" w:rsidP="00AB1114">
            <w:pPr>
              <w:pStyle w:val="OFSCHeading2"/>
              <w:spacing w:after="200" w:line="276" w:lineRule="auto"/>
              <w:rPr>
                <w:rFonts w:eastAsiaTheme="minorEastAsia" w:cstheme="minorBidi"/>
                <w:color w:val="auto"/>
                <w:sz w:val="20"/>
                <w:szCs w:val="22"/>
                <w:lang w:val="en-AU" w:eastAsia="en-US"/>
              </w:rPr>
            </w:pPr>
            <w:r w:rsidRPr="00142118">
              <w:rPr>
                <w:rFonts w:eastAsiaTheme="minorEastAsia" w:cstheme="minorBidi"/>
                <w:color w:val="auto"/>
                <w:sz w:val="20"/>
                <w:szCs w:val="22"/>
                <w:lang w:val="en-AU" w:eastAsia="en-US"/>
              </w:rPr>
              <w:t>Section 8(1)</w:t>
            </w:r>
          </w:p>
        </w:tc>
      </w:tr>
      <w:tr w:rsidR="00595A0E" w:rsidRPr="00DD0921" w14:paraId="602CECBB" w14:textId="77777777" w:rsidTr="00595A0E"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F4625" w14:textId="77777777" w:rsidR="00595A0E" w:rsidRPr="00142118" w:rsidRDefault="00595A0E" w:rsidP="00AB1114">
            <w:pPr>
              <w:ind w:right="-120"/>
            </w:pPr>
            <w:r w:rsidRPr="00142118">
              <w:t>To accredit for less than 6 years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2BB01" w14:textId="77777777" w:rsidR="00595A0E" w:rsidRPr="00142118" w:rsidRDefault="00595A0E" w:rsidP="00AB1114">
            <w:pPr>
              <w:ind w:right="-120"/>
            </w:pPr>
            <w:r w:rsidRPr="00142118">
              <w:t>Section 8</w:t>
            </w:r>
            <w:r>
              <w:t>(1</w:t>
            </w:r>
            <w:r w:rsidRPr="00142118">
              <w:t>)</w:t>
            </w:r>
          </w:p>
        </w:tc>
      </w:tr>
      <w:tr w:rsidR="00595A0E" w:rsidRPr="00DD0921" w14:paraId="50E9AFB0" w14:textId="77777777" w:rsidTr="00595A0E"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29F4C" w14:textId="692730FC" w:rsidR="00595A0E" w:rsidRPr="00142118" w:rsidRDefault="00595A0E" w:rsidP="00AB1114">
            <w:pPr>
              <w:ind w:right="-120"/>
            </w:pPr>
            <w:r w:rsidRPr="00142118">
              <w:t>To impose a condition o</w:t>
            </w:r>
            <w:r w:rsidR="0045155F">
              <w:t xml:space="preserve">n an </w:t>
            </w:r>
            <w:r w:rsidRPr="00142118">
              <w:t>accreditation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5E686" w14:textId="1D3F464F" w:rsidR="00595A0E" w:rsidRPr="00142118" w:rsidRDefault="00595A0E" w:rsidP="00AB1114">
            <w:pPr>
              <w:ind w:right="-120"/>
            </w:pPr>
            <w:r w:rsidRPr="00142118">
              <w:t xml:space="preserve">Section 16(1) </w:t>
            </w:r>
          </w:p>
          <w:p w14:paraId="65097A32" w14:textId="77777777" w:rsidR="00595A0E" w:rsidRPr="00142118" w:rsidRDefault="0045155F" w:rsidP="00AB1114">
            <w:pPr>
              <w:ind w:right="-120"/>
            </w:pPr>
            <w:r>
              <w:t>or paragraph</w:t>
            </w:r>
            <w:r w:rsidRPr="00142118">
              <w:t xml:space="preserve"> </w:t>
            </w:r>
            <w:r w:rsidR="00595A0E" w:rsidRPr="00142118">
              <w:t>18(1)</w:t>
            </w:r>
            <w:r>
              <w:t>(</w:t>
            </w:r>
            <w:r w:rsidR="00595A0E" w:rsidRPr="00142118">
              <w:t>a)</w:t>
            </w:r>
          </w:p>
          <w:p w14:paraId="37A1B000" w14:textId="77777777" w:rsidR="00595A0E" w:rsidRPr="00142118" w:rsidRDefault="00595A0E" w:rsidP="00AB1114">
            <w:pPr>
              <w:ind w:right="-120"/>
            </w:pPr>
          </w:p>
        </w:tc>
      </w:tr>
      <w:tr w:rsidR="00595A0E" w:rsidRPr="00DD0921" w14:paraId="0199CE0A" w14:textId="77777777" w:rsidTr="00595A0E"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5DBEA" w14:textId="77777777" w:rsidR="00595A0E" w:rsidRPr="00142118" w:rsidRDefault="00595A0E" w:rsidP="0045155F">
            <w:pPr>
              <w:ind w:right="-120"/>
            </w:pPr>
            <w:r w:rsidRPr="00142118">
              <w:t>To suspend an accreditation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265D7" w14:textId="41345C5F" w:rsidR="00595A0E" w:rsidRPr="00142118" w:rsidRDefault="0045155F" w:rsidP="00AB1114">
            <w:pPr>
              <w:ind w:right="-120"/>
            </w:pPr>
            <w:r>
              <w:t>Paragraph</w:t>
            </w:r>
            <w:r w:rsidRPr="00142118">
              <w:t xml:space="preserve"> </w:t>
            </w:r>
            <w:r w:rsidR="00595A0E" w:rsidRPr="00142118">
              <w:t>18(1)(b)</w:t>
            </w:r>
          </w:p>
        </w:tc>
      </w:tr>
      <w:tr w:rsidR="00595A0E" w:rsidRPr="00DD0921" w14:paraId="5A55EDB9" w14:textId="77777777" w:rsidTr="00595A0E"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1FC86" w14:textId="77777777" w:rsidR="00595A0E" w:rsidRPr="00142118" w:rsidRDefault="00595A0E" w:rsidP="0045155F">
            <w:pPr>
              <w:ind w:right="-120"/>
            </w:pPr>
            <w:r w:rsidRPr="00142118">
              <w:t xml:space="preserve">To revoke </w:t>
            </w:r>
            <w:proofErr w:type="gramStart"/>
            <w:r w:rsidRPr="00142118">
              <w:t>an  accreditation</w:t>
            </w:r>
            <w:proofErr w:type="gramEnd"/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15E93" w14:textId="77777777" w:rsidR="00595A0E" w:rsidRPr="00142118" w:rsidRDefault="0045155F" w:rsidP="00AB1114">
            <w:pPr>
              <w:ind w:right="-120"/>
            </w:pPr>
            <w:r>
              <w:t>Paragraph</w:t>
            </w:r>
            <w:r w:rsidRPr="00142118">
              <w:t xml:space="preserve"> </w:t>
            </w:r>
            <w:r w:rsidR="00595A0E" w:rsidRPr="00142118">
              <w:t xml:space="preserve">18(1)(c) or </w:t>
            </w:r>
            <w:r>
              <w:t xml:space="preserve">subsection </w:t>
            </w:r>
            <w:r w:rsidR="00595A0E" w:rsidRPr="00142118">
              <w:t>18(2)</w:t>
            </w:r>
          </w:p>
        </w:tc>
      </w:tr>
      <w:tr w:rsidR="00595A0E" w:rsidRPr="00DD0921" w14:paraId="2B4D7C58" w14:textId="77777777" w:rsidTr="00595A0E"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DB53F" w14:textId="77777777" w:rsidR="00595A0E" w:rsidRPr="00142118" w:rsidRDefault="00595A0E" w:rsidP="00AB1114">
            <w:pPr>
              <w:ind w:right="-120"/>
            </w:pPr>
            <w:r w:rsidRPr="00142118">
              <w:t>To refuse to cancel an accreditation on request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EF22D" w14:textId="77777777" w:rsidR="00595A0E" w:rsidRPr="00142118" w:rsidRDefault="00595A0E" w:rsidP="00AB1114">
            <w:pPr>
              <w:ind w:right="-120"/>
            </w:pPr>
            <w:r w:rsidRPr="00142118">
              <w:t>Section 21</w:t>
            </w:r>
          </w:p>
        </w:tc>
      </w:tr>
    </w:tbl>
    <w:p w14:paraId="56A80732" w14:textId="77777777" w:rsidR="00061972" w:rsidRDefault="00061972" w:rsidP="00EA7FA7">
      <w:pPr>
        <w:spacing w:before="200"/>
      </w:pPr>
      <w:r>
        <w:t>All reviewable decisions made by the FSC will be outlined in writing to the relevant applicant or accredited company and include information on how a review may be sought.</w:t>
      </w:r>
    </w:p>
    <w:p w14:paraId="0728F118" w14:textId="77777777" w:rsidR="00374F9C" w:rsidRDefault="00374F9C" w:rsidP="00EA7FA7">
      <w:pPr>
        <w:pStyle w:val="Heading1"/>
        <w:spacing w:before="200"/>
      </w:pPr>
    </w:p>
    <w:p w14:paraId="48B5D6B9" w14:textId="77777777" w:rsidR="00595A0E" w:rsidRPr="00F23561" w:rsidRDefault="00595A0E" w:rsidP="00EA7FA7">
      <w:pPr>
        <w:pStyle w:val="Heading1"/>
        <w:spacing w:before="200"/>
      </w:pPr>
      <w:r w:rsidRPr="00F23561">
        <w:t xml:space="preserve">Affected </w:t>
      </w:r>
      <w:r>
        <w:t>P</w:t>
      </w:r>
      <w:r w:rsidRPr="00F23561">
        <w:t>ersons</w:t>
      </w:r>
    </w:p>
    <w:p w14:paraId="02FB491C" w14:textId="77777777" w:rsidR="00595A0E" w:rsidRPr="00586E91" w:rsidRDefault="00595A0E" w:rsidP="00595A0E">
      <w:r w:rsidRPr="00586E91">
        <w:t xml:space="preserve">You may be an affected person if you have a relevant financial or proprietary interest over and beyond that of the </w:t>
      </w:r>
      <w:proofErr w:type="gramStart"/>
      <w:r w:rsidRPr="00586E91">
        <w:t>general public</w:t>
      </w:r>
      <w:proofErr w:type="gramEnd"/>
      <w:r w:rsidRPr="00586E91">
        <w:t>, and this interest has been or will be affected by the decision of the FSC.</w:t>
      </w:r>
    </w:p>
    <w:p w14:paraId="7D3058BD" w14:textId="77777777" w:rsidR="00595A0E" w:rsidRDefault="00595A0E" w:rsidP="00595A0E">
      <w:r w:rsidRPr="00586E91">
        <w:t xml:space="preserve">Affected persons are not limited to applicants for accreditation or accredited contractors.  </w:t>
      </w:r>
    </w:p>
    <w:p w14:paraId="42C932E3" w14:textId="77777777" w:rsidR="00595A0E" w:rsidRDefault="00595A0E" w:rsidP="00595A0E">
      <w:r w:rsidRPr="00586E91">
        <w:t>If you believe that you are an affected person, you may wish to formally request a review of the reviewable decision.</w:t>
      </w:r>
    </w:p>
    <w:p w14:paraId="3BB21258" w14:textId="77777777" w:rsidR="0045155F" w:rsidRDefault="0045155F">
      <w:pPr>
        <w:rPr>
          <w:rFonts w:ascii="Calibri" w:eastAsiaTheme="majorEastAsia" w:hAnsi="Calibri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14:paraId="397698AE" w14:textId="77777777" w:rsidR="00595A0E" w:rsidRPr="00F23561" w:rsidRDefault="00873914" w:rsidP="00595A0E">
      <w:pPr>
        <w:pStyle w:val="Heading1"/>
        <w:spacing w:before="200"/>
      </w:pPr>
      <w:r>
        <w:lastRenderedPageBreak/>
        <w:t>The Steps for Seeking a Review</w:t>
      </w:r>
      <w:r w:rsidR="00061972">
        <w:t>?</w:t>
      </w:r>
    </w:p>
    <w:p w14:paraId="15CC1578" w14:textId="172D0F49" w:rsidR="00873914" w:rsidRDefault="00873914">
      <w:r>
        <w:t>There are three main steps in seeking a review of a decision by the FSC. These are outlined below.</w:t>
      </w:r>
    </w:p>
    <w:p w14:paraId="5160504B" w14:textId="1593EAB3" w:rsidR="00873914" w:rsidRDefault="00873914" w:rsidP="00EA7FA7">
      <w:pPr>
        <w:pStyle w:val="Heading2"/>
        <w:spacing w:line="240" w:lineRule="auto"/>
      </w:pPr>
      <w:r>
        <w:t xml:space="preserve">Step 1 – Initial discussion with the Office of the Federal Safety Commissioner </w:t>
      </w:r>
    </w:p>
    <w:p w14:paraId="76F533D2" w14:textId="77777777" w:rsidR="00873914" w:rsidRPr="00B12E23" w:rsidRDefault="00873914" w:rsidP="00873914">
      <w:r>
        <w:t>As a first step,</w:t>
      </w:r>
      <w:r w:rsidRPr="00B12E23">
        <w:t xml:space="preserve"> </w:t>
      </w:r>
      <w:r>
        <w:t xml:space="preserve">the affected person is encouraged to </w:t>
      </w:r>
      <w:r w:rsidRPr="00B12E23">
        <w:t xml:space="preserve">discuss </w:t>
      </w:r>
      <w:r>
        <w:t>their</w:t>
      </w:r>
      <w:r w:rsidRPr="00B12E23">
        <w:t xml:space="preserve"> concerns with the contact person mentioned in the correspondence from the FSC.</w:t>
      </w:r>
      <w:r>
        <w:t xml:space="preserve"> </w:t>
      </w:r>
      <w:r w:rsidRPr="00B12E23">
        <w:t>The contact person will be a staff member of the Office of the Federal Safety Commissioner (OFSC).</w:t>
      </w:r>
    </w:p>
    <w:p w14:paraId="37D1F2AE" w14:textId="77777777" w:rsidR="00873914" w:rsidRPr="00B12E23" w:rsidRDefault="00873914" w:rsidP="00873914">
      <w:r w:rsidRPr="00B12E23">
        <w:t xml:space="preserve">This provides </w:t>
      </w:r>
      <w:r>
        <w:t>the affected person and</w:t>
      </w:r>
      <w:r w:rsidRPr="00B12E23">
        <w:t xml:space="preserve"> the OFSC with the opportunity to clarify any issue, explain the effects of the decision and correct any possible misunderstandings.</w:t>
      </w:r>
    </w:p>
    <w:p w14:paraId="0C57CC90" w14:textId="77777777" w:rsidR="00873914" w:rsidRDefault="00873914" w:rsidP="00873914">
      <w:pPr>
        <w:pStyle w:val="OFSCHeading2"/>
        <w:spacing w:after="200"/>
        <w:rPr>
          <w:rFonts w:eastAsiaTheme="minorEastAsia" w:cstheme="minorBidi"/>
          <w:color w:val="auto"/>
          <w:sz w:val="20"/>
          <w:szCs w:val="22"/>
          <w:lang w:val="en-AU" w:eastAsia="en-US"/>
        </w:rPr>
      </w:pPr>
      <w:r w:rsidRPr="00281226">
        <w:rPr>
          <w:rFonts w:eastAsiaTheme="minorEastAsia" w:cstheme="minorBidi"/>
          <w:color w:val="auto"/>
          <w:sz w:val="20"/>
          <w:szCs w:val="22"/>
          <w:lang w:val="en-AU" w:eastAsia="en-US"/>
        </w:rPr>
        <w:t>If</w:t>
      </w:r>
      <w:r>
        <w:rPr>
          <w:rFonts w:eastAsiaTheme="minorEastAsia" w:cstheme="minorBidi"/>
          <w:color w:val="auto"/>
          <w:sz w:val="20"/>
          <w:szCs w:val="22"/>
          <w:lang w:val="en-AU" w:eastAsia="en-US"/>
        </w:rPr>
        <w:t xml:space="preserve"> the affected person</w:t>
      </w:r>
      <w:r w:rsidRPr="00281226">
        <w:rPr>
          <w:rFonts w:eastAsiaTheme="minorEastAsia" w:cstheme="minorBidi"/>
          <w:color w:val="auto"/>
          <w:sz w:val="20"/>
          <w:szCs w:val="22"/>
          <w:lang w:val="en-AU" w:eastAsia="en-US"/>
        </w:rPr>
        <w:t xml:space="preserve"> still do</w:t>
      </w:r>
      <w:r>
        <w:rPr>
          <w:rFonts w:eastAsiaTheme="minorEastAsia" w:cstheme="minorBidi"/>
          <w:color w:val="auto"/>
          <w:sz w:val="20"/>
          <w:szCs w:val="22"/>
          <w:lang w:val="en-AU" w:eastAsia="en-US"/>
        </w:rPr>
        <w:t>es</w:t>
      </w:r>
      <w:r w:rsidRPr="00281226">
        <w:rPr>
          <w:rFonts w:eastAsiaTheme="minorEastAsia" w:cstheme="minorBidi"/>
          <w:color w:val="auto"/>
          <w:sz w:val="20"/>
          <w:szCs w:val="22"/>
          <w:lang w:val="en-AU" w:eastAsia="en-US"/>
        </w:rPr>
        <w:t xml:space="preserve"> not agree with the decision after a discussion with the contact officer, </w:t>
      </w:r>
      <w:r>
        <w:rPr>
          <w:rFonts w:eastAsiaTheme="minorEastAsia" w:cstheme="minorBidi"/>
          <w:color w:val="auto"/>
          <w:sz w:val="20"/>
          <w:szCs w:val="22"/>
          <w:lang w:val="en-AU" w:eastAsia="en-US"/>
        </w:rPr>
        <w:t>they</w:t>
      </w:r>
      <w:r w:rsidRPr="00281226">
        <w:rPr>
          <w:rFonts w:eastAsiaTheme="minorEastAsia" w:cstheme="minorBidi"/>
          <w:color w:val="auto"/>
          <w:sz w:val="20"/>
          <w:szCs w:val="22"/>
          <w:lang w:val="en-AU" w:eastAsia="en-US"/>
        </w:rPr>
        <w:t xml:space="preserve"> may request a</w:t>
      </w:r>
      <w:r>
        <w:rPr>
          <w:rFonts w:eastAsiaTheme="minorEastAsia" w:cstheme="minorBidi"/>
          <w:color w:val="auto"/>
          <w:sz w:val="20"/>
          <w:szCs w:val="22"/>
          <w:lang w:val="en-AU" w:eastAsia="en-US"/>
        </w:rPr>
        <w:t>n internal</w:t>
      </w:r>
      <w:r w:rsidRPr="00281226">
        <w:rPr>
          <w:rFonts w:eastAsiaTheme="minorEastAsia" w:cstheme="minorBidi"/>
          <w:color w:val="auto"/>
          <w:sz w:val="20"/>
          <w:szCs w:val="22"/>
          <w:lang w:val="en-AU" w:eastAsia="en-US"/>
        </w:rPr>
        <w:t xml:space="preserve"> review of the decision.</w:t>
      </w:r>
    </w:p>
    <w:p w14:paraId="1F4F7181" w14:textId="77777777" w:rsidR="00873914" w:rsidRPr="00EA7FA7" w:rsidRDefault="00873914" w:rsidP="00EA7FA7">
      <w:pPr>
        <w:pStyle w:val="Heading2"/>
        <w:spacing w:line="240" w:lineRule="auto"/>
      </w:pPr>
      <w:r w:rsidRPr="00EA7FA7">
        <w:t xml:space="preserve">Step 2 – Internal </w:t>
      </w:r>
      <w:r w:rsidR="006F4D48" w:rsidRPr="00EA7FA7">
        <w:t>Review of D</w:t>
      </w:r>
      <w:r w:rsidRPr="00EA7FA7">
        <w:t xml:space="preserve">ecision </w:t>
      </w:r>
    </w:p>
    <w:p w14:paraId="45C21663" w14:textId="77777777" w:rsidR="00A766C4" w:rsidRPr="00EA7FA7" w:rsidRDefault="006F4D48" w:rsidP="00A766C4">
      <w:r w:rsidRPr="00EA7FA7">
        <w:t>A</w:t>
      </w:r>
      <w:r w:rsidR="00A766C4" w:rsidRPr="00EA7FA7">
        <w:t xml:space="preserve"> request for a</w:t>
      </w:r>
      <w:r w:rsidRPr="00EA7FA7">
        <w:t>n Internal Review</w:t>
      </w:r>
      <w:r w:rsidR="00A766C4" w:rsidRPr="00EA7FA7">
        <w:t xml:space="preserve"> must be in writing and must give the reasons for </w:t>
      </w:r>
      <w:r w:rsidRPr="00EA7FA7">
        <w:t xml:space="preserve">the </w:t>
      </w:r>
      <w:r w:rsidR="00A766C4" w:rsidRPr="00EA7FA7">
        <w:t xml:space="preserve">request. An appeal form is available at </w:t>
      </w:r>
      <w:hyperlink r:id="rId18" w:history="1">
        <w:r w:rsidR="00A766C4" w:rsidRPr="00EA7FA7">
          <w:rPr>
            <w:u w:val="single"/>
          </w:rPr>
          <w:t>www.fsc.gov.au</w:t>
        </w:r>
      </w:hyperlink>
      <w:r w:rsidR="00A766C4" w:rsidRPr="00EA7FA7">
        <w:t>.</w:t>
      </w:r>
    </w:p>
    <w:p w14:paraId="41E1BA78" w14:textId="77777777" w:rsidR="00A766C4" w:rsidRPr="00EA7FA7" w:rsidRDefault="006F4D48" w:rsidP="00A766C4">
      <w:r w:rsidRPr="00EA7FA7">
        <w:t xml:space="preserve">The affected person </w:t>
      </w:r>
      <w:r w:rsidR="00A766C4" w:rsidRPr="00EA7FA7">
        <w:t xml:space="preserve">must lodge </w:t>
      </w:r>
      <w:r w:rsidRPr="00EA7FA7">
        <w:t xml:space="preserve">the </w:t>
      </w:r>
      <w:r w:rsidR="00A766C4" w:rsidRPr="00EA7FA7">
        <w:t xml:space="preserve">request for review within 28 days after the date that </w:t>
      </w:r>
      <w:r w:rsidRPr="00EA7FA7">
        <w:t xml:space="preserve">the applicant or accredited entity </w:t>
      </w:r>
      <w:r w:rsidR="00A766C4" w:rsidRPr="00EA7FA7">
        <w:t>first received notification of the decision.</w:t>
      </w:r>
      <w:r w:rsidRPr="00EA7FA7">
        <w:t xml:space="preserve"> There is no </w:t>
      </w:r>
      <w:r w:rsidR="00E52D5A" w:rsidRPr="00EA7FA7">
        <w:t>fee</w:t>
      </w:r>
      <w:r w:rsidRPr="00EA7FA7">
        <w:t xml:space="preserve"> to seek an Internal Review.</w:t>
      </w:r>
    </w:p>
    <w:p w14:paraId="0BBB53A8" w14:textId="77777777" w:rsidR="00A766C4" w:rsidRPr="00EA7FA7" w:rsidRDefault="00E33DAE" w:rsidP="00A766C4">
      <w:r>
        <w:t>The</w:t>
      </w:r>
      <w:r w:rsidR="00A766C4" w:rsidRPr="00EA7FA7">
        <w:t xml:space="preserve"> </w:t>
      </w:r>
      <w:r>
        <w:t>review will be conducted by</w:t>
      </w:r>
      <w:r w:rsidR="00A766C4" w:rsidRPr="00EA7FA7">
        <w:t xml:space="preserve"> a senior officer</w:t>
      </w:r>
      <w:r w:rsidR="001F2D91" w:rsidRPr="00EA7FA7">
        <w:t xml:space="preserve"> of the </w:t>
      </w:r>
      <w:r w:rsidR="002378C8">
        <w:t>Attorney-General’s Department</w:t>
      </w:r>
      <w:r w:rsidR="00A766C4" w:rsidRPr="00EA7FA7">
        <w:t xml:space="preserve"> who was not involved in the initial decision-making process.  </w:t>
      </w:r>
    </w:p>
    <w:p w14:paraId="2C850124" w14:textId="77777777" w:rsidR="00A766C4" w:rsidRPr="00EA7FA7" w:rsidRDefault="00A766C4" w:rsidP="00A766C4">
      <w:r w:rsidRPr="00EA7FA7">
        <w:t>The reviewer will:</w:t>
      </w:r>
    </w:p>
    <w:p w14:paraId="058982E5" w14:textId="77777777" w:rsidR="00846C8E" w:rsidRPr="00EA7FA7" w:rsidRDefault="00846C8E" w:rsidP="00A766C4">
      <w:pPr>
        <w:pStyle w:val="ListBullet"/>
        <w:spacing w:after="200"/>
        <w:ind w:left="369" w:right="-120" w:hanging="369"/>
      </w:pPr>
      <w:r w:rsidRPr="00EA7FA7">
        <w:t>write to the affected person advising that they will be undertaking a review of the decision</w:t>
      </w:r>
    </w:p>
    <w:p w14:paraId="076F433E" w14:textId="77777777" w:rsidR="00A766C4" w:rsidRPr="00EA7FA7" w:rsidRDefault="00A766C4" w:rsidP="00A766C4">
      <w:pPr>
        <w:pStyle w:val="ListBullet"/>
        <w:spacing w:after="200"/>
        <w:ind w:left="369" w:right="-120" w:hanging="369"/>
      </w:pPr>
      <w:r w:rsidRPr="00EA7FA7">
        <w:t>look at the information used by the person who made the initial decision</w:t>
      </w:r>
    </w:p>
    <w:p w14:paraId="52734FE7" w14:textId="77777777" w:rsidR="00A766C4" w:rsidRPr="00EA7FA7" w:rsidRDefault="00A766C4" w:rsidP="00A766C4">
      <w:pPr>
        <w:pStyle w:val="ListBullet"/>
        <w:spacing w:after="200"/>
        <w:ind w:left="369" w:right="-120" w:hanging="369"/>
      </w:pPr>
      <w:r w:rsidRPr="00EA7FA7">
        <w:t>look at any new information that may have</w:t>
      </w:r>
      <w:r w:rsidR="002032B9" w:rsidRPr="00EA7FA7">
        <w:t xml:space="preserve"> been</w:t>
      </w:r>
      <w:r w:rsidRPr="00EA7FA7">
        <w:t xml:space="preserve"> provided</w:t>
      </w:r>
    </w:p>
    <w:p w14:paraId="2CCD3B78" w14:textId="77777777" w:rsidR="00A766C4" w:rsidRPr="00EA7FA7" w:rsidRDefault="00A766C4" w:rsidP="00A766C4">
      <w:pPr>
        <w:pStyle w:val="ListBullet"/>
        <w:spacing w:after="200"/>
        <w:ind w:left="369" w:right="-120" w:hanging="369"/>
      </w:pPr>
      <w:r w:rsidRPr="00EA7FA7">
        <w:t>clear up any misunderstanding</w:t>
      </w:r>
    </w:p>
    <w:p w14:paraId="586F294F" w14:textId="77777777" w:rsidR="00A766C4" w:rsidRPr="00EA7FA7" w:rsidRDefault="00A766C4" w:rsidP="00A766C4">
      <w:pPr>
        <w:pStyle w:val="ListBullet"/>
        <w:spacing w:after="200"/>
        <w:ind w:left="369" w:right="-120" w:hanging="369"/>
      </w:pPr>
      <w:r w:rsidRPr="00EA7FA7">
        <w:t>correct any errors, if applicable and</w:t>
      </w:r>
    </w:p>
    <w:p w14:paraId="3B9096D0" w14:textId="77777777" w:rsidR="00A766C4" w:rsidRPr="00EA7FA7" w:rsidRDefault="00A766C4" w:rsidP="00A766C4">
      <w:pPr>
        <w:pStyle w:val="ListBullet"/>
        <w:spacing w:after="200"/>
        <w:ind w:left="369" w:right="-120" w:hanging="369"/>
      </w:pPr>
      <w:r w:rsidRPr="00EA7FA7">
        <w:t xml:space="preserve">decide whether the initial decision should be upheld, </w:t>
      </w:r>
      <w:proofErr w:type="gramStart"/>
      <w:r w:rsidRPr="00EA7FA7">
        <w:t>varied</w:t>
      </w:r>
      <w:proofErr w:type="gramEnd"/>
      <w:r w:rsidRPr="00EA7FA7">
        <w:t xml:space="preserve"> or set aside.</w:t>
      </w:r>
      <w:r w:rsidR="00C53434" w:rsidRPr="00EA7FA7">
        <w:rPr>
          <w:rFonts w:cstheme="minorHAnsi"/>
          <w:noProof/>
        </w:rPr>
        <w:t xml:space="preserve"> </w:t>
      </w:r>
    </w:p>
    <w:p w14:paraId="34F67E9B" w14:textId="77777777" w:rsidR="00C53434" w:rsidRPr="00EA7FA7" w:rsidRDefault="00A766C4" w:rsidP="00A766C4">
      <w:r w:rsidRPr="00EA7FA7">
        <w:t xml:space="preserve">The reviewer has 90 days from receipt of </w:t>
      </w:r>
      <w:r w:rsidR="006F4D48" w:rsidRPr="00EA7FA7">
        <w:t xml:space="preserve">the </w:t>
      </w:r>
      <w:r w:rsidRPr="00EA7FA7">
        <w:t xml:space="preserve">request for review to </w:t>
      </w:r>
      <w:proofErr w:type="gramStart"/>
      <w:r w:rsidRPr="00EA7FA7">
        <w:t>make a decision</w:t>
      </w:r>
      <w:proofErr w:type="gramEnd"/>
      <w:r w:rsidRPr="00EA7FA7">
        <w:t>. The reviewer is deemed to have upheld the initial decision if a decision has not otherwise been made within this timeframe.</w:t>
      </w:r>
    </w:p>
    <w:p w14:paraId="6F63E05D" w14:textId="77777777" w:rsidR="00A766C4" w:rsidRPr="00EA7FA7" w:rsidRDefault="00A766C4" w:rsidP="00A766C4">
      <w:r w:rsidRPr="00EA7FA7">
        <w:t xml:space="preserve">Written notice of the outcome of the review and reasons for the decision will be provided to </w:t>
      </w:r>
      <w:r w:rsidR="006F4D48" w:rsidRPr="00EA7FA7">
        <w:t xml:space="preserve">the affected person </w:t>
      </w:r>
      <w:r w:rsidRPr="00EA7FA7">
        <w:t xml:space="preserve">within 28 days of the </w:t>
      </w:r>
      <w:r w:rsidR="006F4D48" w:rsidRPr="00EA7FA7">
        <w:t xml:space="preserve">review </w:t>
      </w:r>
      <w:r w:rsidRPr="00EA7FA7">
        <w:t>decision being made.</w:t>
      </w:r>
    </w:p>
    <w:p w14:paraId="65A34ABE" w14:textId="77777777" w:rsidR="00DB6982" w:rsidRPr="00EA7FA7" w:rsidRDefault="00DB6982" w:rsidP="00EA7FA7">
      <w:pPr>
        <w:pStyle w:val="Heading2"/>
        <w:spacing w:line="240" w:lineRule="auto"/>
      </w:pPr>
      <w:r w:rsidRPr="00EA7FA7">
        <w:t xml:space="preserve">Step 3 – External Review of decision </w:t>
      </w:r>
    </w:p>
    <w:p w14:paraId="447737B6" w14:textId="77777777" w:rsidR="006F4D48" w:rsidRPr="00EA7FA7" w:rsidRDefault="00A766C4" w:rsidP="006F4D48">
      <w:r w:rsidRPr="00EA7FA7">
        <w:t xml:space="preserve">If </w:t>
      </w:r>
      <w:r w:rsidR="002032B9" w:rsidRPr="00EA7FA7">
        <w:t xml:space="preserve">the affected person </w:t>
      </w:r>
      <w:r w:rsidRPr="00EA7FA7">
        <w:t>do</w:t>
      </w:r>
      <w:r w:rsidR="002032B9" w:rsidRPr="00EA7FA7">
        <w:t>es</w:t>
      </w:r>
      <w:r w:rsidRPr="00EA7FA7">
        <w:t xml:space="preserve"> not agree with the decision</w:t>
      </w:r>
      <w:r w:rsidR="00DB6982" w:rsidRPr="00EA7FA7">
        <w:t xml:space="preserve"> made by the internal </w:t>
      </w:r>
      <w:r w:rsidRPr="00EA7FA7">
        <w:t xml:space="preserve">reviewer, </w:t>
      </w:r>
      <w:r w:rsidR="002032B9" w:rsidRPr="00EA7FA7">
        <w:t xml:space="preserve">they </w:t>
      </w:r>
      <w:r w:rsidRPr="00EA7FA7">
        <w:t>can then apply to the Administrative Appeals Tribunal (AAT) for a</w:t>
      </w:r>
      <w:r w:rsidR="00DB6982" w:rsidRPr="00EA7FA7">
        <w:t>n external</w:t>
      </w:r>
      <w:r w:rsidRPr="00EA7FA7">
        <w:t xml:space="preserve"> review of the decision.</w:t>
      </w:r>
      <w:r w:rsidR="00DB6982" w:rsidRPr="00EA7FA7">
        <w:t xml:space="preserve"> Please note that the AAT</w:t>
      </w:r>
      <w:r w:rsidR="006F4D48" w:rsidRPr="00EA7FA7">
        <w:t xml:space="preserve"> </w:t>
      </w:r>
      <w:r w:rsidR="00DB6982" w:rsidRPr="00EA7FA7">
        <w:t>will not conduct the external review unless the internal review has been completed.</w:t>
      </w:r>
    </w:p>
    <w:p w14:paraId="2CA10F0B" w14:textId="77777777" w:rsidR="00A766C4" w:rsidRPr="00EA7FA7" w:rsidRDefault="00A766C4" w:rsidP="00A766C4">
      <w:r w:rsidRPr="00EA7FA7">
        <w:t>The AAT is an independent body that resolves disputes between individuals and government agencies, including the FSC.</w:t>
      </w:r>
    </w:p>
    <w:p w14:paraId="39CAEF3D" w14:textId="77777777" w:rsidR="00A766C4" w:rsidRPr="00EA7FA7" w:rsidRDefault="00A766C4" w:rsidP="00A766C4">
      <w:r w:rsidRPr="00EA7FA7">
        <w:t xml:space="preserve">The AAT may affirm, </w:t>
      </w:r>
      <w:proofErr w:type="gramStart"/>
      <w:r w:rsidRPr="00EA7FA7">
        <w:t>vary</w:t>
      </w:r>
      <w:proofErr w:type="gramEnd"/>
      <w:r w:rsidRPr="00EA7FA7">
        <w:t xml:space="preserve"> or set aside the decision of the reviewer. More information on appealing to the AAT is available at </w:t>
      </w:r>
      <w:hyperlink r:id="rId19" w:history="1">
        <w:r w:rsidRPr="00E33DAE">
          <w:rPr>
            <w:u w:val="single"/>
          </w:rPr>
          <w:t>www.aat.gov.au</w:t>
        </w:r>
      </w:hyperlink>
      <w:r w:rsidRPr="00EA7FA7">
        <w:t>.</w:t>
      </w:r>
      <w:r w:rsidR="00E52D5A" w:rsidRPr="00EA7FA7">
        <w:t xml:space="preserve"> Please note that fees may apply in seeking a review by the AAT.</w:t>
      </w:r>
    </w:p>
    <w:p w14:paraId="3948D39F" w14:textId="77777777" w:rsidR="00374F9C" w:rsidRDefault="00374F9C" w:rsidP="00DB6982">
      <w:pPr>
        <w:pStyle w:val="Heading1"/>
        <w:spacing w:before="200"/>
      </w:pPr>
    </w:p>
    <w:p w14:paraId="39EB5A25" w14:textId="77777777" w:rsidR="00DB6982" w:rsidRPr="00EA7FA7" w:rsidRDefault="00DB6982" w:rsidP="00DB6982">
      <w:pPr>
        <w:pStyle w:val="Heading1"/>
        <w:spacing w:before="200"/>
      </w:pPr>
      <w:r w:rsidRPr="00EA7FA7">
        <w:t>Lodging a Complaint</w:t>
      </w:r>
    </w:p>
    <w:p w14:paraId="14EE200D" w14:textId="77777777" w:rsidR="00DB6982" w:rsidRPr="00586E91" w:rsidRDefault="00A21460" w:rsidP="00DB6982">
      <w:r w:rsidRPr="00EA7FA7">
        <w:t>Separate arrangements are in place to cover complaints related to the Scheme or the administration of the Scheme by the OFSC. The process is detailed in our fact sheet: Complaints Process.</w:t>
      </w:r>
    </w:p>
    <w:p w14:paraId="0E5047B3" w14:textId="77777777" w:rsidR="00A21460" w:rsidRDefault="00A21460">
      <w:pPr>
        <w:rPr>
          <w:rFonts w:ascii="Calibri" w:eastAsiaTheme="majorEastAsia" w:hAnsi="Calibri" w:cstheme="majorBidi"/>
          <w:b/>
          <w:bCs/>
          <w:color w:val="000000" w:themeColor="text1"/>
          <w:sz w:val="32"/>
          <w:szCs w:val="28"/>
          <w:highlight w:val="yellow"/>
        </w:rPr>
      </w:pPr>
      <w:r>
        <w:rPr>
          <w:highlight w:val="yellow"/>
        </w:rPr>
        <w:br w:type="page"/>
      </w:r>
    </w:p>
    <w:p w14:paraId="38DB619D" w14:textId="77777777" w:rsidR="000B5B61" w:rsidRPr="00EA7FA7" w:rsidRDefault="006F42A9" w:rsidP="000B5B61">
      <w:pPr>
        <w:pStyle w:val="Heading1"/>
        <w:spacing w:before="200"/>
      </w:pPr>
      <w:r w:rsidRPr="00EA7FA7">
        <w:rPr>
          <w:rFonts w:cstheme="minorHAnsi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4D15652" wp14:editId="6DE92F0D">
                <wp:simplePos x="0" y="0"/>
                <wp:positionH relativeFrom="margin">
                  <wp:posOffset>2933700</wp:posOffset>
                </wp:positionH>
                <wp:positionV relativeFrom="paragraph">
                  <wp:posOffset>0</wp:posOffset>
                </wp:positionV>
                <wp:extent cx="2714625" cy="3476625"/>
                <wp:effectExtent l="0" t="0" r="28575" b="285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476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E0E32B7" w14:textId="3871F9F7" w:rsidR="002E2AD4" w:rsidRDefault="002E2AD4" w:rsidP="002E2AD4">
                            <w:pPr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This fact sheet was last updated </w:t>
                            </w:r>
                            <w:r w:rsidR="003B5590">
                              <w:rPr>
                                <w:rFonts w:ascii="Calibri" w:hAnsi="Calibri" w:cs="Calibri"/>
                                <w:szCs w:val="20"/>
                              </w:rPr>
                              <w:t>2</w:t>
                            </w:r>
                            <w:r w:rsidR="008052D3">
                              <w:rPr>
                                <w:rFonts w:ascii="Calibri" w:hAnsi="Calibri" w:cs="Calibri"/>
                                <w:szCs w:val="20"/>
                              </w:rPr>
                              <w:t>7</w:t>
                            </w:r>
                            <w:r w:rsidR="0034261B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</w:t>
                            </w:r>
                            <w:r w:rsidR="008052D3">
                              <w:rPr>
                                <w:rFonts w:ascii="Calibri" w:hAnsi="Calibri" w:cs="Calibri"/>
                                <w:szCs w:val="20"/>
                              </w:rPr>
                              <w:t>March</w:t>
                            </w:r>
                            <w:r w:rsidR="0034261B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2023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. The Office of the Federal Safety Commissioner (OFSC) has prepared this fact sheet for general information only, and it does not replace professional advice. This fact sheet is derived from a variety of sources and has been prepared without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>taking into account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your individual objectives, situations or needs. You should consider your personal circumstances, and if appropriate, seek independent legal,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>financial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or other professional advice before acting. The OFSC has endeavoured to ensure the currency and completeness of the information in this fact sheet at the time of publication; however, this information may change over time. The OFSC expressly disclaims any liability caused, whether directly or indirectly, to any person in respect of any action taken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>on the basis of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the content of this fact sheet.</w:t>
                            </w:r>
                          </w:p>
                          <w:p w14:paraId="71BC6F0B" w14:textId="77777777" w:rsidR="002032B9" w:rsidRPr="009C1375" w:rsidRDefault="002032B9" w:rsidP="002032B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156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1pt;margin-top:0;width:213.75pt;height:273.75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" filled="f" strokecolor="#c00000" strokeweight=".5pt">
                <v:textbox>
                  <w:txbxContent>
                    <w:p w14:paraId="2E0E32B7" w14:textId="3871F9F7" w:rsidR="002E2AD4" w:rsidRDefault="002E2AD4" w:rsidP="002E2AD4">
                      <w:pPr>
                        <w:rPr>
                          <w:rFonts w:ascii="Calibri" w:hAnsi="Calibri" w:cs="Calibri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Cs w:val="20"/>
                        </w:rPr>
                        <w:t xml:space="preserve">This fact sheet was last updated </w:t>
                      </w:r>
                      <w:r w:rsidR="003B5590">
                        <w:rPr>
                          <w:rFonts w:ascii="Calibri" w:hAnsi="Calibri" w:cs="Calibri"/>
                          <w:szCs w:val="20"/>
                        </w:rPr>
                        <w:t>2</w:t>
                      </w:r>
                      <w:r w:rsidR="008052D3">
                        <w:rPr>
                          <w:rFonts w:ascii="Calibri" w:hAnsi="Calibri" w:cs="Calibri"/>
                          <w:szCs w:val="20"/>
                        </w:rPr>
                        <w:t>7</w:t>
                      </w:r>
                      <w:r w:rsidR="0034261B">
                        <w:rPr>
                          <w:rFonts w:ascii="Calibri" w:hAnsi="Calibri" w:cs="Calibri"/>
                          <w:szCs w:val="20"/>
                        </w:rPr>
                        <w:t xml:space="preserve"> </w:t>
                      </w:r>
                      <w:r w:rsidR="008052D3">
                        <w:rPr>
                          <w:rFonts w:ascii="Calibri" w:hAnsi="Calibri" w:cs="Calibri"/>
                          <w:szCs w:val="20"/>
                        </w:rPr>
                        <w:t>March</w:t>
                      </w:r>
                      <w:r w:rsidR="0034261B">
                        <w:rPr>
                          <w:rFonts w:ascii="Calibri" w:hAnsi="Calibri" w:cs="Calibri"/>
                          <w:szCs w:val="20"/>
                        </w:rPr>
                        <w:t xml:space="preserve"> 2023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 xml:space="preserve">. The Office of the Federal Safety Commissioner (OFSC) has prepared this fact sheet for general information only, and it does not replace professional advice. This fact sheet is derived from a variety of sources and has been prepared without </w:t>
                      </w:r>
                      <w:proofErr w:type="gramStart"/>
                      <w:r>
                        <w:rPr>
                          <w:rFonts w:ascii="Calibri" w:hAnsi="Calibri" w:cs="Calibri"/>
                          <w:szCs w:val="20"/>
                        </w:rPr>
                        <w:t>taking into account</w:t>
                      </w:r>
                      <w:proofErr w:type="gramEnd"/>
                      <w:r>
                        <w:rPr>
                          <w:rFonts w:ascii="Calibri" w:hAnsi="Calibri" w:cs="Calibri"/>
                          <w:szCs w:val="20"/>
                        </w:rPr>
                        <w:t xml:space="preserve"> your individual objectives, situations or needs. You should consider your personal circumstances, and if appropriate, seek independent legal, </w:t>
                      </w:r>
                      <w:proofErr w:type="gramStart"/>
                      <w:r>
                        <w:rPr>
                          <w:rFonts w:ascii="Calibri" w:hAnsi="Calibri" w:cs="Calibri"/>
                          <w:szCs w:val="20"/>
                        </w:rPr>
                        <w:t>financial</w:t>
                      </w:r>
                      <w:proofErr w:type="gramEnd"/>
                      <w:r>
                        <w:rPr>
                          <w:rFonts w:ascii="Calibri" w:hAnsi="Calibri" w:cs="Calibri"/>
                          <w:szCs w:val="20"/>
                        </w:rPr>
                        <w:t xml:space="preserve"> or other professional advice before acting. The OFSC has endeavoured to ensure the currency and completeness of the information in this fact sheet at the time of publication; however, this information may change over time. The OFSC expressly disclaims any liability caused, whether directly or indirectly, to any person in respect of any action taken </w:t>
                      </w:r>
                      <w:proofErr w:type="gramStart"/>
                      <w:r>
                        <w:rPr>
                          <w:rFonts w:ascii="Calibri" w:hAnsi="Calibri" w:cs="Calibri"/>
                          <w:szCs w:val="20"/>
                        </w:rPr>
                        <w:t>on the basis of</w:t>
                      </w:r>
                      <w:proofErr w:type="gramEnd"/>
                      <w:r>
                        <w:rPr>
                          <w:rFonts w:ascii="Calibri" w:hAnsi="Calibri" w:cs="Calibri"/>
                          <w:szCs w:val="20"/>
                        </w:rPr>
                        <w:t xml:space="preserve"> the content of this fact sheet.</w:t>
                      </w:r>
                    </w:p>
                    <w:p w14:paraId="71BC6F0B" w14:textId="77777777" w:rsidR="002032B9" w:rsidRPr="009C1375" w:rsidRDefault="002032B9" w:rsidP="002032B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5B61" w:rsidRPr="00EA7FA7">
        <w:t>Freedom of Information</w:t>
      </w:r>
    </w:p>
    <w:p w14:paraId="533C97BB" w14:textId="77777777" w:rsidR="000B5B61" w:rsidRPr="00EA7FA7" w:rsidRDefault="002032B9" w:rsidP="000B5B61">
      <w:r w:rsidRPr="00EA7FA7">
        <w:t>F</w:t>
      </w:r>
      <w:r w:rsidR="000B5B61" w:rsidRPr="00EA7FA7">
        <w:t xml:space="preserve">urther information or documents about a reviewable decision </w:t>
      </w:r>
      <w:r w:rsidRPr="00EA7FA7">
        <w:t xml:space="preserve">may be able to be obtained </w:t>
      </w:r>
      <w:r w:rsidR="000B5B61" w:rsidRPr="00EA7FA7">
        <w:t xml:space="preserve">by making a request under the </w:t>
      </w:r>
      <w:r w:rsidR="000B5B61" w:rsidRPr="00E33DAE">
        <w:rPr>
          <w:i/>
        </w:rPr>
        <w:t>Freedom of Information Act 1982</w:t>
      </w:r>
      <w:r w:rsidR="000B5B61" w:rsidRPr="00EA7FA7">
        <w:t>.  Further information about how to make a request is available at:</w:t>
      </w:r>
    </w:p>
    <w:p w14:paraId="5695B6A7" w14:textId="094C2AED" w:rsidR="00281226" w:rsidRPr="002378C8" w:rsidRDefault="001C343B" w:rsidP="00EA7FA7">
      <w:r w:rsidRPr="002378C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5BEE675" wp14:editId="0D63BEE6">
                <wp:simplePos x="0" y="0"/>
                <wp:positionH relativeFrom="column">
                  <wp:align>right</wp:align>
                </wp:positionH>
                <wp:positionV relativeFrom="paragraph">
                  <wp:posOffset>828040</wp:posOffset>
                </wp:positionV>
                <wp:extent cx="2686050" cy="1200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363F30" w14:textId="77777777" w:rsidR="00C53434" w:rsidRPr="00DB79B9" w:rsidRDefault="00C53434" w:rsidP="00C53434">
                            <w:pPr>
                              <w:rPr>
                                <w:rFonts w:ascii="Calibri" w:eastAsiaTheme="majorEastAsia" w:hAnsi="Calibri" w:cstheme="majorBidi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 w:rsidRPr="00DB79B9">
                              <w:rPr>
                                <w:rFonts w:ascii="Calibri" w:eastAsiaTheme="majorEastAsia" w:hAnsi="Calibri" w:cstheme="majorBidi"/>
                                <w:b/>
                                <w:bCs/>
                                <w:sz w:val="28"/>
                                <w:szCs w:val="26"/>
                              </w:rPr>
                              <w:t>F</w:t>
                            </w:r>
                            <w:r>
                              <w:rPr>
                                <w:rFonts w:ascii="Calibri" w:eastAsiaTheme="majorEastAsia" w:hAnsi="Calibri" w:cstheme="majorBidi"/>
                                <w:b/>
                                <w:bCs/>
                                <w:sz w:val="28"/>
                                <w:szCs w:val="26"/>
                              </w:rPr>
                              <w:t>or further information</w:t>
                            </w:r>
                            <w:r w:rsidRPr="00DB79B9">
                              <w:rPr>
                                <w:rFonts w:ascii="Calibri" w:eastAsiaTheme="majorEastAsia" w:hAnsi="Calibri" w:cstheme="majorBidi"/>
                                <w:b/>
                                <w:bCs/>
                                <w:sz w:val="28"/>
                                <w:szCs w:val="26"/>
                              </w:rPr>
                              <w:t>:</w:t>
                            </w:r>
                          </w:p>
                          <w:p w14:paraId="7A23099F" w14:textId="77777777" w:rsidR="00C53434" w:rsidRPr="00DB79B9" w:rsidRDefault="00C53434" w:rsidP="00C5343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Cs w:val="20"/>
                              </w:rPr>
                            </w:pPr>
                            <w:r w:rsidRPr="00DB79B9">
                              <w:rPr>
                                <w:szCs w:val="20"/>
                              </w:rPr>
                              <w:t xml:space="preserve">Visit the FSC website at </w:t>
                            </w:r>
                            <w:r w:rsidRPr="00250412">
                              <w:rPr>
                                <w:b/>
                                <w:szCs w:val="20"/>
                              </w:rPr>
                              <w:t>www.fsc</w:t>
                            </w:r>
                            <w:r w:rsidRPr="00DB79B9">
                              <w:rPr>
                                <w:b/>
                                <w:szCs w:val="20"/>
                              </w:rPr>
                              <w:t>.gov.au</w:t>
                            </w:r>
                          </w:p>
                          <w:p w14:paraId="2D351C43" w14:textId="77777777" w:rsidR="00C53434" w:rsidRPr="00DB79B9" w:rsidRDefault="00C53434" w:rsidP="00C5343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Cs w:val="20"/>
                              </w:rPr>
                            </w:pPr>
                            <w:r w:rsidRPr="00DB79B9">
                              <w:rPr>
                                <w:szCs w:val="20"/>
                              </w:rPr>
                              <w:t>Con</w:t>
                            </w:r>
                            <w:r w:rsidR="00BA5974">
                              <w:rPr>
                                <w:szCs w:val="20"/>
                              </w:rPr>
                              <w:t>t</w:t>
                            </w:r>
                            <w:r w:rsidRPr="00DB79B9">
                              <w:rPr>
                                <w:szCs w:val="20"/>
                              </w:rPr>
                              <w:t xml:space="preserve">act the FSC Assist Line on </w:t>
                            </w:r>
                            <w:r w:rsidRPr="00DB79B9">
                              <w:rPr>
                                <w:b/>
                                <w:szCs w:val="20"/>
                              </w:rPr>
                              <w:t>1800 652 500</w:t>
                            </w:r>
                          </w:p>
                          <w:p w14:paraId="698A07C9" w14:textId="103082AC" w:rsidR="00C53434" w:rsidRPr="00DB79B9" w:rsidRDefault="00C53434" w:rsidP="00C5343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rPr>
                                <w:szCs w:val="20"/>
                              </w:rPr>
                            </w:pPr>
                            <w:r w:rsidRPr="00DB79B9">
                              <w:rPr>
                                <w:szCs w:val="20"/>
                              </w:rPr>
                              <w:t xml:space="preserve">Contact the OFSC via email at </w:t>
                            </w:r>
                            <w:r w:rsidRPr="00DB79B9">
                              <w:rPr>
                                <w:b/>
                                <w:szCs w:val="20"/>
                              </w:rPr>
                              <w:t>ofsc@</w:t>
                            </w:r>
                            <w:r w:rsidR="00740692">
                              <w:rPr>
                                <w:b/>
                                <w:szCs w:val="20"/>
                              </w:rPr>
                              <w:t>dewr.gov.au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E675" id="Text Box 1" o:spid="_x0000_s1027" type="#_x0000_t202" style="position:absolute;margin-left:160.3pt;margin-top:65.2pt;width:211.5pt;height:94.5pt;z-index:-25166387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" fillcolor="#e5e5e5 [668]" stroked="f" strokeweight=".5pt">
                <v:textbox>
                  <w:txbxContent>
                    <w:p w14:paraId="56363F30" w14:textId="77777777" w:rsidR="00C53434" w:rsidRPr="00DB79B9" w:rsidRDefault="00C53434" w:rsidP="00C53434">
                      <w:pPr>
                        <w:rPr>
                          <w:rFonts w:ascii="Calibri" w:eastAsiaTheme="majorEastAsia" w:hAnsi="Calibri" w:cstheme="majorBidi"/>
                          <w:b/>
                          <w:bCs/>
                          <w:sz w:val="28"/>
                          <w:szCs w:val="26"/>
                        </w:rPr>
                      </w:pPr>
                      <w:r w:rsidRPr="00DB79B9">
                        <w:rPr>
                          <w:rFonts w:ascii="Calibri" w:eastAsiaTheme="majorEastAsia" w:hAnsi="Calibri" w:cstheme="majorBidi"/>
                          <w:b/>
                          <w:bCs/>
                          <w:sz w:val="28"/>
                          <w:szCs w:val="26"/>
                        </w:rPr>
                        <w:t>F</w:t>
                      </w:r>
                      <w:r>
                        <w:rPr>
                          <w:rFonts w:ascii="Calibri" w:eastAsiaTheme="majorEastAsia" w:hAnsi="Calibri" w:cstheme="majorBidi"/>
                          <w:b/>
                          <w:bCs/>
                          <w:sz w:val="28"/>
                          <w:szCs w:val="26"/>
                        </w:rPr>
                        <w:t>or further information</w:t>
                      </w:r>
                      <w:r w:rsidRPr="00DB79B9">
                        <w:rPr>
                          <w:rFonts w:ascii="Calibri" w:eastAsiaTheme="majorEastAsia" w:hAnsi="Calibri" w:cstheme="majorBidi"/>
                          <w:b/>
                          <w:bCs/>
                          <w:sz w:val="28"/>
                          <w:szCs w:val="26"/>
                        </w:rPr>
                        <w:t>:</w:t>
                      </w:r>
                    </w:p>
                    <w:p w14:paraId="7A23099F" w14:textId="77777777" w:rsidR="00C53434" w:rsidRPr="00DB79B9" w:rsidRDefault="00C53434" w:rsidP="00C5343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Cs w:val="20"/>
                        </w:rPr>
                      </w:pPr>
                      <w:r w:rsidRPr="00DB79B9">
                        <w:rPr>
                          <w:szCs w:val="20"/>
                        </w:rPr>
                        <w:t xml:space="preserve">Visit the FSC website at </w:t>
                      </w:r>
                      <w:r w:rsidRPr="00250412">
                        <w:rPr>
                          <w:b/>
                          <w:szCs w:val="20"/>
                        </w:rPr>
                        <w:t>www.fsc</w:t>
                      </w:r>
                      <w:r w:rsidRPr="00DB79B9">
                        <w:rPr>
                          <w:b/>
                          <w:szCs w:val="20"/>
                        </w:rPr>
                        <w:t>.gov.au</w:t>
                      </w:r>
                    </w:p>
                    <w:p w14:paraId="2D351C43" w14:textId="77777777" w:rsidR="00C53434" w:rsidRPr="00DB79B9" w:rsidRDefault="00C53434" w:rsidP="00C5343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Cs w:val="20"/>
                        </w:rPr>
                      </w:pPr>
                      <w:r w:rsidRPr="00DB79B9">
                        <w:rPr>
                          <w:szCs w:val="20"/>
                        </w:rPr>
                        <w:t>Con</w:t>
                      </w:r>
                      <w:r w:rsidR="00BA5974">
                        <w:rPr>
                          <w:szCs w:val="20"/>
                        </w:rPr>
                        <w:t>t</w:t>
                      </w:r>
                      <w:r w:rsidRPr="00DB79B9">
                        <w:rPr>
                          <w:szCs w:val="20"/>
                        </w:rPr>
                        <w:t xml:space="preserve">act the FSC Assist Line on </w:t>
                      </w:r>
                      <w:r w:rsidRPr="00DB79B9">
                        <w:rPr>
                          <w:b/>
                          <w:szCs w:val="20"/>
                        </w:rPr>
                        <w:t>1800 652 500</w:t>
                      </w:r>
                    </w:p>
                    <w:p w14:paraId="698A07C9" w14:textId="103082AC" w:rsidR="00C53434" w:rsidRPr="00DB79B9" w:rsidRDefault="00C53434" w:rsidP="00C5343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40" w:lineRule="auto"/>
                        <w:ind w:left="284" w:hanging="284"/>
                        <w:rPr>
                          <w:szCs w:val="20"/>
                        </w:rPr>
                      </w:pPr>
                      <w:r w:rsidRPr="00DB79B9">
                        <w:rPr>
                          <w:szCs w:val="20"/>
                        </w:rPr>
                        <w:t xml:space="preserve">Contact the OFSC via email at </w:t>
                      </w:r>
                      <w:r w:rsidRPr="00DB79B9">
                        <w:rPr>
                          <w:b/>
                          <w:szCs w:val="20"/>
                        </w:rPr>
                        <w:t>ofsc@</w:t>
                      </w:r>
                      <w:r w:rsidR="00740692">
                        <w:rPr>
                          <w:b/>
                          <w:szCs w:val="20"/>
                        </w:rPr>
                        <w:t>dewr.gov.au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3B5590">
        <w:fldChar w:fldCharType="begin"/>
      </w:r>
      <w:r w:rsidR="003B5590">
        <w:instrText xml:space="preserve"> HYPERLINK "https://www.dewr.gov.au/about-department/corporate-reporting/freedom-information-foi/foi-disclosure-log/how-make-freedom-information-foi-request" </w:instrText>
      </w:r>
      <w:r w:rsidR="003B5590">
        <w:fldChar w:fldCharType="separate"/>
      </w:r>
      <w:r w:rsidR="003B5590" w:rsidRPr="003B5590">
        <w:rPr>
          <w:rStyle w:val="Hyperlink"/>
        </w:rPr>
        <w:t>https://www.dewr.gov.au/about-department/corporate-reporting/freedom-information-foi/foi-disclosure-log/how-make-freedom-information-foi-request</w:t>
      </w:r>
      <w:r w:rsidR="003B5590">
        <w:fldChar w:fldCharType="end"/>
      </w:r>
    </w:p>
    <w:sectPr w:rsidR="00281226" w:rsidRPr="002378C8" w:rsidSect="00B6770A">
      <w:headerReference w:type="default" r:id="rId20"/>
      <w:footerReference w:type="default" r:id="rId21"/>
      <w:type w:val="continuous"/>
      <w:pgSz w:w="11906" w:h="16838"/>
      <w:pgMar w:top="1134" w:right="1440" w:bottom="1440" w:left="1440" w:header="708" w:footer="40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0E7E" w14:textId="77777777" w:rsidR="003929C9" w:rsidRDefault="003929C9" w:rsidP="00130923">
      <w:pPr>
        <w:spacing w:after="0" w:line="240" w:lineRule="auto"/>
      </w:pPr>
      <w:r>
        <w:separator/>
      </w:r>
    </w:p>
  </w:endnote>
  <w:endnote w:type="continuationSeparator" w:id="0">
    <w:p w14:paraId="3BC1EDD7" w14:textId="77777777" w:rsidR="003929C9" w:rsidRDefault="003929C9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5321" w14:textId="77777777" w:rsidR="00EA1EBB" w:rsidRDefault="00EA1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7603" w14:textId="77777777" w:rsidR="003242B9" w:rsidRPr="000B1D63" w:rsidRDefault="00374F9C" w:rsidP="00923C84">
    <w:pPr>
      <w:pStyle w:val="Footer"/>
      <w:tabs>
        <w:tab w:val="clear" w:pos="9026"/>
        <w:tab w:val="left" w:pos="2349"/>
        <w:tab w:val="left" w:pos="5931"/>
        <w:tab w:val="right" w:pos="8647"/>
        <w:tab w:val="right" w:pos="10228"/>
      </w:tabs>
      <w:ind w:left="-238"/>
      <w:rPr>
        <w:noProof/>
        <w:color w:val="FFFFFF" w:themeColor="background2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61AFF68" wp14:editId="64C50D7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63180" cy="706120"/>
          <wp:effectExtent l="0" t="0" r="0" b="0"/>
          <wp:wrapThrough wrapText="bothSides">
            <wp:wrapPolygon edited="0">
              <wp:start x="0" y="0"/>
              <wp:lineTo x="0" y="20978"/>
              <wp:lineTo x="21532" y="20978"/>
              <wp:lineTo x="2153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D63">
      <w:tab/>
    </w:r>
    <w:r w:rsidR="000B1D63">
      <w:tab/>
    </w:r>
    <w:r w:rsidR="00923C84">
      <w:tab/>
    </w:r>
    <w:r w:rsidR="000B1D6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26C1" w14:textId="77777777" w:rsidR="00EA1EBB" w:rsidRDefault="00EA1E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CD33" w14:textId="77777777" w:rsidR="0068408E" w:rsidRDefault="00A766C4">
    <w:r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76A1D85B" wp14:editId="39F60442">
          <wp:simplePos x="0" y="0"/>
          <wp:positionH relativeFrom="column">
            <wp:posOffset>-914400</wp:posOffset>
          </wp:positionH>
          <wp:positionV relativeFrom="paragraph">
            <wp:posOffset>-156210</wp:posOffset>
          </wp:positionV>
          <wp:extent cx="7663180" cy="7061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180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0835" w14:textId="77777777" w:rsidR="003929C9" w:rsidRDefault="003929C9" w:rsidP="00130923">
      <w:pPr>
        <w:spacing w:after="0" w:line="240" w:lineRule="auto"/>
      </w:pPr>
      <w:r>
        <w:separator/>
      </w:r>
    </w:p>
  </w:footnote>
  <w:footnote w:type="continuationSeparator" w:id="0">
    <w:p w14:paraId="5E8A3968" w14:textId="77777777" w:rsidR="003929C9" w:rsidRDefault="003929C9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27B6" w14:textId="77777777" w:rsidR="00EA1EBB" w:rsidRDefault="00EA1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1AE6" w14:textId="77777777" w:rsidR="00EA1EBB" w:rsidRDefault="00EA1E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E826" w14:textId="77777777" w:rsidR="00EA1EBB" w:rsidRDefault="00EA1E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B0E4" w14:textId="77777777" w:rsidR="00B6770A" w:rsidRDefault="00B6770A" w:rsidP="00B6770A">
    <w:pPr>
      <w:pStyle w:val="Header"/>
      <w:jc w:val="right"/>
    </w:pPr>
    <w:r>
      <w:t>Fact Sheet – How to appeal a decision of the Federal Safety 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D0A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D69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6D79FD"/>
    <w:multiLevelType w:val="hybridMultilevel"/>
    <w:tmpl w:val="7A407A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E7D36"/>
    <w:multiLevelType w:val="hybridMultilevel"/>
    <w:tmpl w:val="FBD00CCC"/>
    <w:lvl w:ilvl="0" w:tplc="32763B48">
      <w:start w:val="1"/>
      <w:numFmt w:val="bullet"/>
      <w:pStyle w:val="OFSCBullets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10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C10C19"/>
    <w:rsid w:val="00002721"/>
    <w:rsid w:val="0001730E"/>
    <w:rsid w:val="00024E24"/>
    <w:rsid w:val="00034EAA"/>
    <w:rsid w:val="00037D1C"/>
    <w:rsid w:val="00042FEA"/>
    <w:rsid w:val="00061972"/>
    <w:rsid w:val="000861A6"/>
    <w:rsid w:val="000B1D63"/>
    <w:rsid w:val="000B5B61"/>
    <w:rsid w:val="000D5A2C"/>
    <w:rsid w:val="000E67DE"/>
    <w:rsid w:val="000E6FBB"/>
    <w:rsid w:val="000F3BA2"/>
    <w:rsid w:val="00105C30"/>
    <w:rsid w:val="001175BF"/>
    <w:rsid w:val="001179C0"/>
    <w:rsid w:val="00130923"/>
    <w:rsid w:val="001414F3"/>
    <w:rsid w:val="00142118"/>
    <w:rsid w:val="00143FCD"/>
    <w:rsid w:val="0014478B"/>
    <w:rsid w:val="00147D56"/>
    <w:rsid w:val="001B5E64"/>
    <w:rsid w:val="001B6467"/>
    <w:rsid w:val="001C343B"/>
    <w:rsid w:val="001D54B9"/>
    <w:rsid w:val="001F2D91"/>
    <w:rsid w:val="002032B9"/>
    <w:rsid w:val="00213A6D"/>
    <w:rsid w:val="00223EB1"/>
    <w:rsid w:val="00223F46"/>
    <w:rsid w:val="00236917"/>
    <w:rsid w:val="002378C8"/>
    <w:rsid w:val="00242863"/>
    <w:rsid w:val="00243D6B"/>
    <w:rsid w:val="00281226"/>
    <w:rsid w:val="002854D6"/>
    <w:rsid w:val="002B06E6"/>
    <w:rsid w:val="002D271F"/>
    <w:rsid w:val="002D6386"/>
    <w:rsid w:val="002E2AD4"/>
    <w:rsid w:val="00305B35"/>
    <w:rsid w:val="003242B9"/>
    <w:rsid w:val="0034261B"/>
    <w:rsid w:val="00367BAD"/>
    <w:rsid w:val="0037361E"/>
    <w:rsid w:val="00374F9C"/>
    <w:rsid w:val="003929C9"/>
    <w:rsid w:val="003B5590"/>
    <w:rsid w:val="003D67FC"/>
    <w:rsid w:val="00406E5A"/>
    <w:rsid w:val="0045155F"/>
    <w:rsid w:val="00455B34"/>
    <w:rsid w:val="00466C32"/>
    <w:rsid w:val="004704A5"/>
    <w:rsid w:val="00476BCC"/>
    <w:rsid w:val="0048762C"/>
    <w:rsid w:val="004B256F"/>
    <w:rsid w:val="004B6B7E"/>
    <w:rsid w:val="004C5911"/>
    <w:rsid w:val="004D54E7"/>
    <w:rsid w:val="005113B6"/>
    <w:rsid w:val="00531817"/>
    <w:rsid w:val="00536EA2"/>
    <w:rsid w:val="00560CA0"/>
    <w:rsid w:val="005624F3"/>
    <w:rsid w:val="005748F0"/>
    <w:rsid w:val="005811EF"/>
    <w:rsid w:val="00595A0E"/>
    <w:rsid w:val="005B0878"/>
    <w:rsid w:val="005C1307"/>
    <w:rsid w:val="005C15C0"/>
    <w:rsid w:val="005C534F"/>
    <w:rsid w:val="00610654"/>
    <w:rsid w:val="00625E52"/>
    <w:rsid w:val="0067026C"/>
    <w:rsid w:val="00683700"/>
    <w:rsid w:val="0068408E"/>
    <w:rsid w:val="006A5BDD"/>
    <w:rsid w:val="006E2D49"/>
    <w:rsid w:val="006E760E"/>
    <w:rsid w:val="006F42A9"/>
    <w:rsid w:val="006F4D48"/>
    <w:rsid w:val="00740692"/>
    <w:rsid w:val="007468FC"/>
    <w:rsid w:val="00765ABB"/>
    <w:rsid w:val="00792CA3"/>
    <w:rsid w:val="007A350C"/>
    <w:rsid w:val="007B00B5"/>
    <w:rsid w:val="007B2FDD"/>
    <w:rsid w:val="007E247A"/>
    <w:rsid w:val="007E5E33"/>
    <w:rsid w:val="007F12AE"/>
    <w:rsid w:val="007F671F"/>
    <w:rsid w:val="007F7F1E"/>
    <w:rsid w:val="008052D3"/>
    <w:rsid w:val="008233A8"/>
    <w:rsid w:val="0083468A"/>
    <w:rsid w:val="0084292A"/>
    <w:rsid w:val="00842D43"/>
    <w:rsid w:val="00846C8E"/>
    <w:rsid w:val="00856D1C"/>
    <w:rsid w:val="00873914"/>
    <w:rsid w:val="00876AC0"/>
    <w:rsid w:val="008A4B1A"/>
    <w:rsid w:val="008D7E36"/>
    <w:rsid w:val="008F1DA5"/>
    <w:rsid w:val="009116EA"/>
    <w:rsid w:val="00923C84"/>
    <w:rsid w:val="00933671"/>
    <w:rsid w:val="00972DD5"/>
    <w:rsid w:val="00983B68"/>
    <w:rsid w:val="00984879"/>
    <w:rsid w:val="00985632"/>
    <w:rsid w:val="00991B63"/>
    <w:rsid w:val="009B2428"/>
    <w:rsid w:val="009B28B2"/>
    <w:rsid w:val="009B5CB7"/>
    <w:rsid w:val="009C3191"/>
    <w:rsid w:val="009F4EFE"/>
    <w:rsid w:val="00A21460"/>
    <w:rsid w:val="00A31242"/>
    <w:rsid w:val="00A52530"/>
    <w:rsid w:val="00A551BF"/>
    <w:rsid w:val="00A70524"/>
    <w:rsid w:val="00A73406"/>
    <w:rsid w:val="00A766C4"/>
    <w:rsid w:val="00A904EC"/>
    <w:rsid w:val="00AB646E"/>
    <w:rsid w:val="00AC65DA"/>
    <w:rsid w:val="00B057C7"/>
    <w:rsid w:val="00B1066D"/>
    <w:rsid w:val="00B22A43"/>
    <w:rsid w:val="00B2722A"/>
    <w:rsid w:val="00B33281"/>
    <w:rsid w:val="00B618BA"/>
    <w:rsid w:val="00B6770A"/>
    <w:rsid w:val="00B73ED7"/>
    <w:rsid w:val="00BA5974"/>
    <w:rsid w:val="00C05E74"/>
    <w:rsid w:val="00C10C19"/>
    <w:rsid w:val="00C14270"/>
    <w:rsid w:val="00C53434"/>
    <w:rsid w:val="00C5649C"/>
    <w:rsid w:val="00C75486"/>
    <w:rsid w:val="00C8202C"/>
    <w:rsid w:val="00C92A5B"/>
    <w:rsid w:val="00CA0057"/>
    <w:rsid w:val="00CA46EC"/>
    <w:rsid w:val="00CD6927"/>
    <w:rsid w:val="00D12A2B"/>
    <w:rsid w:val="00D1394D"/>
    <w:rsid w:val="00D903FD"/>
    <w:rsid w:val="00D94BC5"/>
    <w:rsid w:val="00D96C08"/>
    <w:rsid w:val="00DB6982"/>
    <w:rsid w:val="00DE17E5"/>
    <w:rsid w:val="00DF765E"/>
    <w:rsid w:val="00E33D13"/>
    <w:rsid w:val="00E33DAE"/>
    <w:rsid w:val="00E33EC3"/>
    <w:rsid w:val="00E52D5A"/>
    <w:rsid w:val="00E711F9"/>
    <w:rsid w:val="00E7775D"/>
    <w:rsid w:val="00EA1EBB"/>
    <w:rsid w:val="00EA7FA7"/>
    <w:rsid w:val="00ED43D2"/>
    <w:rsid w:val="00EE1B9C"/>
    <w:rsid w:val="00EE3B8C"/>
    <w:rsid w:val="00EF0A4F"/>
    <w:rsid w:val="00EF4A38"/>
    <w:rsid w:val="00F035C8"/>
    <w:rsid w:val="00F23561"/>
    <w:rsid w:val="00F5755C"/>
    <w:rsid w:val="00FB0AEA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2ACCB"/>
  <w15:docId w15:val="{06AAC137-BB1D-44C6-AA44-D7280715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F1E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70A"/>
    <w:pPr>
      <w:spacing w:after="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70A"/>
    <w:pPr>
      <w:spacing w:before="200" w:after="0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770A"/>
    <w:rPr>
      <w:rFonts w:ascii="Calibri" w:eastAsiaTheme="majorEastAsia" w:hAnsi="Calibri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770A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A5BDD"/>
    <w:pPr>
      <w:spacing w:after="120" w:line="240" w:lineRule="auto"/>
      <w:contextualSpacing/>
    </w:pPr>
    <w:rPr>
      <w:rFonts w:ascii="Calibri" w:eastAsiaTheme="majorEastAsia" w:hAnsi="Calibri" w:cstheme="majorBidi"/>
      <w:b/>
      <w:color w:val="C00000"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5BDD"/>
    <w:rPr>
      <w:rFonts w:ascii="Calibri" w:eastAsiaTheme="majorEastAsia" w:hAnsi="Calibri" w:cstheme="majorBidi"/>
      <w:b/>
      <w:color w:val="C00000"/>
      <w:spacing w:val="5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406"/>
    <w:pPr>
      <w:spacing w:after="240"/>
    </w:pPr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406"/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9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Table">
    <w:name w:val="Generic Table"/>
    <w:basedOn w:val="TableNormal"/>
    <w:uiPriority w:val="99"/>
    <w:rsid w:val="00F5755C"/>
    <w:pPr>
      <w:spacing w:after="0" w:line="240" w:lineRule="auto"/>
    </w:pPr>
    <w:rPr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Cs w:val="20"/>
    </w:rPr>
  </w:style>
  <w:style w:type="paragraph" w:customStyle="1" w:styleId="DeleteText">
    <w:name w:val="Delete Text"/>
    <w:basedOn w:val="Normal"/>
    <w:qFormat/>
    <w:rsid w:val="004D54E7"/>
    <w:rPr>
      <w:color w:val="7030A0"/>
    </w:rPr>
  </w:style>
  <w:style w:type="character" w:styleId="PlaceholderText">
    <w:name w:val="Placeholder Text"/>
    <w:basedOn w:val="DefaultParagraphFont"/>
    <w:uiPriority w:val="99"/>
    <w:semiHidden/>
    <w:rsid w:val="004D54E7"/>
    <w:rPr>
      <w:color w:val="808080"/>
    </w:rPr>
  </w:style>
  <w:style w:type="paragraph" w:customStyle="1" w:styleId="OFSCHeading2">
    <w:name w:val="OFSC Heading 2"/>
    <w:basedOn w:val="Normal"/>
    <w:qFormat/>
    <w:rsid w:val="00281226"/>
    <w:pPr>
      <w:suppressAutoHyphens/>
      <w:autoSpaceDE w:val="0"/>
      <w:autoSpaceDN w:val="0"/>
      <w:adjustRightInd w:val="0"/>
      <w:spacing w:after="100" w:line="240" w:lineRule="auto"/>
      <w:textAlignment w:val="center"/>
    </w:pPr>
    <w:rPr>
      <w:rFonts w:eastAsia="Times New Roman" w:cstheme="minorHAnsi"/>
      <w:color w:val="C00000"/>
      <w:sz w:val="26"/>
      <w:szCs w:val="26"/>
      <w:lang w:val="en-GB" w:eastAsia="en-AU"/>
    </w:rPr>
  </w:style>
  <w:style w:type="paragraph" w:customStyle="1" w:styleId="OFSCBullets">
    <w:name w:val="OFSC Bullets"/>
    <w:basedOn w:val="Normal"/>
    <w:autoRedefine/>
    <w:rsid w:val="00A766C4"/>
    <w:pPr>
      <w:numPr>
        <w:numId w:val="19"/>
      </w:numPr>
      <w:suppressAutoHyphens/>
      <w:autoSpaceDE w:val="0"/>
      <w:autoSpaceDN w:val="0"/>
      <w:adjustRightInd w:val="0"/>
      <w:spacing w:after="100" w:line="240" w:lineRule="auto"/>
      <w:textAlignment w:val="center"/>
    </w:pPr>
    <w:rPr>
      <w:rFonts w:eastAsia="Times New Roman" w:cstheme="minorHAnsi"/>
      <w:color w:val="000000"/>
      <w:sz w:val="19"/>
      <w:szCs w:val="19"/>
      <w:lang w:val="en-GB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F1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D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D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DA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5155F"/>
    <w:rPr>
      <w:color w:val="0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fsc.gov.au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www.aat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3DA97B18DF46E2989A7CC4B0FD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C4A9-1460-48F8-81B3-9A33DFA7872D}"/>
      </w:docPartPr>
      <w:docPartBody>
        <w:p w:rsidR="00F43A07" w:rsidRDefault="00983C01"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C01"/>
    <w:rsid w:val="0007364A"/>
    <w:rsid w:val="000B2730"/>
    <w:rsid w:val="000F7BB7"/>
    <w:rsid w:val="001A76C7"/>
    <w:rsid w:val="00483DE5"/>
    <w:rsid w:val="00766C6D"/>
    <w:rsid w:val="00983C01"/>
    <w:rsid w:val="00E94140"/>
    <w:rsid w:val="00F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C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00985BFFC5C4888EA7A1112042214" ma:contentTypeVersion="2" ma:contentTypeDescription="Create a new document." ma:contentTypeScope="" ma:versionID="7c702674138ba739aead26195aa90c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5c7d6d266a7b62c13fb79b070982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74D041-F744-4B6D-9257-AA9236071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E8082-6891-4447-8283-3018CA2B8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4D80D-2C96-4C52-8E1D-8535AE026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764FE9-C66B-4FD1-B442-D8082B86B6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– How to appeal a decision of the Federal Safety Commissioner</vt:lpstr>
    </vt:vector>
  </TitlesOfParts>
  <Company>Australian Government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– How to appeal a decision of the Federal Safety Commissioner</dc:title>
  <dc:creator>Danny Thomas</dc:creator>
  <cp:lastModifiedBy>LEONARD,Meredith</cp:lastModifiedBy>
  <cp:revision>3</cp:revision>
  <cp:lastPrinted>2023-03-26T23:48:00Z</cp:lastPrinted>
  <dcterms:created xsi:type="dcterms:W3CDTF">2023-03-26T23:48:00Z</dcterms:created>
  <dcterms:modified xsi:type="dcterms:W3CDTF">2023-03-26T23:48:00Z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0x01010064D00985BFFC5C4888EA7A1112042214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2022-07-19T04:38:33Z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0fd77897-c213-41cb-b5fc-896ccd316434</vt:lpwstr>
  </property>
  <property fmtid="{D5CDD505-2E9C-101B-9397-08002B2CF9AE}" pid="9" name="MSIP_Label_79d889eb-932f-4752-8739-64d25806ef64_ContentBits">
    <vt:lpwstr>0</vt:lpwstr>
  </property>
</Properties>
</file>