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00CF6E4B" w:rsidR="00067075" w:rsidRPr="0085746F" w:rsidRDefault="00732FCD" w:rsidP="00E14881">
      <w:pPr>
        <w:rPr>
          <w:rFonts w:ascii="Aptos" w:hAnsi="Aptos"/>
        </w:rPr>
      </w:pPr>
      <w:r w:rsidRPr="0085746F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41112928" wp14:editId="3B8D5928">
            <wp:simplePos x="0" y="0"/>
            <wp:positionH relativeFrom="column">
              <wp:posOffset>-1258570</wp:posOffset>
            </wp:positionH>
            <wp:positionV relativeFrom="paragraph">
              <wp:posOffset>-442595</wp:posOffset>
            </wp:positionV>
            <wp:extent cx="8166834" cy="1593849"/>
            <wp:effectExtent l="0" t="0" r="5715" b="6985"/>
            <wp:wrapNone/>
            <wp:docPr id="71665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5968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6834" cy="159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 w:rsidRPr="0085746F">
        <w:rPr>
          <w:rFonts w:ascii="Aptos" w:hAnsi="Aptos"/>
          <w:noProof/>
        </w:rPr>
        <w:drawing>
          <wp:inline distT="0" distB="0" distL="0" distR="0" wp14:anchorId="0368C25A" wp14:editId="30C6DFC1">
            <wp:extent cx="3787502" cy="863600"/>
            <wp:effectExtent l="0" t="0" r="381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50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64A6595E" w:rsidR="00EC6A53" w:rsidRPr="0085746F" w:rsidRDefault="00EC6A53" w:rsidP="00996EF9">
      <w:pPr>
        <w:tabs>
          <w:tab w:val="left" w:pos="6850"/>
        </w:tabs>
        <w:spacing w:before="100" w:beforeAutospacing="1" w:after="0"/>
        <w:rPr>
          <w:rFonts w:ascii="Aptos" w:hAnsi="Aptos"/>
        </w:rPr>
        <w:sectPr w:rsidR="00EC6A53" w:rsidRPr="0085746F" w:rsidSect="00732FCD">
          <w:footerReference w:type="default" r:id="rId14"/>
          <w:footerReference w:type="first" r:id="rId15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</w:p>
    <w:p w14:paraId="273984BF" w14:textId="77777777" w:rsidR="005479BD" w:rsidRPr="0085746F" w:rsidRDefault="005479BD" w:rsidP="005479BD">
      <w:pPr>
        <w:pStyle w:val="Subtitle"/>
        <w:spacing w:before="240"/>
        <w:rPr>
          <w:rFonts w:ascii="Aptos" w:hAnsi="Aptos"/>
        </w:rPr>
      </w:pPr>
    </w:p>
    <w:p w14:paraId="4FFF3AEB" w14:textId="36A30668" w:rsidR="005479BD" w:rsidRPr="0085746F" w:rsidRDefault="005479BD" w:rsidP="00AB4CE9">
      <w:pPr>
        <w:pStyle w:val="Subtitle"/>
        <w:rPr>
          <w:rFonts w:ascii="Aptos" w:hAnsi="Aptos"/>
        </w:rPr>
      </w:pPr>
      <w:r w:rsidRPr="0085746F">
        <w:rPr>
          <w:rFonts w:ascii="Aptos" w:hAnsi="Aptos"/>
        </w:rPr>
        <w:t>FACTSHEET</w:t>
      </w:r>
    </w:p>
    <w:p w14:paraId="1E16FA53" w14:textId="7CC31E4E" w:rsidR="002B1CE5" w:rsidRPr="0085746F" w:rsidRDefault="002C6279" w:rsidP="00AB4CE9">
      <w:pPr>
        <w:pStyle w:val="Heading2"/>
        <w:spacing w:before="0"/>
        <w:rPr>
          <w:rFonts w:ascii="Aptos" w:hAnsi="Aptos"/>
          <w:spacing w:val="-10"/>
          <w:kern w:val="28"/>
          <w:sz w:val="66"/>
          <w:szCs w:val="66"/>
        </w:rPr>
      </w:pPr>
      <w:r w:rsidRPr="0085746F">
        <w:rPr>
          <w:rFonts w:ascii="Aptos" w:hAnsi="Aptos"/>
          <w:spacing w:val="-10"/>
          <w:kern w:val="28"/>
          <w:sz w:val="56"/>
          <w:szCs w:val="56"/>
        </w:rPr>
        <w:t xml:space="preserve">How to deliver </w:t>
      </w:r>
      <w:r w:rsidR="00054704" w:rsidRPr="0085746F">
        <w:rPr>
          <w:rFonts w:ascii="Aptos" w:hAnsi="Aptos"/>
          <w:spacing w:val="-10"/>
          <w:kern w:val="28"/>
          <w:sz w:val="56"/>
          <w:szCs w:val="56"/>
        </w:rPr>
        <w:t xml:space="preserve">effective </w:t>
      </w:r>
      <w:r w:rsidR="006569AD" w:rsidRPr="0085746F">
        <w:rPr>
          <w:rFonts w:ascii="Aptos" w:hAnsi="Aptos"/>
          <w:spacing w:val="-10"/>
          <w:kern w:val="28"/>
          <w:sz w:val="56"/>
          <w:szCs w:val="56"/>
        </w:rPr>
        <w:t>High-Risk</w:t>
      </w:r>
      <w:r w:rsidRPr="0085746F">
        <w:rPr>
          <w:rFonts w:ascii="Aptos" w:hAnsi="Aptos"/>
          <w:spacing w:val="-10"/>
          <w:kern w:val="28"/>
          <w:sz w:val="66"/>
          <w:szCs w:val="66"/>
        </w:rPr>
        <w:t xml:space="preserve"> </w:t>
      </w:r>
      <w:r w:rsidRPr="0085746F">
        <w:rPr>
          <w:rFonts w:ascii="Aptos" w:hAnsi="Aptos"/>
          <w:spacing w:val="-10"/>
          <w:kern w:val="28"/>
          <w:sz w:val="56"/>
          <w:szCs w:val="56"/>
        </w:rPr>
        <w:t>Workshop</w:t>
      </w:r>
      <w:r w:rsidR="00054704" w:rsidRPr="0085746F">
        <w:rPr>
          <w:rFonts w:ascii="Aptos" w:hAnsi="Aptos"/>
          <w:spacing w:val="-10"/>
          <w:kern w:val="28"/>
          <w:sz w:val="56"/>
          <w:szCs w:val="56"/>
        </w:rPr>
        <w:t>s</w:t>
      </w:r>
    </w:p>
    <w:p w14:paraId="29C58FAB" w14:textId="4A02A702" w:rsidR="00CE626A" w:rsidRPr="0085746F" w:rsidRDefault="00CE626A" w:rsidP="00CE626A">
      <w:pPr>
        <w:rPr>
          <w:rFonts w:ascii="Aptos" w:hAnsi="Aptos"/>
        </w:rPr>
      </w:pPr>
      <w:r w:rsidRPr="0085746F">
        <w:rPr>
          <w:rFonts w:ascii="Aptos" w:hAnsi="Apto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7CD4A3" wp14:editId="71E40F9B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724525" cy="1143000"/>
                <wp:effectExtent l="0" t="0" r="28575" b="19050"/>
                <wp:wrapNone/>
                <wp:docPr id="16968771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143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42247" w14:textId="2161A9BA" w:rsidR="00FD2549" w:rsidRPr="002C6279" w:rsidRDefault="005F1F15" w:rsidP="002C6279">
                            <w:pPr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T</w:t>
                            </w:r>
                            <w:r w:rsidR="00220CBF" w:rsidRP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he OFSC encourages accredited companies and the broader industry to have discussions about </w:t>
                            </w:r>
                            <w:r w:rsidR="001B5AEE" w:rsidRP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>high-risk</w:t>
                            </w:r>
                            <w:r w:rsidR="00220CBF" w:rsidRP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work to ensure safer outcomes for all. One way to achieve this is by holding a </w:t>
                            </w:r>
                            <w:r w:rsidR="00220CBF" w:rsidRP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>‘</w:t>
                            </w:r>
                            <w:r w:rsidR="00220CBF" w:rsidRPr="00D81E9E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High Risk Workshop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’</w:t>
                            </w:r>
                            <w:r w:rsidR="00220CBF" w:rsidRP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(HRW). At their core, HRWs bring together everyone involved in high-risk work to ensure the methodology is clearly understood, risks are identified, and controls are agreed upon before work begin</w:t>
                            </w:r>
                            <w:r w:rsidR="00220CBF">
                              <w:rPr>
                                <w:rFonts w:eastAsia="Calibri" w:hAnsi="Calibri" w:cs="Calibri"/>
                                <w:color w:val="000000"/>
                              </w:rPr>
                              <w:t>s.</w:t>
                            </w:r>
                          </w:p>
                          <w:p w14:paraId="1FC3ED10" w14:textId="77777777" w:rsidR="00FD2549" w:rsidRPr="002C6279" w:rsidRDefault="00054704" w:rsidP="0084642B">
                            <w:pPr>
                              <w:jc w:val="center"/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</w:pPr>
                            <w:r w:rsidRPr="002C6279"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D4A3" id="Rectangle 1" o:spid="_x0000_s1026" style="position:absolute;margin-left:399.55pt;margin-top:2.85pt;width:450.75pt;height:90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" fillcolor="#cfd1c5 [831]" strokecolor="#cfd1c5 [831]" strokeweight="1pt">
                <v:textbox>
                  <w:txbxContent>
                    <w:p w14:paraId="5CA42247" w14:textId="2161A9BA" w:rsidR="00FD2549" w:rsidRPr="002C6279" w:rsidRDefault="005F1F15" w:rsidP="002C6279">
                      <w:pPr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T</w:t>
                      </w:r>
                      <w:r w:rsidR="00220CBF" w:rsidRPr="00220CBF">
                        <w:rPr>
                          <w:rFonts w:eastAsia="Calibri" w:hAnsi="Calibri" w:cs="Calibri"/>
                          <w:color w:val="000000"/>
                        </w:rPr>
                        <w:t xml:space="preserve">he OFSC encourages accredited companies and the broader industry to have discussions about </w:t>
                      </w:r>
                      <w:r w:rsidR="001B5AEE" w:rsidRPr="00220CBF">
                        <w:rPr>
                          <w:rFonts w:eastAsia="Calibri" w:hAnsi="Calibri" w:cs="Calibri"/>
                          <w:color w:val="000000"/>
                        </w:rPr>
                        <w:t>high-risk</w:t>
                      </w:r>
                      <w:r w:rsidR="00220CBF" w:rsidRPr="00220CBF">
                        <w:rPr>
                          <w:rFonts w:eastAsia="Calibri" w:hAnsi="Calibri" w:cs="Calibri"/>
                          <w:color w:val="000000"/>
                        </w:rPr>
                        <w:t xml:space="preserve"> work to ensure safer outcomes for all. One way to achieve this is by holding a </w:t>
                      </w:r>
                      <w:r w:rsidR="00220CBF" w:rsidRPr="00220CBF">
                        <w:rPr>
                          <w:rFonts w:eastAsia="Calibri" w:hAnsi="Calibri" w:cs="Calibri"/>
                          <w:color w:val="000000"/>
                        </w:rPr>
                        <w:t>‘</w:t>
                      </w:r>
                      <w:r w:rsidR="00220CBF" w:rsidRPr="00D81E9E"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High Risk Workshop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>’</w:t>
                      </w:r>
                      <w:r w:rsidR="00220CBF" w:rsidRPr="00220CBF">
                        <w:rPr>
                          <w:rFonts w:eastAsia="Calibri" w:hAnsi="Calibri" w:cs="Calibri"/>
                          <w:color w:val="000000"/>
                        </w:rPr>
                        <w:t xml:space="preserve"> (HRW). At their core, HRWs bring together everyone involved in high-risk work to ensure the methodology is clearly understood, risks are identified, and controls are agreed upon before work begin</w:t>
                      </w:r>
                      <w:r w:rsidR="00220CBF">
                        <w:rPr>
                          <w:rFonts w:eastAsia="Calibri" w:hAnsi="Calibri" w:cs="Calibri"/>
                          <w:color w:val="000000"/>
                        </w:rPr>
                        <w:t>s.</w:t>
                      </w:r>
                    </w:p>
                    <w:p w14:paraId="1FC3ED10" w14:textId="77777777" w:rsidR="00FD2549" w:rsidRPr="002C6279" w:rsidRDefault="00054704" w:rsidP="0084642B">
                      <w:pPr>
                        <w:jc w:val="center"/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</w:pPr>
                      <w:r w:rsidRPr="002C6279"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4873C8" w14:textId="6E404BB0" w:rsidR="00CE626A" w:rsidRPr="0085746F" w:rsidRDefault="00CE626A" w:rsidP="00CE626A">
      <w:pPr>
        <w:rPr>
          <w:rFonts w:ascii="Aptos" w:hAnsi="Aptos"/>
        </w:rPr>
      </w:pPr>
    </w:p>
    <w:p w14:paraId="62E3DC89" w14:textId="77777777" w:rsidR="00CE626A" w:rsidRPr="0085746F" w:rsidRDefault="00CE626A" w:rsidP="00CE626A">
      <w:pPr>
        <w:rPr>
          <w:rFonts w:ascii="Aptos" w:hAnsi="Aptos"/>
        </w:rPr>
      </w:pPr>
    </w:p>
    <w:p w14:paraId="6DD8A183" w14:textId="77777777" w:rsidR="00CE626A" w:rsidRPr="0085746F" w:rsidRDefault="00CE626A" w:rsidP="00CE626A">
      <w:pPr>
        <w:rPr>
          <w:rFonts w:ascii="Aptos" w:hAnsi="Aptos"/>
        </w:rPr>
      </w:pPr>
    </w:p>
    <w:p w14:paraId="5D159D95" w14:textId="6B3D0C5D" w:rsidR="005A48C5" w:rsidRPr="0085746F" w:rsidRDefault="006B29F2" w:rsidP="005A48C5">
      <w:pPr>
        <w:pStyle w:val="Heading1"/>
        <w:spacing w:before="0"/>
        <w:rPr>
          <w:rFonts w:ascii="Aptos" w:hAnsi="Aptos"/>
        </w:rPr>
      </w:pPr>
      <w:r w:rsidRPr="0085746F">
        <w:rPr>
          <w:rFonts w:ascii="Aptos" w:hAnsi="Aptos"/>
        </w:rPr>
        <w:t>What is a HRW?</w:t>
      </w:r>
    </w:p>
    <w:p w14:paraId="481A3F22" w14:textId="77777777" w:rsidR="00D12F8F" w:rsidRDefault="006B29F2" w:rsidP="006B29F2">
      <w:pPr>
        <w:rPr>
          <w:rFonts w:ascii="Aptos" w:hAnsi="Aptos"/>
        </w:rPr>
      </w:pPr>
      <w:r w:rsidRPr="0085746F">
        <w:rPr>
          <w:rFonts w:ascii="Aptos" w:hAnsi="Aptos"/>
        </w:rPr>
        <w:t xml:space="preserve">A </w:t>
      </w:r>
      <w:r w:rsidR="005479BD" w:rsidRPr="0085746F">
        <w:rPr>
          <w:rFonts w:ascii="Aptos" w:hAnsi="Aptos"/>
        </w:rPr>
        <w:t>HRW</w:t>
      </w:r>
      <w:r w:rsidRPr="0085746F">
        <w:rPr>
          <w:rFonts w:ascii="Aptos" w:hAnsi="Aptos"/>
        </w:rPr>
        <w:t xml:space="preserve"> is a pre-planning </w:t>
      </w:r>
      <w:r w:rsidR="005479BD" w:rsidRPr="0085746F">
        <w:rPr>
          <w:rFonts w:ascii="Aptos" w:hAnsi="Aptos"/>
        </w:rPr>
        <w:t>meeting</w:t>
      </w:r>
      <w:r w:rsidR="00053BE8" w:rsidRPr="0085746F">
        <w:rPr>
          <w:rFonts w:ascii="Aptos" w:hAnsi="Aptos"/>
        </w:rPr>
        <w:t>, or series of meetings</w:t>
      </w:r>
      <w:r w:rsidR="009C0161" w:rsidRPr="0085746F">
        <w:rPr>
          <w:rFonts w:ascii="Aptos" w:hAnsi="Aptos"/>
        </w:rPr>
        <w:t xml:space="preserve">, </w:t>
      </w:r>
      <w:r w:rsidRPr="0085746F">
        <w:rPr>
          <w:rFonts w:ascii="Aptos" w:hAnsi="Aptos"/>
        </w:rPr>
        <w:t xml:space="preserve">held </w:t>
      </w:r>
      <w:r w:rsidR="00F05C59" w:rsidRPr="0085746F">
        <w:rPr>
          <w:rFonts w:ascii="Aptos" w:hAnsi="Aptos"/>
        </w:rPr>
        <w:t xml:space="preserve">prior to </w:t>
      </w:r>
      <w:r w:rsidRPr="0085746F">
        <w:rPr>
          <w:rFonts w:ascii="Aptos" w:hAnsi="Aptos"/>
        </w:rPr>
        <w:t xml:space="preserve">starting </w:t>
      </w:r>
      <w:r w:rsidR="00C96B36" w:rsidRPr="0085746F">
        <w:rPr>
          <w:rFonts w:ascii="Aptos" w:hAnsi="Aptos"/>
        </w:rPr>
        <w:t xml:space="preserve">defined </w:t>
      </w:r>
      <w:r w:rsidRPr="0085746F">
        <w:rPr>
          <w:rFonts w:ascii="Aptos" w:hAnsi="Aptos"/>
        </w:rPr>
        <w:t>high-risk work</w:t>
      </w:r>
      <w:r w:rsidR="002A6D99" w:rsidRPr="0085746F">
        <w:rPr>
          <w:rFonts w:ascii="Aptos" w:hAnsi="Aptos"/>
        </w:rPr>
        <w:t xml:space="preserve">. </w:t>
      </w:r>
    </w:p>
    <w:p w14:paraId="128C05EA" w14:textId="749AFB73" w:rsidR="00D12F8F" w:rsidRDefault="00CB3E40" w:rsidP="006B29F2">
      <w:pPr>
        <w:rPr>
          <w:rFonts w:ascii="Aptos" w:hAnsi="Aptos"/>
        </w:rPr>
      </w:pPr>
      <w:r>
        <w:rPr>
          <w:rFonts w:ascii="Aptos" w:hAnsi="Aptos"/>
        </w:rPr>
        <w:t xml:space="preserve">HRWs </w:t>
      </w:r>
      <w:r w:rsidR="000D68E9">
        <w:rPr>
          <w:rFonts w:ascii="Aptos" w:hAnsi="Aptos"/>
        </w:rPr>
        <w:t xml:space="preserve">can assist companies </w:t>
      </w:r>
      <w:r w:rsidR="00FB38B6">
        <w:rPr>
          <w:rFonts w:ascii="Aptos" w:hAnsi="Aptos"/>
        </w:rPr>
        <w:t>to meet the requirements of the</w:t>
      </w:r>
      <w:r w:rsidR="00AD6B1C">
        <w:rPr>
          <w:rFonts w:ascii="Aptos" w:hAnsi="Aptos"/>
        </w:rPr>
        <w:t xml:space="preserve"> first </w:t>
      </w:r>
      <w:r w:rsidR="00840D32">
        <w:rPr>
          <w:rFonts w:ascii="Aptos" w:hAnsi="Aptos"/>
        </w:rPr>
        <w:t>sub criteria</w:t>
      </w:r>
      <w:r w:rsidR="00AD6B1C">
        <w:rPr>
          <w:rFonts w:ascii="Aptos" w:hAnsi="Aptos"/>
        </w:rPr>
        <w:t xml:space="preserve"> for each of the</w:t>
      </w:r>
      <w:r w:rsidR="00FB38B6">
        <w:rPr>
          <w:rFonts w:ascii="Aptos" w:hAnsi="Aptos"/>
        </w:rPr>
        <w:t xml:space="preserve"> </w:t>
      </w:r>
      <w:r w:rsidR="00007F32">
        <w:rPr>
          <w:rFonts w:ascii="Aptos" w:hAnsi="Aptos"/>
        </w:rPr>
        <w:t xml:space="preserve">OFSC’s </w:t>
      </w:r>
      <w:hyperlink r:id="rId16" w:history="1">
        <w:r w:rsidR="00007F32" w:rsidRPr="00A2091E">
          <w:rPr>
            <w:rStyle w:val="Hyperlink"/>
            <w:rFonts w:ascii="Aptos" w:hAnsi="Aptos"/>
          </w:rPr>
          <w:t>Hazard</w:t>
        </w:r>
        <w:r w:rsidR="000639F2">
          <w:rPr>
            <w:rStyle w:val="Hyperlink"/>
            <w:rFonts w:ascii="Aptos" w:hAnsi="Aptos"/>
          </w:rPr>
          <w:t xml:space="preserve"> </w:t>
        </w:r>
        <w:r w:rsidR="006B4DD5">
          <w:rPr>
            <w:rStyle w:val="Hyperlink"/>
            <w:rFonts w:ascii="Aptos" w:hAnsi="Aptos"/>
          </w:rPr>
          <w:t>Audit</w:t>
        </w:r>
        <w:r w:rsidR="00007F32" w:rsidRPr="00A2091E">
          <w:rPr>
            <w:rStyle w:val="Hyperlink"/>
            <w:rFonts w:ascii="Aptos" w:hAnsi="Aptos"/>
          </w:rPr>
          <w:t xml:space="preserve"> Criteria</w:t>
        </w:r>
      </w:hyperlink>
      <w:r w:rsidR="00AD6B1C">
        <w:rPr>
          <w:rFonts w:ascii="Aptos" w:hAnsi="Aptos"/>
        </w:rPr>
        <w:t xml:space="preserve">, which focus </w:t>
      </w:r>
      <w:r w:rsidR="007A0972">
        <w:rPr>
          <w:rFonts w:ascii="Aptos" w:hAnsi="Aptos"/>
        </w:rPr>
        <w:t xml:space="preserve">on appropriate risk identification, assessment and control in accordance with the hierarchy of control. </w:t>
      </w:r>
    </w:p>
    <w:p w14:paraId="02177D06" w14:textId="5234A13B" w:rsidR="00DA2B2B" w:rsidRPr="0085746F" w:rsidRDefault="00ED187E" w:rsidP="006B29F2">
      <w:pPr>
        <w:rPr>
          <w:rFonts w:ascii="Aptos" w:hAnsi="Aptos"/>
        </w:rPr>
      </w:pPr>
      <w:r w:rsidRPr="0085746F">
        <w:rPr>
          <w:rFonts w:ascii="Aptos" w:hAnsi="Aptos"/>
        </w:rPr>
        <w:t xml:space="preserve">Facilitated by the head contractor, the HRW brings together key stakeholders involved in the delivery of the high-risk work. </w:t>
      </w:r>
    </w:p>
    <w:p w14:paraId="761D1DF1" w14:textId="0FCEE03C" w:rsidR="002A6D99" w:rsidRPr="0085746F" w:rsidRDefault="00054704" w:rsidP="006B29F2">
      <w:pPr>
        <w:rPr>
          <w:rFonts w:ascii="Aptos" w:hAnsi="Aptos"/>
        </w:rPr>
      </w:pPr>
      <w:r w:rsidRPr="0085746F">
        <w:rPr>
          <w:rFonts w:ascii="Aptos" w:hAnsi="Aptos"/>
        </w:rPr>
        <w:t xml:space="preserve">Ideally, those </w:t>
      </w:r>
      <w:r w:rsidR="00ED187E" w:rsidRPr="0085746F">
        <w:rPr>
          <w:rFonts w:ascii="Aptos" w:hAnsi="Aptos"/>
        </w:rPr>
        <w:t xml:space="preserve">stakeholders include, but are not limited to: </w:t>
      </w:r>
    </w:p>
    <w:p w14:paraId="0A539C65" w14:textId="7C76E786" w:rsidR="00ED187E" w:rsidRPr="0085746F" w:rsidRDefault="00ED187E" w:rsidP="00ED187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 xml:space="preserve">Company management with decision making </w:t>
      </w:r>
      <w:r w:rsidR="00973848" w:rsidRPr="0085746F">
        <w:rPr>
          <w:rFonts w:ascii="Aptos" w:hAnsi="Aptos"/>
        </w:rPr>
        <w:t>authority</w:t>
      </w:r>
      <w:r w:rsidRPr="0085746F">
        <w:rPr>
          <w:rFonts w:ascii="Aptos" w:hAnsi="Aptos"/>
        </w:rPr>
        <w:t xml:space="preserve">, </w:t>
      </w:r>
    </w:p>
    <w:p w14:paraId="354749D1" w14:textId="3289DB93" w:rsidR="00ED187E" w:rsidRPr="0085746F" w:rsidRDefault="00ED187E" w:rsidP="00ED187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 xml:space="preserve">Work Health and Safety representatives/managers, </w:t>
      </w:r>
    </w:p>
    <w:p w14:paraId="6C34FDD5" w14:textId="15C2EC90" w:rsidR="00ED187E" w:rsidRPr="0085746F" w:rsidRDefault="00ED187E" w:rsidP="00ED187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Site staff (including supervisors, engineers</w:t>
      </w:r>
      <w:r w:rsidR="0014346B" w:rsidRPr="0085746F">
        <w:rPr>
          <w:rFonts w:ascii="Aptos" w:hAnsi="Aptos"/>
        </w:rPr>
        <w:t>)</w:t>
      </w:r>
    </w:p>
    <w:p w14:paraId="6DE315A4" w14:textId="789D0B6B" w:rsidR="00ED187E" w:rsidRPr="0085746F" w:rsidRDefault="009E4A8A" w:rsidP="00ED187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Specialist s</w:t>
      </w:r>
      <w:r w:rsidR="00ED187E" w:rsidRPr="0085746F">
        <w:rPr>
          <w:rFonts w:ascii="Aptos" w:hAnsi="Aptos"/>
        </w:rPr>
        <w:t>ubcontractors</w:t>
      </w:r>
    </w:p>
    <w:p w14:paraId="02933898" w14:textId="3BCC0C92" w:rsidR="00E20765" w:rsidRPr="0085746F" w:rsidRDefault="00E20765" w:rsidP="00ED187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 xml:space="preserve">Other </w:t>
      </w:r>
      <w:r w:rsidR="004E2C12" w:rsidRPr="0085746F">
        <w:rPr>
          <w:rFonts w:ascii="Aptos" w:hAnsi="Aptos"/>
        </w:rPr>
        <w:t>workers</w:t>
      </w:r>
      <w:r w:rsidRPr="0085746F">
        <w:rPr>
          <w:rFonts w:ascii="Aptos" w:hAnsi="Aptos"/>
        </w:rPr>
        <w:t xml:space="preserve"> </w:t>
      </w:r>
      <w:r w:rsidR="00973848" w:rsidRPr="0085746F">
        <w:rPr>
          <w:rFonts w:ascii="Aptos" w:hAnsi="Aptos"/>
        </w:rPr>
        <w:t>involved in performing</w:t>
      </w:r>
      <w:r w:rsidRPr="0085746F">
        <w:rPr>
          <w:rFonts w:ascii="Aptos" w:hAnsi="Aptos"/>
        </w:rPr>
        <w:t xml:space="preserve"> the work, and </w:t>
      </w:r>
    </w:p>
    <w:p w14:paraId="65002928" w14:textId="6BB51EB6" w:rsidR="00E20765" w:rsidRPr="0085746F" w:rsidRDefault="00E20765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 xml:space="preserve">Consultants (where applicable). </w:t>
      </w:r>
    </w:p>
    <w:p w14:paraId="248B6C2D" w14:textId="63755096" w:rsidR="002A6D99" w:rsidRPr="0085746F" w:rsidRDefault="00E20765" w:rsidP="006B29F2">
      <w:pPr>
        <w:rPr>
          <w:rFonts w:ascii="Aptos" w:hAnsi="Aptos"/>
        </w:rPr>
      </w:pPr>
      <w:r w:rsidRPr="0085746F">
        <w:rPr>
          <w:rFonts w:ascii="Aptos" w:hAnsi="Aptos"/>
        </w:rPr>
        <w:t xml:space="preserve">The purpose of the HRW is to: </w:t>
      </w:r>
    </w:p>
    <w:p w14:paraId="04850898" w14:textId="1D8F7681" w:rsidR="00E20765" w:rsidRPr="0085746F" w:rsidRDefault="0040226D" w:rsidP="00E20765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>Develop and review detailed, site-specific work methodologies</w:t>
      </w:r>
      <w:r w:rsidR="00E20765" w:rsidRPr="0085746F">
        <w:rPr>
          <w:rFonts w:ascii="Aptos" w:hAnsi="Aptos"/>
        </w:rPr>
        <w:t xml:space="preserve"> for </w:t>
      </w:r>
      <w:r w:rsidR="00973848" w:rsidRPr="0085746F">
        <w:rPr>
          <w:rFonts w:ascii="Aptos" w:hAnsi="Aptos"/>
        </w:rPr>
        <w:t xml:space="preserve">the </w:t>
      </w:r>
      <w:r w:rsidR="00E20765" w:rsidRPr="0085746F">
        <w:rPr>
          <w:rFonts w:ascii="Aptos" w:hAnsi="Aptos"/>
        </w:rPr>
        <w:t>high-risk work</w:t>
      </w:r>
    </w:p>
    <w:p w14:paraId="2B12B93D" w14:textId="28AD9C1B" w:rsidR="00E20765" w:rsidRPr="0085746F" w:rsidRDefault="00E20765" w:rsidP="000A3BF5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lastRenderedPageBreak/>
        <w:t xml:space="preserve">Consider </w:t>
      </w:r>
      <w:r w:rsidR="0040226D" w:rsidRPr="0085746F">
        <w:rPr>
          <w:rFonts w:ascii="Aptos" w:hAnsi="Aptos"/>
        </w:rPr>
        <w:t xml:space="preserve">logistics, </w:t>
      </w:r>
      <w:r w:rsidR="00556D72" w:rsidRPr="0085746F">
        <w:rPr>
          <w:rFonts w:ascii="Aptos" w:hAnsi="Aptos"/>
        </w:rPr>
        <w:t xml:space="preserve">site </w:t>
      </w:r>
      <w:r w:rsidR="0040226D" w:rsidRPr="0085746F">
        <w:rPr>
          <w:rFonts w:ascii="Aptos" w:hAnsi="Aptos"/>
        </w:rPr>
        <w:t xml:space="preserve">conditions, and complex interfaces </w:t>
      </w:r>
      <w:r w:rsidRPr="0085746F">
        <w:rPr>
          <w:rFonts w:ascii="Aptos" w:hAnsi="Aptos"/>
        </w:rPr>
        <w:t>(</w:t>
      </w:r>
      <w:r w:rsidR="0040226D" w:rsidRPr="0085746F">
        <w:rPr>
          <w:rFonts w:ascii="Aptos" w:hAnsi="Aptos"/>
        </w:rPr>
        <w:t>incl</w:t>
      </w:r>
      <w:r w:rsidR="003C3AE0" w:rsidRPr="0085746F">
        <w:rPr>
          <w:rFonts w:ascii="Aptos" w:hAnsi="Aptos"/>
        </w:rPr>
        <w:t>u</w:t>
      </w:r>
      <w:r w:rsidR="006B581B" w:rsidRPr="0085746F">
        <w:rPr>
          <w:rFonts w:ascii="Aptos" w:hAnsi="Aptos"/>
        </w:rPr>
        <w:t>ding</w:t>
      </w:r>
      <w:r w:rsidR="0040226D" w:rsidRPr="0085746F">
        <w:rPr>
          <w:rFonts w:ascii="Aptos" w:hAnsi="Aptos"/>
        </w:rPr>
        <w:t xml:space="preserve"> temporary and permanent conditions</w:t>
      </w:r>
      <w:r w:rsidRPr="0085746F">
        <w:rPr>
          <w:rFonts w:ascii="Aptos" w:hAnsi="Aptos"/>
        </w:rPr>
        <w:t xml:space="preserve">) that might affect </w:t>
      </w:r>
      <w:r w:rsidR="003C13D2" w:rsidRPr="0085746F">
        <w:rPr>
          <w:rFonts w:ascii="Aptos" w:hAnsi="Aptos"/>
        </w:rPr>
        <w:t>those</w:t>
      </w:r>
      <w:r w:rsidRPr="0085746F">
        <w:rPr>
          <w:rFonts w:ascii="Aptos" w:hAnsi="Aptos"/>
        </w:rPr>
        <w:t xml:space="preserve"> methodologies</w:t>
      </w:r>
      <w:r w:rsidR="00E029F8" w:rsidRPr="0085746F">
        <w:rPr>
          <w:rFonts w:ascii="Aptos" w:hAnsi="Aptos"/>
        </w:rPr>
        <w:t>.</w:t>
      </w:r>
    </w:p>
    <w:p w14:paraId="2E51BBB7" w14:textId="623F5E69" w:rsidR="00E20765" w:rsidRPr="0085746F" w:rsidRDefault="00BC1A25" w:rsidP="00E20765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 xml:space="preserve">Systematically identify </w:t>
      </w:r>
      <w:r w:rsidR="00BD5DB4" w:rsidRPr="0085746F">
        <w:rPr>
          <w:rFonts w:ascii="Aptos" w:hAnsi="Aptos"/>
        </w:rPr>
        <w:t xml:space="preserve">and review </w:t>
      </w:r>
      <w:r w:rsidRPr="0085746F">
        <w:rPr>
          <w:rFonts w:ascii="Aptos" w:hAnsi="Aptos"/>
        </w:rPr>
        <w:t>all</w:t>
      </w:r>
      <w:r w:rsidR="003C13D2" w:rsidRPr="0085746F">
        <w:rPr>
          <w:rFonts w:ascii="Aptos" w:hAnsi="Aptos"/>
        </w:rPr>
        <w:t xml:space="preserve"> potential</w:t>
      </w:r>
      <w:r w:rsidRPr="0085746F">
        <w:rPr>
          <w:rFonts w:ascii="Aptos" w:hAnsi="Aptos"/>
        </w:rPr>
        <w:t xml:space="preserve"> hazards</w:t>
      </w:r>
    </w:p>
    <w:p w14:paraId="4AB08D66" w14:textId="274A7208" w:rsidR="00E20765" w:rsidRPr="0085746F" w:rsidRDefault="00E20765" w:rsidP="00E20765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>P</w:t>
      </w:r>
      <w:r w:rsidR="0028705A" w:rsidRPr="0085746F">
        <w:rPr>
          <w:rFonts w:ascii="Aptos" w:hAnsi="Aptos"/>
        </w:rPr>
        <w:t>rioritise hazards</w:t>
      </w:r>
      <w:r w:rsidRPr="0085746F">
        <w:rPr>
          <w:rFonts w:ascii="Aptos" w:hAnsi="Aptos"/>
        </w:rPr>
        <w:t>,</w:t>
      </w:r>
      <w:r w:rsidR="0028705A" w:rsidRPr="0085746F">
        <w:rPr>
          <w:rFonts w:ascii="Aptos" w:hAnsi="Aptos"/>
        </w:rPr>
        <w:t xml:space="preserve"> focusing control efforts on those with </w:t>
      </w:r>
      <w:r w:rsidR="003C13D2" w:rsidRPr="0085746F">
        <w:rPr>
          <w:rFonts w:ascii="Aptos" w:hAnsi="Aptos"/>
        </w:rPr>
        <w:t xml:space="preserve">the potential for </w:t>
      </w:r>
      <w:r w:rsidR="0028705A" w:rsidRPr="0085746F">
        <w:rPr>
          <w:rFonts w:ascii="Aptos" w:hAnsi="Aptos"/>
        </w:rPr>
        <w:t>serious injury or fatality</w:t>
      </w:r>
      <w:r w:rsidR="003C13D2" w:rsidRPr="0085746F">
        <w:rPr>
          <w:rFonts w:ascii="Aptos" w:hAnsi="Aptos"/>
        </w:rPr>
        <w:t>.</w:t>
      </w:r>
    </w:p>
    <w:p w14:paraId="51FA5108" w14:textId="526AF43B" w:rsidR="006569AD" w:rsidRPr="0085746F" w:rsidRDefault="006569AD" w:rsidP="00E20765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 xml:space="preserve">Collaborate to assess risks and agree on </w:t>
      </w:r>
      <w:r w:rsidR="003C13D2" w:rsidRPr="0085746F">
        <w:rPr>
          <w:rFonts w:ascii="Aptos" w:hAnsi="Aptos"/>
        </w:rPr>
        <w:t xml:space="preserve">appropriate </w:t>
      </w:r>
      <w:r w:rsidRPr="0085746F">
        <w:rPr>
          <w:rFonts w:ascii="Aptos" w:hAnsi="Aptos"/>
        </w:rPr>
        <w:t xml:space="preserve">controls. </w:t>
      </w:r>
    </w:p>
    <w:p w14:paraId="26F33777" w14:textId="6E05558D" w:rsidR="003C13D2" w:rsidRPr="0085746F" w:rsidRDefault="006569AD" w:rsidP="003C13D2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>Collaborate to document the agreed work scope, work sequences, hold points, inspection frequenc</w:t>
      </w:r>
      <w:r w:rsidR="003C13D2" w:rsidRPr="0085746F">
        <w:rPr>
          <w:rFonts w:ascii="Aptos" w:hAnsi="Aptos"/>
        </w:rPr>
        <w:t>ies</w:t>
      </w:r>
      <w:r w:rsidRPr="0085746F">
        <w:rPr>
          <w:rFonts w:ascii="Aptos" w:hAnsi="Aptos"/>
        </w:rPr>
        <w:t>, responsibilities and controls, and</w:t>
      </w:r>
    </w:p>
    <w:p w14:paraId="15650678" w14:textId="6D746FD5" w:rsidR="006569AD" w:rsidRPr="0085746F" w:rsidRDefault="006569AD" w:rsidP="003C13D2">
      <w:pPr>
        <w:pStyle w:val="ListParagraph"/>
        <w:numPr>
          <w:ilvl w:val="0"/>
          <w:numId w:val="31"/>
        </w:numPr>
        <w:rPr>
          <w:rFonts w:ascii="Aptos" w:hAnsi="Aptos"/>
        </w:rPr>
      </w:pPr>
      <w:r w:rsidRPr="0085746F">
        <w:rPr>
          <w:rFonts w:ascii="Aptos" w:hAnsi="Aptos"/>
        </w:rPr>
        <w:t>Incorporate lessons learned from past incidents to enhance control strategies.</w:t>
      </w:r>
    </w:p>
    <w:p w14:paraId="31BFC33C" w14:textId="707BCE29" w:rsidR="002A6D99" w:rsidRPr="0085746F" w:rsidRDefault="002A6D99" w:rsidP="000A3BF5">
      <w:pPr>
        <w:pStyle w:val="Heading2"/>
        <w:rPr>
          <w:rFonts w:ascii="Aptos" w:hAnsi="Aptos"/>
        </w:rPr>
      </w:pPr>
      <w:r w:rsidRPr="0085746F">
        <w:rPr>
          <w:rFonts w:ascii="Aptos" w:hAnsi="Aptos"/>
          <w:color w:val="9A1B27" w:themeColor="accent1"/>
        </w:rPr>
        <w:t>What is considered high</w:t>
      </w:r>
      <w:r w:rsidR="006569AD" w:rsidRPr="0085746F">
        <w:rPr>
          <w:rFonts w:ascii="Aptos" w:hAnsi="Aptos"/>
          <w:color w:val="9A1B27" w:themeColor="accent1"/>
        </w:rPr>
        <w:t>-</w:t>
      </w:r>
      <w:r w:rsidRPr="0085746F">
        <w:rPr>
          <w:rFonts w:ascii="Aptos" w:hAnsi="Aptos"/>
          <w:color w:val="9A1B27" w:themeColor="accent1"/>
        </w:rPr>
        <w:t>risk work?</w:t>
      </w:r>
    </w:p>
    <w:p w14:paraId="6BDE941D" w14:textId="5E3D9430" w:rsidR="00DA5787" w:rsidRPr="0085746F" w:rsidRDefault="002A6D99" w:rsidP="000A3BF5">
      <w:pPr>
        <w:spacing w:before="240" w:after="0"/>
        <w:rPr>
          <w:rFonts w:ascii="Aptos" w:hAnsi="Aptos"/>
        </w:rPr>
      </w:pPr>
      <w:r w:rsidRPr="0085746F">
        <w:rPr>
          <w:rFonts w:ascii="Aptos" w:hAnsi="Aptos"/>
        </w:rPr>
        <w:t xml:space="preserve">HRWs are typically conducted for the following </w:t>
      </w:r>
      <w:r w:rsidR="003C13D2" w:rsidRPr="0085746F">
        <w:rPr>
          <w:rFonts w:ascii="Aptos" w:hAnsi="Aptos"/>
        </w:rPr>
        <w:t xml:space="preserve">types of </w:t>
      </w:r>
      <w:r w:rsidRPr="0085746F">
        <w:rPr>
          <w:rFonts w:ascii="Aptos" w:hAnsi="Aptos"/>
        </w:rPr>
        <w:t>high-risk activities:</w:t>
      </w:r>
    </w:p>
    <w:p w14:paraId="400A5367" w14:textId="77777777" w:rsidR="002A6D99" w:rsidRPr="0085746F" w:rsidRDefault="002A6D99" w:rsidP="00DA5787">
      <w:pPr>
        <w:pStyle w:val="ListBullet"/>
        <w:spacing w:before="240" w:after="0" w:line="276" w:lineRule="auto"/>
        <w:rPr>
          <w:rFonts w:ascii="Aptos" w:hAnsi="Aptos"/>
        </w:rPr>
      </w:pPr>
      <w:r w:rsidRPr="0085746F">
        <w:rPr>
          <w:rFonts w:ascii="Aptos" w:hAnsi="Aptos"/>
        </w:rPr>
        <w:t>Demolition Works</w:t>
      </w:r>
    </w:p>
    <w:p w14:paraId="672E63F7" w14:textId="5DAFE859" w:rsidR="002A6D99" w:rsidRPr="0085746F" w:rsidRDefault="002A6D99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 xml:space="preserve">Civil Works (including Excavation, Trenching, Piling, </w:t>
      </w:r>
      <w:r w:rsidR="003C13D2" w:rsidRPr="0085746F">
        <w:rPr>
          <w:rFonts w:ascii="Aptos" w:hAnsi="Aptos"/>
        </w:rPr>
        <w:t xml:space="preserve">Ground </w:t>
      </w:r>
      <w:r w:rsidRPr="0085746F">
        <w:rPr>
          <w:rFonts w:ascii="Aptos" w:hAnsi="Aptos"/>
        </w:rPr>
        <w:t xml:space="preserve">Anchors </w:t>
      </w:r>
      <w:r w:rsidR="003C13D2" w:rsidRPr="0085746F">
        <w:rPr>
          <w:rFonts w:ascii="Aptos" w:hAnsi="Aptos"/>
        </w:rPr>
        <w:t>or other</w:t>
      </w:r>
      <w:r w:rsidRPr="0085746F">
        <w:rPr>
          <w:rFonts w:ascii="Aptos" w:hAnsi="Aptos"/>
        </w:rPr>
        <w:t xml:space="preserve"> Ground improvement)</w:t>
      </w:r>
    </w:p>
    <w:p w14:paraId="79BDFADB" w14:textId="1A507F53" w:rsidR="002A6D99" w:rsidRPr="0085746F" w:rsidRDefault="002A6D99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>Structural Works (incl. Jump Forms, Perimeter Screens, Formwork, Falsework, Structural Steel, Precast Concrete, Complex Structures and/or elements)</w:t>
      </w:r>
    </w:p>
    <w:p w14:paraId="084D94A1" w14:textId="7E5B36E6" w:rsidR="002A6D99" w:rsidRPr="0085746F" w:rsidRDefault="003C13D2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 xml:space="preserve">Use of </w:t>
      </w:r>
      <w:r w:rsidR="002A6D99" w:rsidRPr="0085746F">
        <w:rPr>
          <w:rFonts w:ascii="Aptos" w:hAnsi="Aptos"/>
        </w:rPr>
        <w:t>Explosives / Blasting</w:t>
      </w:r>
    </w:p>
    <w:p w14:paraId="234B9BB6" w14:textId="77777777" w:rsidR="002A6D99" w:rsidRPr="0085746F" w:rsidRDefault="002A6D99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>Façades and Roofing Works</w:t>
      </w:r>
    </w:p>
    <w:p w14:paraId="26A169F0" w14:textId="23E6E45E" w:rsidR="002A6D99" w:rsidRPr="0085746F" w:rsidRDefault="002A6D99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 xml:space="preserve">Hazardous Materials </w:t>
      </w:r>
      <w:r w:rsidR="003C13D2" w:rsidRPr="0085746F">
        <w:rPr>
          <w:rFonts w:ascii="Aptos" w:hAnsi="Aptos"/>
        </w:rPr>
        <w:t xml:space="preserve">removal </w:t>
      </w:r>
      <w:r w:rsidRPr="0085746F">
        <w:rPr>
          <w:rFonts w:ascii="Aptos" w:hAnsi="Aptos"/>
        </w:rPr>
        <w:t>(incl. Lead Paint, Asbestos removal)</w:t>
      </w:r>
    </w:p>
    <w:p w14:paraId="1969E758" w14:textId="58BC5B4A" w:rsidR="002A6D99" w:rsidRPr="0085746F" w:rsidRDefault="003C13D2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 xml:space="preserve">Work in </w:t>
      </w:r>
      <w:r w:rsidR="002A6D99" w:rsidRPr="0085746F">
        <w:rPr>
          <w:rFonts w:ascii="Aptos" w:hAnsi="Aptos"/>
        </w:rPr>
        <w:t>Confined spaces</w:t>
      </w:r>
    </w:p>
    <w:p w14:paraId="0EDCD591" w14:textId="1D195459" w:rsidR="002A6D99" w:rsidRPr="0085746F" w:rsidRDefault="002A6D99" w:rsidP="002A6D99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>Electrical</w:t>
      </w:r>
      <w:r w:rsidR="00714C04">
        <w:rPr>
          <w:rFonts w:ascii="Aptos" w:hAnsi="Aptos"/>
        </w:rPr>
        <w:t>, and</w:t>
      </w:r>
    </w:p>
    <w:p w14:paraId="1CF8E262" w14:textId="40D48EDA" w:rsidR="00A913A8" w:rsidRPr="00840D32" w:rsidRDefault="002A6D99" w:rsidP="00840D32">
      <w:pPr>
        <w:pStyle w:val="ListBullet"/>
        <w:spacing w:line="276" w:lineRule="auto"/>
        <w:rPr>
          <w:rFonts w:ascii="Aptos" w:hAnsi="Aptos"/>
        </w:rPr>
      </w:pPr>
      <w:r w:rsidRPr="0085746F">
        <w:rPr>
          <w:rFonts w:ascii="Aptos" w:hAnsi="Aptos"/>
        </w:rPr>
        <w:t>Fixed Plant (including erecting, dismantling, and climbing of Tower Cranes and Hoists)</w:t>
      </w:r>
    </w:p>
    <w:p w14:paraId="23F1F7AB" w14:textId="1E37BBFE" w:rsidR="00A913A8" w:rsidRPr="0085746F" w:rsidRDefault="00A913A8" w:rsidP="00840D32">
      <w:pPr>
        <w:spacing w:before="240"/>
        <w:rPr>
          <w:rFonts w:ascii="Aptos" w:hAnsi="Aptos"/>
        </w:rPr>
      </w:pPr>
      <w:r>
        <w:rPr>
          <w:rFonts w:ascii="Aptos" w:hAnsi="Aptos"/>
        </w:rPr>
        <w:t xml:space="preserve">The OFSC recommends </w:t>
      </w:r>
      <w:r w:rsidR="00840D32">
        <w:rPr>
          <w:rFonts w:ascii="Aptos" w:hAnsi="Aptos"/>
        </w:rPr>
        <w:t>holding</w:t>
      </w:r>
      <w:r w:rsidR="00A2091E">
        <w:rPr>
          <w:rFonts w:ascii="Aptos" w:hAnsi="Aptos"/>
        </w:rPr>
        <w:t xml:space="preserve"> a HRW </w:t>
      </w:r>
      <w:r w:rsidR="0012195F">
        <w:rPr>
          <w:rFonts w:ascii="Aptos" w:hAnsi="Aptos"/>
        </w:rPr>
        <w:t xml:space="preserve">when </w:t>
      </w:r>
      <w:r w:rsidR="00CB023D">
        <w:rPr>
          <w:rFonts w:ascii="Aptos" w:hAnsi="Aptos"/>
        </w:rPr>
        <w:t xml:space="preserve">conducting any of </w:t>
      </w:r>
      <w:r w:rsidR="000639F2">
        <w:rPr>
          <w:rFonts w:ascii="Aptos" w:hAnsi="Aptos"/>
        </w:rPr>
        <w:t xml:space="preserve">high-risk work addressed in the </w:t>
      </w:r>
      <w:hyperlink r:id="rId17" w:history="1">
        <w:r w:rsidR="000639F2" w:rsidRPr="006B4DD5">
          <w:rPr>
            <w:rStyle w:val="Hyperlink"/>
            <w:rFonts w:ascii="Aptos" w:hAnsi="Aptos"/>
          </w:rPr>
          <w:t xml:space="preserve">Hazard </w:t>
        </w:r>
        <w:r w:rsidR="006B4DD5" w:rsidRPr="006B4DD5">
          <w:rPr>
            <w:rStyle w:val="Hyperlink"/>
            <w:rFonts w:ascii="Aptos" w:hAnsi="Aptos"/>
          </w:rPr>
          <w:t xml:space="preserve">Audit </w:t>
        </w:r>
        <w:r w:rsidR="000639F2" w:rsidRPr="006B4DD5">
          <w:rPr>
            <w:rStyle w:val="Hyperlink"/>
            <w:rFonts w:ascii="Aptos" w:hAnsi="Aptos"/>
          </w:rPr>
          <w:t>Criteria</w:t>
        </w:r>
      </w:hyperlink>
      <w:r w:rsidR="006B4DD5">
        <w:rPr>
          <w:rFonts w:ascii="Aptos" w:hAnsi="Aptos"/>
        </w:rPr>
        <w:t>.</w:t>
      </w:r>
    </w:p>
    <w:p w14:paraId="73F47CF6" w14:textId="448786B8" w:rsidR="00510D78" w:rsidRPr="0085746F" w:rsidRDefault="00510D78" w:rsidP="000A3BF5">
      <w:pPr>
        <w:pStyle w:val="Heading2"/>
        <w:spacing w:after="240"/>
        <w:rPr>
          <w:rFonts w:ascii="Aptos" w:hAnsi="Aptos"/>
        </w:rPr>
      </w:pPr>
      <w:r w:rsidRPr="0085746F">
        <w:rPr>
          <w:rFonts w:ascii="Aptos" w:hAnsi="Aptos"/>
          <w:color w:val="9A1B27" w:themeColor="accent1"/>
        </w:rPr>
        <w:t xml:space="preserve">How do you plan and conduct </w:t>
      </w:r>
      <w:r w:rsidR="005F1F15" w:rsidRPr="0085746F">
        <w:rPr>
          <w:rFonts w:ascii="Aptos" w:hAnsi="Aptos"/>
          <w:color w:val="9A1B27" w:themeColor="accent1"/>
        </w:rPr>
        <w:t xml:space="preserve">a </w:t>
      </w:r>
      <w:r w:rsidRPr="0085746F">
        <w:rPr>
          <w:rFonts w:ascii="Aptos" w:hAnsi="Aptos"/>
          <w:color w:val="9A1B27" w:themeColor="accent1"/>
        </w:rPr>
        <w:t>HRW</w:t>
      </w:r>
      <w:r w:rsidR="003C7D5D" w:rsidRPr="0085746F">
        <w:rPr>
          <w:rFonts w:ascii="Aptos" w:hAnsi="Aptos"/>
          <w:color w:val="9A1B27" w:themeColor="accent1"/>
        </w:rPr>
        <w:t>?</w:t>
      </w:r>
    </w:p>
    <w:p w14:paraId="1E10E00A" w14:textId="287E43A8" w:rsidR="00ED187E" w:rsidRPr="0085746F" w:rsidRDefault="00ED187E" w:rsidP="003C7D5D">
      <w:pPr>
        <w:rPr>
          <w:rFonts w:ascii="Aptos" w:hAnsi="Aptos"/>
        </w:rPr>
      </w:pPr>
      <w:r w:rsidRPr="0085746F">
        <w:rPr>
          <w:rFonts w:ascii="Aptos" w:hAnsi="Aptos"/>
        </w:rPr>
        <w:t xml:space="preserve">There are three distinct stages to deliver a HRW. If you are conducting a HRW, this should occur prior to commencing the high-risk work. </w:t>
      </w:r>
    </w:p>
    <w:p w14:paraId="60D22677" w14:textId="77777777" w:rsidR="00407FF9" w:rsidRPr="0085746F" w:rsidRDefault="00407FF9" w:rsidP="00407FF9">
      <w:pPr>
        <w:rPr>
          <w:rFonts w:ascii="Aptos" w:hAnsi="Aptos"/>
          <w:b/>
          <w:bCs/>
        </w:rPr>
      </w:pPr>
      <w:r w:rsidRPr="0085746F">
        <w:rPr>
          <w:rFonts w:ascii="Aptos" w:hAnsi="Aptos"/>
          <w:b/>
          <w:bCs/>
        </w:rPr>
        <w:t>1. Identification Stage</w:t>
      </w:r>
    </w:p>
    <w:p w14:paraId="550C25D0" w14:textId="694C6546" w:rsidR="00407FF9" w:rsidRPr="0085746F" w:rsidRDefault="006569AD" w:rsidP="00407FF9">
      <w:pPr>
        <w:rPr>
          <w:rFonts w:ascii="Aptos" w:hAnsi="Aptos"/>
        </w:rPr>
      </w:pPr>
      <w:r w:rsidRPr="0085746F">
        <w:rPr>
          <w:rFonts w:ascii="Aptos" w:hAnsi="Aptos"/>
        </w:rPr>
        <w:t>The</w:t>
      </w:r>
      <w:r w:rsidR="00B503BB" w:rsidRPr="0085746F">
        <w:rPr>
          <w:rFonts w:ascii="Aptos" w:hAnsi="Aptos"/>
        </w:rPr>
        <w:t xml:space="preserve"> identification</w:t>
      </w:r>
      <w:r w:rsidR="00407FF9" w:rsidRPr="0085746F">
        <w:rPr>
          <w:rFonts w:ascii="Aptos" w:hAnsi="Aptos"/>
        </w:rPr>
        <w:t xml:space="preserve"> stage</w:t>
      </w:r>
      <w:r w:rsidR="00BE7440" w:rsidRPr="0085746F">
        <w:rPr>
          <w:rFonts w:ascii="Aptos" w:hAnsi="Aptos"/>
        </w:rPr>
        <w:t xml:space="preserve"> is </w:t>
      </w:r>
      <w:r w:rsidRPr="0085746F">
        <w:rPr>
          <w:rFonts w:ascii="Aptos" w:hAnsi="Aptos"/>
        </w:rPr>
        <w:t>when</w:t>
      </w:r>
      <w:r w:rsidR="00BE7440" w:rsidRPr="0085746F">
        <w:rPr>
          <w:rFonts w:ascii="Aptos" w:hAnsi="Aptos"/>
        </w:rPr>
        <w:t xml:space="preserve"> the </w:t>
      </w:r>
      <w:r w:rsidR="00ED187E" w:rsidRPr="0085746F">
        <w:rPr>
          <w:rFonts w:ascii="Aptos" w:hAnsi="Aptos"/>
        </w:rPr>
        <w:t>head contractor</w:t>
      </w:r>
      <w:r w:rsidRPr="0085746F">
        <w:rPr>
          <w:rFonts w:ascii="Aptos" w:hAnsi="Aptos"/>
        </w:rPr>
        <w:t xml:space="preserve"> </w:t>
      </w:r>
      <w:r w:rsidR="00054704" w:rsidRPr="0085746F">
        <w:rPr>
          <w:rFonts w:ascii="Aptos" w:hAnsi="Aptos"/>
        </w:rPr>
        <w:t xml:space="preserve">and specialist subcontractors </w:t>
      </w:r>
      <w:r w:rsidR="001B5AEE" w:rsidRPr="0085746F">
        <w:rPr>
          <w:rFonts w:ascii="Aptos" w:hAnsi="Aptos"/>
        </w:rPr>
        <w:t>determine</w:t>
      </w:r>
      <w:r w:rsidR="007B0D0B" w:rsidRPr="0085746F">
        <w:rPr>
          <w:rFonts w:ascii="Aptos" w:hAnsi="Aptos"/>
        </w:rPr>
        <w:t xml:space="preserve"> which </w:t>
      </w:r>
      <w:r w:rsidR="003C13D2" w:rsidRPr="0085746F">
        <w:rPr>
          <w:rFonts w:ascii="Aptos" w:hAnsi="Aptos"/>
        </w:rPr>
        <w:t xml:space="preserve">upcoming work </w:t>
      </w:r>
      <w:r w:rsidR="007B0D0B" w:rsidRPr="0085746F">
        <w:rPr>
          <w:rFonts w:ascii="Aptos" w:hAnsi="Aptos"/>
        </w:rPr>
        <w:t xml:space="preserve">activities qualify as high-risk and </w:t>
      </w:r>
      <w:r w:rsidR="003C13D2" w:rsidRPr="0085746F">
        <w:rPr>
          <w:rFonts w:ascii="Aptos" w:hAnsi="Aptos"/>
        </w:rPr>
        <w:t xml:space="preserve">therefore </w:t>
      </w:r>
      <w:r w:rsidR="007B0D0B" w:rsidRPr="0085746F">
        <w:rPr>
          <w:rFonts w:ascii="Aptos" w:hAnsi="Aptos"/>
        </w:rPr>
        <w:t>require a HRW</w:t>
      </w:r>
      <w:r w:rsidRPr="0085746F">
        <w:rPr>
          <w:rFonts w:ascii="Aptos" w:hAnsi="Aptos"/>
        </w:rPr>
        <w:t xml:space="preserve">. </w:t>
      </w:r>
    </w:p>
    <w:p w14:paraId="4E0EC381" w14:textId="77777777" w:rsidR="00840D32" w:rsidRDefault="00840D32" w:rsidP="00F70F8D">
      <w:pPr>
        <w:rPr>
          <w:rFonts w:ascii="Aptos" w:hAnsi="Aptos"/>
          <w:b/>
          <w:bCs/>
        </w:rPr>
      </w:pPr>
    </w:p>
    <w:p w14:paraId="67CAAC9D" w14:textId="77777777" w:rsidR="00840D32" w:rsidRDefault="00840D32" w:rsidP="00F70F8D">
      <w:pPr>
        <w:rPr>
          <w:rFonts w:ascii="Aptos" w:hAnsi="Aptos"/>
          <w:b/>
          <w:bCs/>
        </w:rPr>
      </w:pPr>
    </w:p>
    <w:p w14:paraId="65FB454E" w14:textId="276EFC1D" w:rsidR="00F70F8D" w:rsidRPr="0085746F" w:rsidRDefault="00F70F8D" w:rsidP="00F70F8D">
      <w:pPr>
        <w:rPr>
          <w:rFonts w:ascii="Aptos" w:hAnsi="Aptos"/>
          <w:b/>
          <w:bCs/>
        </w:rPr>
      </w:pPr>
      <w:r w:rsidRPr="0085746F">
        <w:rPr>
          <w:rFonts w:ascii="Aptos" w:hAnsi="Aptos"/>
          <w:b/>
          <w:bCs/>
        </w:rPr>
        <w:lastRenderedPageBreak/>
        <w:t xml:space="preserve">2. </w:t>
      </w:r>
      <w:r w:rsidR="000C48CE" w:rsidRPr="0085746F">
        <w:rPr>
          <w:rFonts w:ascii="Aptos" w:hAnsi="Aptos"/>
          <w:b/>
          <w:bCs/>
        </w:rPr>
        <w:t>Pre-</w:t>
      </w:r>
      <w:r w:rsidRPr="0085746F">
        <w:rPr>
          <w:rFonts w:ascii="Aptos" w:hAnsi="Aptos"/>
          <w:b/>
          <w:bCs/>
        </w:rPr>
        <w:t>Planning Stage</w:t>
      </w:r>
    </w:p>
    <w:p w14:paraId="4BADE8F2" w14:textId="7765B242" w:rsidR="000C48CE" w:rsidRPr="0085746F" w:rsidRDefault="00291340" w:rsidP="00283708">
      <w:pPr>
        <w:rPr>
          <w:rFonts w:ascii="Aptos" w:hAnsi="Aptos"/>
          <w:lang w:val="en-US"/>
        </w:rPr>
      </w:pPr>
      <w:r w:rsidRPr="0085746F">
        <w:rPr>
          <w:rFonts w:ascii="Aptos" w:hAnsi="Aptos"/>
        </w:rPr>
        <w:t>The pre-planning stage brings together</w:t>
      </w:r>
      <w:r w:rsidR="00054704" w:rsidRPr="0085746F">
        <w:rPr>
          <w:rFonts w:ascii="Aptos" w:hAnsi="Aptos"/>
        </w:rPr>
        <w:t xml:space="preserve"> the</w:t>
      </w:r>
      <w:r w:rsidRPr="0085746F">
        <w:rPr>
          <w:rFonts w:ascii="Aptos" w:hAnsi="Aptos"/>
        </w:rPr>
        <w:t xml:space="preserve"> </w:t>
      </w:r>
      <w:r w:rsidR="009E4A8A" w:rsidRPr="0085746F">
        <w:rPr>
          <w:rFonts w:ascii="Aptos" w:hAnsi="Aptos"/>
        </w:rPr>
        <w:t xml:space="preserve">specialist </w:t>
      </w:r>
      <w:r w:rsidRPr="0085746F">
        <w:rPr>
          <w:rFonts w:ascii="Aptos" w:hAnsi="Aptos"/>
        </w:rPr>
        <w:t xml:space="preserve">subcontractors and the head contractor </w:t>
      </w:r>
      <w:r w:rsidR="00ED1EA3" w:rsidRPr="0085746F">
        <w:rPr>
          <w:rFonts w:ascii="Aptos" w:hAnsi="Aptos"/>
          <w:lang w:val="en-US"/>
        </w:rPr>
        <w:t xml:space="preserve">to </w:t>
      </w:r>
      <w:r w:rsidR="003C13D2" w:rsidRPr="0085746F">
        <w:rPr>
          <w:rFonts w:ascii="Aptos" w:hAnsi="Aptos"/>
          <w:lang w:val="en-US"/>
        </w:rPr>
        <w:t xml:space="preserve">hold one or more </w:t>
      </w:r>
      <w:r w:rsidR="000C48CE" w:rsidRPr="0085746F">
        <w:rPr>
          <w:rFonts w:ascii="Aptos" w:hAnsi="Aptos"/>
          <w:lang w:val="en-US"/>
        </w:rPr>
        <w:t>pre-planning meeting</w:t>
      </w:r>
      <w:r w:rsidR="00F27E60" w:rsidRPr="0085746F">
        <w:rPr>
          <w:rFonts w:ascii="Aptos" w:hAnsi="Aptos"/>
          <w:lang w:val="en-US"/>
        </w:rPr>
        <w:t>(</w:t>
      </w:r>
      <w:r w:rsidR="000C48CE" w:rsidRPr="0085746F">
        <w:rPr>
          <w:rFonts w:ascii="Aptos" w:hAnsi="Aptos"/>
          <w:lang w:val="en-US"/>
        </w:rPr>
        <w:t>s</w:t>
      </w:r>
      <w:r w:rsidR="00F27E60" w:rsidRPr="0085746F">
        <w:rPr>
          <w:rFonts w:ascii="Aptos" w:hAnsi="Aptos"/>
          <w:lang w:val="en-US"/>
        </w:rPr>
        <w:t>)</w:t>
      </w:r>
      <w:r w:rsidR="000C48CE" w:rsidRPr="0085746F">
        <w:rPr>
          <w:rFonts w:ascii="Aptos" w:hAnsi="Aptos"/>
          <w:lang w:val="en-US"/>
        </w:rPr>
        <w:t xml:space="preserve"> </w:t>
      </w:r>
      <w:r w:rsidR="003C13D2" w:rsidRPr="0085746F">
        <w:rPr>
          <w:rFonts w:ascii="Aptos" w:hAnsi="Aptos"/>
          <w:lang w:val="en-US"/>
        </w:rPr>
        <w:t>to prepare</w:t>
      </w:r>
      <w:r w:rsidR="000C48CE" w:rsidRPr="0085746F">
        <w:rPr>
          <w:rFonts w:ascii="Aptos" w:hAnsi="Aptos"/>
          <w:lang w:val="en-US"/>
        </w:rPr>
        <w:t xml:space="preserve"> for the HRW</w:t>
      </w:r>
      <w:r w:rsidRPr="0085746F">
        <w:rPr>
          <w:rFonts w:ascii="Aptos" w:hAnsi="Aptos"/>
          <w:lang w:val="en-US"/>
        </w:rPr>
        <w:t xml:space="preserve">. </w:t>
      </w:r>
      <w:r w:rsidR="003C13D2" w:rsidRPr="0085746F">
        <w:rPr>
          <w:rFonts w:ascii="Aptos" w:hAnsi="Aptos"/>
        </w:rPr>
        <w:t>Key activities in this stage include:</w:t>
      </w:r>
    </w:p>
    <w:p w14:paraId="0E06EF8D" w14:textId="22014288" w:rsidR="00D65786" w:rsidRPr="0085746F" w:rsidRDefault="00D020B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P</w:t>
      </w:r>
      <w:r w:rsidR="00283708" w:rsidRPr="0085746F">
        <w:rPr>
          <w:rFonts w:ascii="Aptos" w:hAnsi="Aptos"/>
        </w:rPr>
        <w:t>ropos</w:t>
      </w:r>
      <w:r w:rsidR="004769BE" w:rsidRPr="0085746F">
        <w:rPr>
          <w:rFonts w:ascii="Aptos" w:hAnsi="Aptos"/>
        </w:rPr>
        <w:t xml:space="preserve">ing </w:t>
      </w:r>
      <w:r w:rsidR="00283708" w:rsidRPr="0085746F">
        <w:rPr>
          <w:rFonts w:ascii="Aptos" w:hAnsi="Aptos"/>
        </w:rPr>
        <w:t xml:space="preserve">a work methodology </w:t>
      </w:r>
      <w:r w:rsidR="0063351E" w:rsidRPr="0085746F">
        <w:rPr>
          <w:rFonts w:ascii="Aptos" w:hAnsi="Aptos"/>
        </w:rPr>
        <w:t xml:space="preserve">for undertaking their elements of high-risk work. </w:t>
      </w:r>
    </w:p>
    <w:p w14:paraId="18E614DE" w14:textId="25622271" w:rsidR="00A23E4B" w:rsidRPr="0085746F" w:rsidRDefault="00A23E4B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Prepar</w:t>
      </w:r>
      <w:r w:rsidR="004769BE" w:rsidRPr="0085746F">
        <w:rPr>
          <w:rFonts w:ascii="Aptos" w:hAnsi="Aptos"/>
        </w:rPr>
        <w:t>ing</w:t>
      </w:r>
      <w:r w:rsidRPr="0085746F">
        <w:rPr>
          <w:rFonts w:ascii="Aptos" w:hAnsi="Aptos"/>
        </w:rPr>
        <w:t xml:space="preserve"> site-specific materials such as drawings, digital models, sequence diagrams, and other visual aids to support clear understanding of scope and methodology for all stakeholders</w:t>
      </w:r>
    </w:p>
    <w:p w14:paraId="16AAF92B" w14:textId="5D7C2C59" w:rsidR="00291340" w:rsidRPr="0085746F" w:rsidRDefault="0086305C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I</w:t>
      </w:r>
      <w:r w:rsidR="0063351E" w:rsidRPr="0085746F">
        <w:rPr>
          <w:rFonts w:ascii="Aptos" w:hAnsi="Aptos"/>
        </w:rPr>
        <w:t>dentify</w:t>
      </w:r>
      <w:r w:rsidR="004769BE" w:rsidRPr="0085746F">
        <w:rPr>
          <w:rFonts w:ascii="Aptos" w:hAnsi="Aptos"/>
        </w:rPr>
        <w:t>ing</w:t>
      </w:r>
      <w:r w:rsidR="0063351E" w:rsidRPr="0085746F">
        <w:rPr>
          <w:rFonts w:ascii="Aptos" w:hAnsi="Aptos"/>
        </w:rPr>
        <w:t xml:space="preserve"> potential hazards</w:t>
      </w:r>
      <w:r w:rsidR="0064080B" w:rsidRPr="0085746F">
        <w:rPr>
          <w:rFonts w:ascii="Aptos" w:hAnsi="Aptos"/>
        </w:rPr>
        <w:t xml:space="preserve"> and risks</w:t>
      </w:r>
      <w:r w:rsidR="00F27E60" w:rsidRPr="0085746F">
        <w:rPr>
          <w:rFonts w:ascii="Aptos" w:hAnsi="Aptos"/>
        </w:rPr>
        <w:t xml:space="preserve"> associated with the </w:t>
      </w:r>
      <w:r w:rsidR="003C13D2" w:rsidRPr="0085746F">
        <w:rPr>
          <w:rFonts w:ascii="Aptos" w:hAnsi="Aptos"/>
        </w:rPr>
        <w:t xml:space="preserve">planned </w:t>
      </w:r>
      <w:r w:rsidR="00F27E60" w:rsidRPr="0085746F">
        <w:rPr>
          <w:rFonts w:ascii="Aptos" w:hAnsi="Aptos"/>
        </w:rPr>
        <w:t>high-risk work</w:t>
      </w:r>
    </w:p>
    <w:p w14:paraId="4E1923AC" w14:textId="13748E55" w:rsidR="00291340" w:rsidRPr="0085746F" w:rsidRDefault="00291340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P</w:t>
      </w:r>
      <w:r w:rsidR="0063351E" w:rsidRPr="0085746F">
        <w:rPr>
          <w:rFonts w:ascii="Aptos" w:hAnsi="Aptos"/>
        </w:rPr>
        <w:t>ropos</w:t>
      </w:r>
      <w:r w:rsidR="004769BE" w:rsidRPr="0085746F">
        <w:rPr>
          <w:rFonts w:ascii="Aptos" w:hAnsi="Aptos"/>
        </w:rPr>
        <w:t>ing</w:t>
      </w:r>
      <w:r w:rsidR="0063351E" w:rsidRPr="0085746F">
        <w:rPr>
          <w:rFonts w:ascii="Aptos" w:hAnsi="Aptos"/>
        </w:rPr>
        <w:t xml:space="preserve"> appropriate control measures to eliminate or mitigate </w:t>
      </w:r>
      <w:r w:rsidR="003C13D2" w:rsidRPr="0085746F">
        <w:rPr>
          <w:rFonts w:ascii="Aptos" w:hAnsi="Aptos"/>
        </w:rPr>
        <w:t>the identified</w:t>
      </w:r>
      <w:r w:rsidR="0063351E" w:rsidRPr="0085746F">
        <w:rPr>
          <w:rFonts w:ascii="Aptos" w:hAnsi="Aptos"/>
        </w:rPr>
        <w:t xml:space="preserve"> risks</w:t>
      </w:r>
      <w:r w:rsidR="004769BE" w:rsidRPr="0085746F">
        <w:rPr>
          <w:rFonts w:ascii="Aptos" w:hAnsi="Aptos"/>
        </w:rPr>
        <w:t>, and</w:t>
      </w:r>
    </w:p>
    <w:p w14:paraId="7E2B4F87" w14:textId="5198FC48" w:rsidR="006569AD" w:rsidRPr="0085746F" w:rsidRDefault="00857BF4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Review</w:t>
      </w:r>
      <w:r w:rsidR="004769BE" w:rsidRPr="0085746F">
        <w:rPr>
          <w:rFonts w:ascii="Aptos" w:hAnsi="Aptos"/>
        </w:rPr>
        <w:t>ing</w:t>
      </w:r>
      <w:r w:rsidR="00521D2B" w:rsidRPr="0085746F">
        <w:rPr>
          <w:rFonts w:ascii="Aptos" w:hAnsi="Aptos"/>
        </w:rPr>
        <w:t xml:space="preserve"> </w:t>
      </w:r>
      <w:r w:rsidRPr="0085746F">
        <w:rPr>
          <w:rFonts w:ascii="Aptos" w:hAnsi="Aptos"/>
        </w:rPr>
        <w:t xml:space="preserve">previous incident reports and lessons learned </w:t>
      </w:r>
      <w:r w:rsidR="00AC5CD0" w:rsidRPr="0085746F">
        <w:rPr>
          <w:rFonts w:ascii="Aptos" w:hAnsi="Aptos"/>
        </w:rPr>
        <w:t xml:space="preserve">from similar tasks, </w:t>
      </w:r>
      <w:r w:rsidRPr="0085746F">
        <w:rPr>
          <w:rFonts w:ascii="Aptos" w:hAnsi="Aptos"/>
        </w:rPr>
        <w:t xml:space="preserve">to inform hazard identification and </w:t>
      </w:r>
      <w:r w:rsidR="00AC5CD0" w:rsidRPr="0085746F">
        <w:rPr>
          <w:rFonts w:ascii="Aptos" w:hAnsi="Aptos"/>
        </w:rPr>
        <w:t xml:space="preserve">strengthen </w:t>
      </w:r>
      <w:r w:rsidRPr="0085746F">
        <w:rPr>
          <w:rFonts w:ascii="Aptos" w:hAnsi="Aptos"/>
        </w:rPr>
        <w:t>control strategies</w:t>
      </w:r>
      <w:r w:rsidR="004769BE" w:rsidRPr="0085746F">
        <w:rPr>
          <w:rFonts w:ascii="Aptos" w:hAnsi="Aptos"/>
        </w:rPr>
        <w:t xml:space="preserve">. </w:t>
      </w:r>
    </w:p>
    <w:p w14:paraId="62A13205" w14:textId="0E7346D0" w:rsidR="002000AB" w:rsidRPr="0085746F" w:rsidRDefault="002000AB" w:rsidP="00283708">
      <w:pPr>
        <w:rPr>
          <w:rFonts w:ascii="Aptos" w:hAnsi="Aptos"/>
          <w:b/>
          <w:bCs/>
          <w:lang w:val="en-US"/>
        </w:rPr>
      </w:pPr>
      <w:r w:rsidRPr="0085746F">
        <w:rPr>
          <w:rFonts w:ascii="Aptos" w:hAnsi="Aptos"/>
          <w:b/>
          <w:bCs/>
          <w:lang w:val="en-US"/>
        </w:rPr>
        <w:t xml:space="preserve">3. </w:t>
      </w:r>
      <w:r w:rsidR="00E442F4" w:rsidRPr="0085746F">
        <w:rPr>
          <w:rFonts w:ascii="Aptos" w:hAnsi="Aptos"/>
          <w:b/>
          <w:bCs/>
          <w:lang w:val="en-US"/>
        </w:rPr>
        <w:t>HRW Stage</w:t>
      </w:r>
    </w:p>
    <w:p w14:paraId="0AA02148" w14:textId="1C7A614F" w:rsidR="004769BE" w:rsidRPr="0085746F" w:rsidRDefault="004769BE" w:rsidP="004769BE">
      <w:pPr>
        <w:rPr>
          <w:rFonts w:ascii="Aptos" w:hAnsi="Aptos"/>
          <w:lang w:val="en-US"/>
        </w:rPr>
      </w:pPr>
      <w:r w:rsidRPr="0085746F">
        <w:rPr>
          <w:rFonts w:ascii="Aptos" w:hAnsi="Aptos"/>
        </w:rPr>
        <w:t xml:space="preserve">The HRW stage brings together </w:t>
      </w:r>
      <w:r w:rsidR="009E4A8A" w:rsidRPr="0085746F">
        <w:rPr>
          <w:rFonts w:ascii="Aptos" w:hAnsi="Aptos"/>
        </w:rPr>
        <w:t xml:space="preserve">specialist </w:t>
      </w:r>
      <w:r w:rsidRPr="0085746F">
        <w:rPr>
          <w:rFonts w:ascii="Aptos" w:hAnsi="Aptos"/>
        </w:rPr>
        <w:t>subcontractors</w:t>
      </w:r>
      <w:r w:rsidR="00AC5CD0" w:rsidRPr="0085746F">
        <w:rPr>
          <w:rFonts w:ascii="Aptos" w:hAnsi="Aptos"/>
        </w:rPr>
        <w:t xml:space="preserve">, </w:t>
      </w:r>
      <w:r w:rsidRPr="0085746F">
        <w:rPr>
          <w:rFonts w:ascii="Aptos" w:hAnsi="Aptos"/>
        </w:rPr>
        <w:t>the head contractor</w:t>
      </w:r>
      <w:r w:rsidR="00AC5CD0" w:rsidRPr="0085746F">
        <w:rPr>
          <w:rFonts w:ascii="Aptos" w:hAnsi="Aptos"/>
        </w:rPr>
        <w:t xml:space="preserve"> and other key stakeholders</w:t>
      </w:r>
      <w:r w:rsidRPr="0085746F">
        <w:rPr>
          <w:rFonts w:ascii="Aptos" w:hAnsi="Aptos"/>
        </w:rPr>
        <w:t xml:space="preserve"> </w:t>
      </w:r>
      <w:r w:rsidRPr="0085746F">
        <w:rPr>
          <w:rFonts w:ascii="Aptos" w:hAnsi="Aptos"/>
          <w:lang w:val="en-US"/>
        </w:rPr>
        <w:t xml:space="preserve">to conduct the HRW. This stage includes: </w:t>
      </w:r>
    </w:p>
    <w:p w14:paraId="7370E4AA" w14:textId="366399B6" w:rsidR="004769BE" w:rsidRPr="0085746F" w:rsidRDefault="00116000" w:rsidP="004769BE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Walking through the planned methodology and sequence</w:t>
      </w:r>
      <w:r w:rsidR="00AC5CD0" w:rsidRPr="0085746F">
        <w:rPr>
          <w:rFonts w:ascii="Aptos" w:hAnsi="Aptos"/>
        </w:rPr>
        <w:t xml:space="preserve"> step by step</w:t>
      </w:r>
    </w:p>
    <w:p w14:paraId="4123244C" w14:textId="3EC669C7" w:rsidR="00116000" w:rsidRPr="0085746F" w:rsidRDefault="004769B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P</w:t>
      </w:r>
      <w:r w:rsidR="00116000" w:rsidRPr="0085746F">
        <w:rPr>
          <w:rFonts w:ascii="Aptos" w:hAnsi="Aptos"/>
        </w:rPr>
        <w:t>resenting and reviewing the pre-identified hazards to all stakeholders</w:t>
      </w:r>
    </w:p>
    <w:p w14:paraId="7C343E1D" w14:textId="1350FCCC" w:rsidR="00116000" w:rsidRPr="0085746F" w:rsidRDefault="00116000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Collaboratively identifying additional hazards</w:t>
      </w:r>
      <w:r w:rsidR="00AC5CD0" w:rsidRPr="0085746F">
        <w:rPr>
          <w:rFonts w:ascii="Aptos" w:hAnsi="Aptos"/>
        </w:rPr>
        <w:t>,</w:t>
      </w:r>
      <w:r w:rsidRPr="0085746F">
        <w:rPr>
          <w:rFonts w:ascii="Aptos" w:hAnsi="Aptos"/>
        </w:rPr>
        <w:t xml:space="preserve"> </w:t>
      </w:r>
      <w:r w:rsidR="00AC5CD0" w:rsidRPr="0085746F">
        <w:rPr>
          <w:rFonts w:ascii="Aptos" w:hAnsi="Aptos"/>
        </w:rPr>
        <w:t xml:space="preserve">encouraged by </w:t>
      </w:r>
      <w:r w:rsidRPr="0085746F">
        <w:rPr>
          <w:rFonts w:ascii="Aptos" w:hAnsi="Aptos"/>
        </w:rPr>
        <w:t xml:space="preserve">input from all stakeholders </w:t>
      </w:r>
    </w:p>
    <w:p w14:paraId="7B3FDBD0" w14:textId="763A977E" w:rsidR="00116000" w:rsidRPr="0085746F" w:rsidRDefault="00DE32B6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R</w:t>
      </w:r>
      <w:r w:rsidR="00116000" w:rsidRPr="0085746F">
        <w:rPr>
          <w:rFonts w:ascii="Aptos" w:hAnsi="Aptos"/>
        </w:rPr>
        <w:t xml:space="preserve">eviewing the </w:t>
      </w:r>
      <w:r w:rsidRPr="0085746F">
        <w:rPr>
          <w:rFonts w:ascii="Aptos" w:hAnsi="Aptos"/>
        </w:rPr>
        <w:t xml:space="preserve">pre-identified </w:t>
      </w:r>
      <w:r w:rsidR="00116000" w:rsidRPr="0085746F">
        <w:rPr>
          <w:rFonts w:ascii="Aptos" w:hAnsi="Aptos"/>
        </w:rPr>
        <w:t xml:space="preserve">controls </w:t>
      </w:r>
      <w:r w:rsidRPr="0085746F">
        <w:rPr>
          <w:rFonts w:ascii="Aptos" w:hAnsi="Aptos"/>
        </w:rPr>
        <w:t>for each hazard</w:t>
      </w:r>
      <w:r w:rsidR="00545EDC" w:rsidRPr="0085746F">
        <w:rPr>
          <w:rFonts w:ascii="Aptos" w:hAnsi="Aptos"/>
        </w:rPr>
        <w:t xml:space="preserve">, with a strong focus on </w:t>
      </w:r>
      <w:r w:rsidRPr="0085746F">
        <w:rPr>
          <w:rFonts w:ascii="Aptos" w:hAnsi="Aptos"/>
        </w:rPr>
        <w:t xml:space="preserve">those </w:t>
      </w:r>
      <w:r w:rsidR="00545EDC" w:rsidRPr="0085746F">
        <w:rPr>
          <w:rFonts w:ascii="Aptos" w:hAnsi="Aptos"/>
        </w:rPr>
        <w:t>hazards that pose the greatest potential for serious injury or fatality</w:t>
      </w:r>
    </w:p>
    <w:p w14:paraId="5BE0AF60" w14:textId="6780CE9B" w:rsidR="00116000" w:rsidRPr="0085746F" w:rsidRDefault="00116000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Verifying that</w:t>
      </w:r>
      <w:r w:rsidR="0085746F" w:rsidRPr="0085746F">
        <w:rPr>
          <w:rFonts w:ascii="Aptos" w:hAnsi="Aptos"/>
        </w:rPr>
        <w:t xml:space="preserve"> </w:t>
      </w:r>
      <w:r w:rsidRPr="0085746F">
        <w:rPr>
          <w:rFonts w:ascii="Aptos" w:hAnsi="Aptos"/>
        </w:rPr>
        <w:t xml:space="preserve">appropriate controls </w:t>
      </w:r>
      <w:r w:rsidR="00DF1B8C" w:rsidRPr="0085746F">
        <w:rPr>
          <w:rFonts w:ascii="Aptos" w:hAnsi="Aptos"/>
        </w:rPr>
        <w:t>aligned with</w:t>
      </w:r>
      <w:r w:rsidR="000E58D8" w:rsidRPr="0085746F">
        <w:rPr>
          <w:rFonts w:ascii="Aptos" w:hAnsi="Aptos"/>
        </w:rPr>
        <w:t xml:space="preserve"> the hierarchy of control </w:t>
      </w:r>
      <w:r w:rsidRPr="0085746F">
        <w:rPr>
          <w:rFonts w:ascii="Aptos" w:hAnsi="Aptos"/>
        </w:rPr>
        <w:t xml:space="preserve">are </w:t>
      </w:r>
      <w:r w:rsidR="00DE32B6" w:rsidRPr="0085746F">
        <w:rPr>
          <w:rFonts w:ascii="Aptos" w:hAnsi="Aptos"/>
        </w:rPr>
        <w:t xml:space="preserve">in place for every significant hazard, and that these controls </w:t>
      </w:r>
      <w:r w:rsidR="001B5AEE" w:rsidRPr="0085746F">
        <w:rPr>
          <w:rFonts w:ascii="Aptos" w:hAnsi="Aptos"/>
        </w:rPr>
        <w:t>are understood</w:t>
      </w:r>
      <w:r w:rsidRPr="0085746F">
        <w:rPr>
          <w:rFonts w:ascii="Aptos" w:hAnsi="Aptos"/>
        </w:rPr>
        <w:t xml:space="preserve">, documented, and assigned with clear </w:t>
      </w:r>
      <w:r w:rsidR="00DE32B6" w:rsidRPr="0085746F">
        <w:rPr>
          <w:rFonts w:ascii="Aptos" w:hAnsi="Aptos"/>
        </w:rPr>
        <w:t>responsibilities.</w:t>
      </w:r>
    </w:p>
    <w:p w14:paraId="3CD15DDA" w14:textId="3AF8F556" w:rsidR="008E70FE" w:rsidRPr="0085746F" w:rsidRDefault="00116000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 xml:space="preserve">Scheduling follow-up workshops if </w:t>
      </w:r>
      <w:r w:rsidR="00AC5CD0" w:rsidRPr="0085746F">
        <w:rPr>
          <w:rFonts w:ascii="Aptos" w:hAnsi="Aptos"/>
        </w:rPr>
        <w:t xml:space="preserve">any </w:t>
      </w:r>
      <w:r w:rsidRPr="0085746F">
        <w:rPr>
          <w:rFonts w:ascii="Aptos" w:hAnsi="Aptos"/>
        </w:rPr>
        <w:t>uncertainties or issues arise during planning or execution</w:t>
      </w:r>
      <w:r w:rsidR="004769BE" w:rsidRPr="0085746F">
        <w:rPr>
          <w:rFonts w:ascii="Aptos" w:hAnsi="Aptos"/>
        </w:rPr>
        <w:t xml:space="preserve"> </w:t>
      </w:r>
      <w:r w:rsidRPr="0085746F">
        <w:rPr>
          <w:rFonts w:ascii="Aptos" w:hAnsi="Aptos"/>
        </w:rPr>
        <w:t>to revisit the methodology, reassess hazards, and refine controls.</w:t>
      </w:r>
    </w:p>
    <w:p w14:paraId="6FE1A012" w14:textId="2F8C0999" w:rsidR="009C0161" w:rsidRPr="0085746F" w:rsidRDefault="006C0ED3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P</w:t>
      </w:r>
      <w:r w:rsidR="00D22775" w:rsidRPr="0085746F">
        <w:rPr>
          <w:rFonts w:ascii="Aptos" w:hAnsi="Aptos"/>
        </w:rPr>
        <w:t>repar</w:t>
      </w:r>
      <w:r w:rsidRPr="0085746F">
        <w:rPr>
          <w:rFonts w:ascii="Aptos" w:hAnsi="Aptos"/>
        </w:rPr>
        <w:t>ing</w:t>
      </w:r>
      <w:r w:rsidR="00D22775" w:rsidRPr="0085746F">
        <w:rPr>
          <w:rFonts w:ascii="Aptos" w:hAnsi="Aptos"/>
        </w:rPr>
        <w:t xml:space="preserve"> and deliver</w:t>
      </w:r>
      <w:r w:rsidRPr="0085746F">
        <w:rPr>
          <w:rFonts w:ascii="Aptos" w:hAnsi="Aptos"/>
        </w:rPr>
        <w:t>ing</w:t>
      </w:r>
      <w:r w:rsidR="00D22775" w:rsidRPr="0085746F">
        <w:rPr>
          <w:rFonts w:ascii="Aptos" w:hAnsi="Aptos"/>
        </w:rPr>
        <w:t xml:space="preserve"> a toolbox talk or prestart meeting to communicate the agreed work methodology</w:t>
      </w:r>
      <w:r w:rsidR="00AC5CD0" w:rsidRPr="0085746F">
        <w:rPr>
          <w:rFonts w:ascii="Aptos" w:hAnsi="Aptos"/>
        </w:rPr>
        <w:t xml:space="preserve"> and controls</w:t>
      </w:r>
      <w:r w:rsidR="00D22775" w:rsidRPr="0085746F">
        <w:rPr>
          <w:rFonts w:ascii="Aptos" w:hAnsi="Aptos"/>
        </w:rPr>
        <w:t xml:space="preserve"> to </w:t>
      </w:r>
      <w:r w:rsidR="00AC5CD0" w:rsidRPr="0085746F">
        <w:rPr>
          <w:rFonts w:ascii="Aptos" w:hAnsi="Aptos"/>
        </w:rPr>
        <w:t xml:space="preserve">all </w:t>
      </w:r>
      <w:r w:rsidR="00D22775" w:rsidRPr="0085746F">
        <w:rPr>
          <w:rFonts w:ascii="Aptos" w:hAnsi="Aptos"/>
        </w:rPr>
        <w:t xml:space="preserve">workers </w:t>
      </w:r>
      <w:r w:rsidR="00AC5CD0" w:rsidRPr="0085746F">
        <w:rPr>
          <w:rFonts w:ascii="Aptos" w:hAnsi="Aptos"/>
        </w:rPr>
        <w:t xml:space="preserve">involved in </w:t>
      </w:r>
      <w:r w:rsidR="00D22775" w:rsidRPr="0085746F">
        <w:rPr>
          <w:rFonts w:ascii="Aptos" w:hAnsi="Aptos"/>
        </w:rPr>
        <w:t>the task</w:t>
      </w:r>
      <w:r w:rsidR="009E4A8A" w:rsidRPr="0085746F">
        <w:rPr>
          <w:rFonts w:ascii="Aptos" w:hAnsi="Aptos"/>
        </w:rPr>
        <w:t xml:space="preserve">, and/or confirming that SWMS </w:t>
      </w:r>
      <w:r w:rsidR="00AC5CD0" w:rsidRPr="0085746F">
        <w:rPr>
          <w:rFonts w:ascii="Aptos" w:hAnsi="Aptos"/>
        </w:rPr>
        <w:t>align</w:t>
      </w:r>
      <w:r w:rsidR="009E4A8A" w:rsidRPr="0085746F">
        <w:rPr>
          <w:rFonts w:ascii="Aptos" w:hAnsi="Aptos"/>
        </w:rPr>
        <w:t xml:space="preserve"> with the methods </w:t>
      </w:r>
      <w:r w:rsidR="00AC5CD0" w:rsidRPr="0085746F">
        <w:rPr>
          <w:rFonts w:ascii="Aptos" w:hAnsi="Aptos"/>
        </w:rPr>
        <w:t xml:space="preserve">and controls </w:t>
      </w:r>
      <w:r w:rsidR="009E4A8A" w:rsidRPr="0085746F">
        <w:rPr>
          <w:rFonts w:ascii="Aptos" w:hAnsi="Aptos"/>
        </w:rPr>
        <w:t xml:space="preserve">discussed </w:t>
      </w:r>
      <w:r w:rsidR="00AC5CD0" w:rsidRPr="0085746F">
        <w:rPr>
          <w:rFonts w:ascii="Aptos" w:hAnsi="Aptos"/>
        </w:rPr>
        <w:t>during</w:t>
      </w:r>
      <w:r w:rsidR="009E4A8A" w:rsidRPr="0085746F">
        <w:rPr>
          <w:rFonts w:ascii="Aptos" w:hAnsi="Aptos"/>
        </w:rPr>
        <w:t xml:space="preserve"> the workshop</w:t>
      </w:r>
    </w:p>
    <w:p w14:paraId="3DD93393" w14:textId="45CE95B1" w:rsidR="002A6D99" w:rsidRPr="0085746F" w:rsidRDefault="002A6D99" w:rsidP="000A3BF5">
      <w:pPr>
        <w:pStyle w:val="Heading2"/>
        <w:spacing w:after="240"/>
        <w:rPr>
          <w:rFonts w:ascii="Aptos" w:hAnsi="Aptos"/>
        </w:rPr>
      </w:pPr>
      <w:r w:rsidRPr="0085746F">
        <w:rPr>
          <w:rFonts w:ascii="Aptos" w:hAnsi="Aptos"/>
          <w:color w:val="9A1B27" w:themeColor="accent1"/>
        </w:rPr>
        <w:t>Appl</w:t>
      </w:r>
      <w:r w:rsidR="006569AD" w:rsidRPr="0085746F">
        <w:rPr>
          <w:rFonts w:ascii="Aptos" w:hAnsi="Aptos"/>
          <w:color w:val="9A1B27" w:themeColor="accent1"/>
        </w:rPr>
        <w:t>i</w:t>
      </w:r>
      <w:r w:rsidRPr="0085746F">
        <w:rPr>
          <w:rFonts w:ascii="Aptos" w:hAnsi="Aptos"/>
          <w:color w:val="9A1B27" w:themeColor="accent1"/>
        </w:rPr>
        <w:t xml:space="preserve">cation to </w:t>
      </w:r>
      <w:r w:rsidR="006569AD" w:rsidRPr="0085746F">
        <w:rPr>
          <w:rFonts w:ascii="Aptos" w:hAnsi="Aptos"/>
          <w:color w:val="9A1B27" w:themeColor="accent1"/>
        </w:rPr>
        <w:t>complex structures</w:t>
      </w:r>
    </w:p>
    <w:p w14:paraId="29570892" w14:textId="2A28A2D9" w:rsidR="006569AD" w:rsidRPr="0085746F" w:rsidRDefault="006569AD" w:rsidP="006569AD">
      <w:pPr>
        <w:rPr>
          <w:rFonts w:ascii="Aptos" w:hAnsi="Aptos"/>
        </w:rPr>
      </w:pPr>
      <w:r w:rsidRPr="0085746F">
        <w:rPr>
          <w:rFonts w:ascii="Aptos" w:hAnsi="Aptos"/>
        </w:rPr>
        <w:t>If you</w:t>
      </w:r>
      <w:r w:rsidR="00AC5CD0" w:rsidRPr="0085746F">
        <w:rPr>
          <w:rFonts w:ascii="Aptos" w:hAnsi="Aptos"/>
        </w:rPr>
        <w:t>r project involves</w:t>
      </w:r>
      <w:r w:rsidRPr="0085746F">
        <w:rPr>
          <w:rFonts w:ascii="Aptos" w:hAnsi="Aptos"/>
        </w:rPr>
        <w:t xml:space="preserve"> complex structural work, the OFSC recommends holding </w:t>
      </w:r>
      <w:r w:rsidR="00AC5CD0" w:rsidRPr="0085746F">
        <w:rPr>
          <w:rFonts w:ascii="Aptos" w:hAnsi="Aptos"/>
        </w:rPr>
        <w:t xml:space="preserve">an </w:t>
      </w:r>
      <w:r w:rsidRPr="0085746F">
        <w:rPr>
          <w:rFonts w:ascii="Aptos" w:hAnsi="Aptos"/>
        </w:rPr>
        <w:t xml:space="preserve">HRW, particularly </w:t>
      </w:r>
      <w:r w:rsidR="00AC5CD0" w:rsidRPr="0085746F">
        <w:rPr>
          <w:rFonts w:ascii="Aptos" w:hAnsi="Aptos"/>
        </w:rPr>
        <w:t>for</w:t>
      </w:r>
      <w:r w:rsidRPr="0085746F">
        <w:rPr>
          <w:rFonts w:ascii="Aptos" w:hAnsi="Aptos"/>
        </w:rPr>
        <w:t xml:space="preserve"> structures </w:t>
      </w:r>
      <w:r w:rsidR="00AC5CD0" w:rsidRPr="0085746F">
        <w:rPr>
          <w:rFonts w:ascii="Aptos" w:hAnsi="Aptos"/>
        </w:rPr>
        <w:t xml:space="preserve">that </w:t>
      </w:r>
      <w:r w:rsidRPr="0085746F">
        <w:rPr>
          <w:rFonts w:ascii="Aptos" w:hAnsi="Aptos"/>
        </w:rPr>
        <w:t xml:space="preserve">are atypical in design or are temporary. </w:t>
      </w:r>
    </w:p>
    <w:p w14:paraId="73B39B66" w14:textId="00289C66" w:rsidR="006569AD" w:rsidRPr="0085746F" w:rsidRDefault="006569AD" w:rsidP="000A3BF5">
      <w:pPr>
        <w:rPr>
          <w:rFonts w:ascii="Aptos" w:hAnsi="Aptos"/>
        </w:rPr>
      </w:pPr>
      <w:r w:rsidRPr="0085746F">
        <w:rPr>
          <w:rFonts w:ascii="Aptos" w:hAnsi="Aptos"/>
        </w:rPr>
        <w:lastRenderedPageBreak/>
        <w:t xml:space="preserve">Complex structures may include, but are not limited to: </w:t>
      </w:r>
    </w:p>
    <w:p w14:paraId="2A8E5BF4" w14:textId="5B237836" w:rsidR="006569AD" w:rsidRPr="0085746F" w:rsidRDefault="002A6D99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Raking columns</w:t>
      </w:r>
    </w:p>
    <w:p w14:paraId="39392CE5" w14:textId="1DF3C4EE" w:rsidR="006569AD" w:rsidRPr="0085746F" w:rsidRDefault="002A6D99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V</w:t>
      </w:r>
      <w:r w:rsidR="00CA683E" w:rsidRPr="0085746F">
        <w:rPr>
          <w:rFonts w:ascii="Aptos" w:hAnsi="Aptos"/>
        </w:rPr>
        <w:t>-shaped</w:t>
      </w:r>
      <w:r w:rsidR="009C3F00">
        <w:rPr>
          <w:rFonts w:ascii="Aptos" w:hAnsi="Aptos"/>
        </w:rPr>
        <w:t xml:space="preserve"> </w:t>
      </w:r>
      <w:r w:rsidRPr="0085746F">
        <w:rPr>
          <w:rFonts w:ascii="Aptos" w:hAnsi="Aptos"/>
        </w:rPr>
        <w:t>columns</w:t>
      </w:r>
    </w:p>
    <w:p w14:paraId="0F44B507" w14:textId="45CEB90E" w:rsidR="006569AD" w:rsidRPr="0085746F" w:rsidRDefault="00CA683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C</w:t>
      </w:r>
      <w:r w:rsidR="002A6D99" w:rsidRPr="0085746F">
        <w:rPr>
          <w:rFonts w:ascii="Aptos" w:hAnsi="Aptos"/>
        </w:rPr>
        <w:t xml:space="preserve">antilevered elements </w:t>
      </w:r>
      <w:r w:rsidRPr="0085746F">
        <w:rPr>
          <w:rFonts w:ascii="Aptos" w:hAnsi="Aptos"/>
        </w:rPr>
        <w:t>(e.g. structural components projecting more than 5m or other large overhangs)</w:t>
      </w:r>
    </w:p>
    <w:p w14:paraId="0C9A24F3" w14:textId="269E1BDD" w:rsidR="006569AD" w:rsidRPr="0085746F" w:rsidRDefault="00CA683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M</w:t>
      </w:r>
      <w:r w:rsidR="002A6D99" w:rsidRPr="0085746F">
        <w:rPr>
          <w:rFonts w:ascii="Aptos" w:hAnsi="Aptos"/>
        </w:rPr>
        <w:t>ega-load transfers</w:t>
      </w:r>
    </w:p>
    <w:p w14:paraId="155EC5E4" w14:textId="1A9FB598" w:rsidR="006569AD" w:rsidRPr="0085746F" w:rsidRDefault="00CA683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S</w:t>
      </w:r>
      <w:r w:rsidR="002A6D99" w:rsidRPr="0085746F">
        <w:rPr>
          <w:rFonts w:ascii="Aptos" w:hAnsi="Aptos"/>
        </w:rPr>
        <w:t xml:space="preserve">panning walls and </w:t>
      </w:r>
      <w:r w:rsidRPr="0085746F">
        <w:rPr>
          <w:rFonts w:ascii="Aptos" w:hAnsi="Aptos"/>
        </w:rPr>
        <w:t xml:space="preserve">long </w:t>
      </w:r>
      <w:r w:rsidR="002A6D99" w:rsidRPr="0085746F">
        <w:rPr>
          <w:rFonts w:ascii="Aptos" w:hAnsi="Aptos"/>
        </w:rPr>
        <w:t xml:space="preserve">trusses, and </w:t>
      </w:r>
    </w:p>
    <w:p w14:paraId="488D3635" w14:textId="7C06468E" w:rsidR="002A6D99" w:rsidRPr="0085746F" w:rsidRDefault="00CA683E" w:rsidP="000A3BF5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85746F">
        <w:rPr>
          <w:rFonts w:ascii="Aptos" w:hAnsi="Aptos"/>
        </w:rPr>
        <w:t>A</w:t>
      </w:r>
      <w:r w:rsidR="002A6D99" w:rsidRPr="0085746F">
        <w:rPr>
          <w:rFonts w:ascii="Aptos" w:hAnsi="Aptos"/>
        </w:rPr>
        <w:t>typical load path structures (i.e. structural systems or elements that deviate</w:t>
      </w:r>
      <w:r w:rsidRPr="0085746F">
        <w:rPr>
          <w:rFonts w:ascii="Aptos" w:hAnsi="Aptos"/>
        </w:rPr>
        <w:t>s</w:t>
      </w:r>
      <w:r w:rsidR="002A6D99" w:rsidRPr="0085746F">
        <w:rPr>
          <w:rFonts w:ascii="Aptos" w:hAnsi="Aptos"/>
        </w:rPr>
        <w:t xml:space="preserve"> from typical or standard loadbearing configurations)</w:t>
      </w:r>
      <w:r w:rsidR="006569AD" w:rsidRPr="0085746F">
        <w:rPr>
          <w:rFonts w:ascii="Aptos" w:hAnsi="Aptos"/>
        </w:rPr>
        <w:t xml:space="preserve">. </w:t>
      </w:r>
    </w:p>
    <w:p w14:paraId="335B008A" w14:textId="77777777" w:rsidR="007C48A9" w:rsidRDefault="00E53DDB">
      <w:pPr>
        <w:pStyle w:val="ListBullet"/>
        <w:numPr>
          <w:ilvl w:val="0"/>
          <w:numId w:val="0"/>
        </w:numPr>
        <w:spacing w:line="276" w:lineRule="auto"/>
        <w:rPr>
          <w:rFonts w:ascii="Aptos" w:hAnsi="Aptos"/>
        </w:rPr>
      </w:pPr>
      <w:r w:rsidRPr="0085746F">
        <w:rPr>
          <w:rFonts w:ascii="Aptos" w:hAnsi="Aptos"/>
          <w:b/>
          <w:bCs/>
        </w:rPr>
        <w:t xml:space="preserve">Note: </w:t>
      </w:r>
      <w:r w:rsidRPr="0085746F">
        <w:rPr>
          <w:rFonts w:ascii="Aptos" w:hAnsi="Aptos"/>
        </w:rPr>
        <w:t xml:space="preserve">Under the </w:t>
      </w:r>
      <w:r w:rsidRPr="0085746F">
        <w:rPr>
          <w:rFonts w:ascii="Aptos" w:hAnsi="Aptos"/>
          <w:i/>
          <w:iCs/>
        </w:rPr>
        <w:t>Safe Design of Structures Code of Practice</w:t>
      </w:r>
      <w:r w:rsidRPr="0085746F">
        <w:rPr>
          <w:rFonts w:ascii="Aptos" w:hAnsi="Aptos"/>
        </w:rPr>
        <w:t xml:space="preserve">, a designer of a structure must provide a written safety report to the </w:t>
      </w:r>
      <w:r w:rsidR="00DE32B6" w:rsidRPr="0085746F">
        <w:rPr>
          <w:rFonts w:ascii="Aptos" w:hAnsi="Aptos"/>
        </w:rPr>
        <w:t>Person Conducting a Business or Undertaking (</w:t>
      </w:r>
      <w:r w:rsidRPr="0085746F">
        <w:rPr>
          <w:rFonts w:ascii="Aptos" w:hAnsi="Aptos"/>
        </w:rPr>
        <w:t>PCBU</w:t>
      </w:r>
      <w:r w:rsidR="00DE32B6" w:rsidRPr="0085746F">
        <w:rPr>
          <w:rFonts w:ascii="Aptos" w:hAnsi="Aptos"/>
        </w:rPr>
        <w:t xml:space="preserve">) </w:t>
      </w:r>
      <w:r w:rsidRPr="0085746F">
        <w:rPr>
          <w:rFonts w:ascii="Aptos" w:hAnsi="Aptos"/>
        </w:rPr>
        <w:t xml:space="preserve">who commissioned the design. This report applies to designs of structures that </w:t>
      </w:r>
      <w:r w:rsidR="00DE32B6" w:rsidRPr="0085746F">
        <w:rPr>
          <w:rFonts w:ascii="Aptos" w:hAnsi="Aptos"/>
        </w:rPr>
        <w:t>include</w:t>
      </w:r>
      <w:r w:rsidRPr="0085746F">
        <w:rPr>
          <w:rFonts w:ascii="Aptos" w:hAnsi="Aptos"/>
        </w:rPr>
        <w:t xml:space="preserve"> unusual or atypical features which present hazards and risks during the construction phase </w:t>
      </w:r>
      <w:r w:rsidR="00DE32B6" w:rsidRPr="0085746F">
        <w:rPr>
          <w:rFonts w:ascii="Aptos" w:hAnsi="Aptos"/>
        </w:rPr>
        <w:t>and</w:t>
      </w:r>
      <w:r w:rsidRPr="0085746F">
        <w:rPr>
          <w:rFonts w:ascii="Aptos" w:hAnsi="Aptos"/>
        </w:rPr>
        <w:t xml:space="preserve"> are unique to the particular design.</w:t>
      </w:r>
      <w:r w:rsidR="009C3F00">
        <w:rPr>
          <w:rFonts w:ascii="Aptos" w:hAnsi="Aptos"/>
        </w:rPr>
        <w:t xml:space="preserve"> </w:t>
      </w:r>
    </w:p>
    <w:p w14:paraId="6F172D12" w14:textId="77777777" w:rsidR="007C48A9" w:rsidRDefault="007C48A9">
      <w:pPr>
        <w:pStyle w:val="ListBullet"/>
        <w:numPr>
          <w:ilvl w:val="0"/>
          <w:numId w:val="0"/>
        </w:numPr>
        <w:spacing w:line="276" w:lineRule="auto"/>
        <w:rPr>
          <w:rFonts w:ascii="Aptos" w:hAnsi="Aptos"/>
          <w:b/>
          <w:bCs/>
        </w:rPr>
      </w:pPr>
    </w:p>
    <w:p w14:paraId="35ABC512" w14:textId="7EA34DC0" w:rsidR="00086219" w:rsidRPr="0085746F" w:rsidRDefault="00DE32B6">
      <w:pPr>
        <w:pStyle w:val="ListBullet"/>
        <w:numPr>
          <w:ilvl w:val="0"/>
          <w:numId w:val="0"/>
        </w:numPr>
        <w:spacing w:line="276" w:lineRule="auto"/>
        <w:rPr>
          <w:rFonts w:ascii="Aptos" w:hAnsi="Aptos"/>
          <w:b/>
          <w:bCs/>
        </w:rPr>
      </w:pPr>
      <w:r w:rsidRPr="0085746F">
        <w:rPr>
          <w:rFonts w:ascii="Aptos" w:hAnsi="Aptos"/>
          <w:b/>
          <w:bCs/>
        </w:rPr>
        <w:t xml:space="preserve">When </w:t>
      </w:r>
      <w:r w:rsidR="006569AD" w:rsidRPr="0085746F">
        <w:rPr>
          <w:rFonts w:ascii="Aptos" w:hAnsi="Aptos"/>
          <w:b/>
          <w:bCs/>
        </w:rPr>
        <w:t xml:space="preserve">working with complex structures, </w:t>
      </w:r>
      <w:r w:rsidRPr="0085746F">
        <w:rPr>
          <w:rFonts w:ascii="Aptos" w:hAnsi="Aptos"/>
          <w:b/>
          <w:bCs/>
        </w:rPr>
        <w:t xml:space="preserve">consider the following questions during </w:t>
      </w:r>
      <w:r w:rsidR="001B5AEE" w:rsidRPr="0085746F">
        <w:rPr>
          <w:rFonts w:ascii="Aptos" w:hAnsi="Aptos"/>
          <w:b/>
          <w:bCs/>
        </w:rPr>
        <w:t>HRWs (</w:t>
      </w:r>
      <w:r w:rsidR="004769BE" w:rsidRPr="0085746F">
        <w:rPr>
          <w:rFonts w:ascii="Aptos" w:hAnsi="Aptos"/>
          <w:b/>
          <w:bCs/>
        </w:rPr>
        <w:t>where relevant to your work)</w:t>
      </w:r>
      <w:r w:rsidR="006569AD" w:rsidRPr="0085746F">
        <w:rPr>
          <w:rFonts w:ascii="Aptos" w:hAnsi="Aptos"/>
          <w:b/>
          <w:bCs/>
        </w:rPr>
        <w:t xml:space="preserve">: 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1590B" w:rsidRPr="0085746F" w14:paraId="50708DB1" w14:textId="77777777" w:rsidTr="00AB4CE9">
        <w:tc>
          <w:tcPr>
            <w:tcW w:w="1838" w:type="dxa"/>
            <w:shd w:val="clear" w:color="auto" w:fill="F9BAA7" w:themeFill="accent4" w:themeFillTint="66"/>
          </w:tcPr>
          <w:p w14:paraId="400BC901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Theme</w:t>
            </w:r>
          </w:p>
        </w:tc>
        <w:tc>
          <w:tcPr>
            <w:tcW w:w="7796" w:type="dxa"/>
            <w:shd w:val="clear" w:color="auto" w:fill="F9BAA7" w:themeFill="accent4" w:themeFillTint="66"/>
          </w:tcPr>
          <w:p w14:paraId="1F2B0521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Key Questions</w:t>
            </w:r>
          </w:p>
        </w:tc>
      </w:tr>
      <w:tr w:rsidR="00C1590B" w:rsidRPr="0085746F" w14:paraId="7B6AA2C7" w14:textId="77777777" w:rsidTr="00C1590B">
        <w:tc>
          <w:tcPr>
            <w:tcW w:w="1838" w:type="dxa"/>
          </w:tcPr>
          <w:p w14:paraId="08F89CD1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Design &amp; Complexity</w:t>
            </w:r>
          </w:p>
        </w:tc>
        <w:tc>
          <w:tcPr>
            <w:tcW w:w="7796" w:type="dxa"/>
          </w:tcPr>
          <w:p w14:paraId="474A14FB" w14:textId="77777777" w:rsidR="0085746F" w:rsidRPr="0085746F" w:rsidRDefault="00775332" w:rsidP="009E4A8A">
            <w:pPr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•</w:t>
            </w:r>
            <w:r w:rsidR="0085746F" w:rsidRPr="0085746F">
              <w:rPr>
                <w:rFonts w:ascii="Aptos" w:hAnsi="Aptos" w:cs="Times New Roman"/>
              </w:rPr>
              <w:t xml:space="preserve"> </w:t>
            </w:r>
            <w:r w:rsidR="00C61C6D" w:rsidRPr="0085746F">
              <w:rPr>
                <w:rFonts w:ascii="Aptos" w:hAnsi="Aptos" w:cs="Times New Roman"/>
              </w:rPr>
              <w:t xml:space="preserve">Are there structural features that the </w:t>
            </w:r>
            <w:r w:rsidR="00847FEA" w:rsidRPr="0085746F">
              <w:rPr>
                <w:rFonts w:ascii="Aptos" w:hAnsi="Aptos" w:cs="Times New Roman"/>
              </w:rPr>
              <w:t xml:space="preserve">Structural Engineer </w:t>
            </w:r>
            <w:r w:rsidR="00C61C6D" w:rsidRPr="0085746F">
              <w:rPr>
                <w:rFonts w:ascii="Aptos" w:hAnsi="Aptos" w:cs="Times New Roman"/>
              </w:rPr>
              <w:t>has identified which present unique hazards and risks</w:t>
            </w:r>
            <w:r w:rsidR="0085746F" w:rsidRPr="0085746F">
              <w:rPr>
                <w:rFonts w:ascii="Aptos" w:hAnsi="Aptos" w:cs="Times New Roman"/>
              </w:rPr>
              <w:t xml:space="preserve">? </w:t>
            </w:r>
          </w:p>
          <w:p w14:paraId="44A4A56A" w14:textId="0013C48B" w:rsidR="00775332" w:rsidRPr="0085746F" w:rsidRDefault="0085746F" w:rsidP="009E4A8A">
            <w:pPr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 xml:space="preserve">• </w:t>
            </w:r>
            <w:r w:rsidR="00775332" w:rsidRPr="0085746F">
              <w:rPr>
                <w:rFonts w:ascii="Aptos" w:hAnsi="Aptos"/>
              </w:rPr>
              <w:t xml:space="preserve">Are any risks identified in the </w:t>
            </w:r>
            <w:r w:rsidR="000A3BF5" w:rsidRPr="0085746F">
              <w:rPr>
                <w:rFonts w:ascii="Aptos" w:hAnsi="Aptos"/>
              </w:rPr>
              <w:t xml:space="preserve">Safety in Design </w:t>
            </w:r>
            <w:r w:rsidR="00775332" w:rsidRPr="0085746F">
              <w:rPr>
                <w:rFonts w:ascii="Aptos" w:hAnsi="Aptos"/>
              </w:rPr>
              <w:t>register for these complex structures?</w:t>
            </w:r>
          </w:p>
        </w:tc>
      </w:tr>
      <w:tr w:rsidR="00C1590B" w:rsidRPr="0085746F" w14:paraId="5205D99E" w14:textId="77777777" w:rsidTr="00C1590B">
        <w:tc>
          <w:tcPr>
            <w:tcW w:w="1838" w:type="dxa"/>
          </w:tcPr>
          <w:p w14:paraId="44F3B33D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Temporary Works &amp; Stability</w:t>
            </w:r>
          </w:p>
        </w:tc>
        <w:tc>
          <w:tcPr>
            <w:tcW w:w="7796" w:type="dxa"/>
          </w:tcPr>
          <w:p w14:paraId="54300A3E" w14:textId="04113B84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 xml:space="preserve">• </w:t>
            </w:r>
            <w:r w:rsidR="00F143C9" w:rsidRPr="0085746F">
              <w:rPr>
                <w:rFonts w:ascii="Aptos" w:hAnsi="Aptos" w:cs="Times New Roman"/>
              </w:rPr>
              <w:t xml:space="preserve">Has the </w:t>
            </w:r>
            <w:r w:rsidR="00847FEA" w:rsidRPr="0085746F">
              <w:rPr>
                <w:rFonts w:ascii="Aptos" w:hAnsi="Aptos" w:cs="Times New Roman"/>
              </w:rPr>
              <w:t xml:space="preserve">Structural Engineer </w:t>
            </w:r>
            <w:r w:rsidR="00F143C9" w:rsidRPr="0085746F">
              <w:rPr>
                <w:rFonts w:ascii="Aptos" w:hAnsi="Aptos" w:cs="Times New Roman"/>
              </w:rPr>
              <w:t xml:space="preserve">identified any specific temporary measures </w:t>
            </w:r>
            <w:r w:rsidR="00CA683E" w:rsidRPr="0085746F">
              <w:rPr>
                <w:rFonts w:ascii="Aptos" w:hAnsi="Aptos" w:cs="Times New Roman"/>
              </w:rPr>
              <w:t xml:space="preserve">or bracing requirements </w:t>
            </w:r>
            <w:r w:rsidR="00F143C9" w:rsidRPr="0085746F">
              <w:rPr>
                <w:rFonts w:ascii="Aptos" w:hAnsi="Aptos" w:cs="Times New Roman"/>
              </w:rPr>
              <w:t>for each phase of construction</w:t>
            </w:r>
            <w:r w:rsidR="00CA683E" w:rsidRPr="0085746F">
              <w:rPr>
                <w:rFonts w:ascii="Aptos" w:hAnsi="Aptos" w:cs="Times New Roman"/>
              </w:rPr>
              <w:t xml:space="preserve"> </w:t>
            </w:r>
            <w:r w:rsidR="00CA683E" w:rsidRPr="0085746F">
              <w:rPr>
                <w:rFonts w:ascii="Aptos" w:hAnsi="Aptos" w:cs="Times New Roman"/>
                <w:lang w:val="en-AU"/>
              </w:rPr>
              <w:t>to maintain stability</w:t>
            </w:r>
            <w:r w:rsidR="00F143C9" w:rsidRPr="0085746F">
              <w:rPr>
                <w:rFonts w:ascii="Aptos" w:hAnsi="Aptos" w:cs="Times New Roman"/>
              </w:rPr>
              <w:t>?</w:t>
            </w:r>
          </w:p>
        </w:tc>
      </w:tr>
      <w:tr w:rsidR="00C1590B" w:rsidRPr="0085746F" w14:paraId="1D864788" w14:textId="77777777" w:rsidTr="00C1590B">
        <w:tc>
          <w:tcPr>
            <w:tcW w:w="1838" w:type="dxa"/>
          </w:tcPr>
          <w:p w14:paraId="457A6E38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Construction Methodology</w:t>
            </w:r>
          </w:p>
        </w:tc>
        <w:tc>
          <w:tcPr>
            <w:tcW w:w="7796" w:type="dxa"/>
          </w:tcPr>
          <w:p w14:paraId="04E342CC" w14:textId="2424F48C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• What is the planned construction methodology and sequence</w:t>
            </w:r>
            <w:r w:rsidR="00CA683E" w:rsidRPr="0085746F">
              <w:rPr>
                <w:rFonts w:ascii="Aptos" w:hAnsi="Aptos" w:cs="Times New Roman"/>
              </w:rPr>
              <w:t xml:space="preserve"> for this structure</w:t>
            </w:r>
            <w:r w:rsidRPr="0085746F">
              <w:rPr>
                <w:rFonts w:ascii="Aptos" w:hAnsi="Aptos" w:cs="Times New Roman"/>
              </w:rPr>
              <w:t xml:space="preserve">, and has it been reviewed and approved by the </w:t>
            </w:r>
            <w:r w:rsidR="00847FEA" w:rsidRPr="0085746F">
              <w:rPr>
                <w:rFonts w:ascii="Aptos" w:hAnsi="Aptos" w:cs="Times New Roman"/>
              </w:rPr>
              <w:t>Structural Engineer</w:t>
            </w:r>
            <w:r w:rsidRPr="0085746F">
              <w:rPr>
                <w:rFonts w:ascii="Aptos" w:hAnsi="Aptos" w:cs="Times New Roman"/>
              </w:rPr>
              <w:t>?</w:t>
            </w:r>
          </w:p>
        </w:tc>
      </w:tr>
      <w:tr w:rsidR="00C1590B" w:rsidRPr="0085746F" w14:paraId="19B4DF07" w14:textId="77777777" w:rsidTr="00C1590B">
        <w:tc>
          <w:tcPr>
            <w:tcW w:w="1838" w:type="dxa"/>
          </w:tcPr>
          <w:p w14:paraId="4372E175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Site Constraints &amp; Interfaces</w:t>
            </w:r>
          </w:p>
        </w:tc>
        <w:tc>
          <w:tcPr>
            <w:tcW w:w="7796" w:type="dxa"/>
          </w:tcPr>
          <w:p w14:paraId="252A8198" w14:textId="38C65E2D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• Are there site constraints (</w:t>
            </w:r>
            <w:r w:rsidR="00CA683E" w:rsidRPr="0085746F">
              <w:rPr>
                <w:rFonts w:ascii="Aptos" w:hAnsi="Aptos" w:cs="Times New Roman"/>
              </w:rPr>
              <w:t xml:space="preserve">eg. limited </w:t>
            </w:r>
            <w:r w:rsidRPr="0085746F">
              <w:rPr>
                <w:rFonts w:ascii="Aptos" w:hAnsi="Aptos" w:cs="Times New Roman"/>
              </w:rPr>
              <w:t>space, access, clearance) or interfaces with other works</w:t>
            </w:r>
            <w:r w:rsidR="00CA683E" w:rsidRPr="0085746F">
              <w:rPr>
                <w:rFonts w:ascii="Aptos" w:hAnsi="Aptos" w:cs="Times New Roman"/>
              </w:rPr>
              <w:t>/</w:t>
            </w:r>
            <w:r w:rsidRPr="0085746F">
              <w:rPr>
                <w:rFonts w:ascii="Aptos" w:hAnsi="Aptos" w:cs="Times New Roman"/>
              </w:rPr>
              <w:t xml:space="preserve"> structures, or public areas that need to be managed?</w:t>
            </w:r>
          </w:p>
          <w:p w14:paraId="2940100F" w14:textId="2D17AA7B" w:rsidR="00DB6F7E" w:rsidRPr="0085746F" w:rsidRDefault="00DB6F7E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 xml:space="preserve">• </w:t>
            </w:r>
            <w:r w:rsidR="00CA683E" w:rsidRPr="0085746F">
              <w:rPr>
                <w:rFonts w:ascii="Aptos" w:hAnsi="Aptos" w:cs="Times New Roman"/>
              </w:rPr>
              <w:t xml:space="preserve">Will </w:t>
            </w:r>
            <w:r w:rsidRPr="0085746F">
              <w:rPr>
                <w:rFonts w:ascii="Aptos" w:hAnsi="Aptos" w:cs="Times New Roman"/>
              </w:rPr>
              <w:t xml:space="preserve">any restricted or exclusion zones </w:t>
            </w:r>
            <w:r w:rsidR="00CA683E" w:rsidRPr="0085746F">
              <w:rPr>
                <w:rFonts w:ascii="Aptos" w:hAnsi="Aptos" w:cs="Times New Roman"/>
              </w:rPr>
              <w:t xml:space="preserve">be </w:t>
            </w:r>
            <w:r w:rsidRPr="0085746F">
              <w:rPr>
                <w:rFonts w:ascii="Aptos" w:hAnsi="Aptos" w:cs="Times New Roman"/>
              </w:rPr>
              <w:t>required</w:t>
            </w:r>
            <w:r w:rsidR="00CA683E" w:rsidRPr="0085746F">
              <w:rPr>
                <w:rFonts w:ascii="Aptos" w:hAnsi="Aptos" w:cs="Times New Roman"/>
              </w:rPr>
              <w:t xml:space="preserve"> during construction</w:t>
            </w:r>
            <w:r w:rsidRPr="0085746F">
              <w:rPr>
                <w:rFonts w:ascii="Aptos" w:hAnsi="Aptos" w:cs="Times New Roman"/>
              </w:rPr>
              <w:t>?</w:t>
            </w:r>
          </w:p>
        </w:tc>
      </w:tr>
      <w:tr w:rsidR="00C1590B" w:rsidRPr="0085746F" w14:paraId="291EAE45" w14:textId="77777777" w:rsidTr="00C1590B">
        <w:tc>
          <w:tcPr>
            <w:tcW w:w="1838" w:type="dxa"/>
          </w:tcPr>
          <w:p w14:paraId="4ADCBF46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Lifting &amp; Plant</w:t>
            </w:r>
          </w:p>
        </w:tc>
        <w:tc>
          <w:tcPr>
            <w:tcW w:w="7796" w:type="dxa"/>
          </w:tcPr>
          <w:p w14:paraId="11A2AEF5" w14:textId="1836A84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 xml:space="preserve">• </w:t>
            </w:r>
            <w:r w:rsidR="00DB6F7E" w:rsidRPr="0085746F">
              <w:rPr>
                <w:rFonts w:ascii="Aptos" w:hAnsi="Aptos" w:cs="Times New Roman"/>
              </w:rPr>
              <w:t xml:space="preserve">What is the </w:t>
            </w:r>
            <w:r w:rsidR="00054704" w:rsidRPr="0085746F">
              <w:rPr>
                <w:rFonts w:ascii="Aptos" w:hAnsi="Aptos" w:cs="Times New Roman"/>
              </w:rPr>
              <w:t xml:space="preserve">materials handling </w:t>
            </w:r>
            <w:r w:rsidR="00CA683E" w:rsidRPr="0085746F">
              <w:rPr>
                <w:rFonts w:ascii="Aptos" w:hAnsi="Aptos" w:cs="Times New Roman"/>
              </w:rPr>
              <w:t xml:space="preserve">and lifting </w:t>
            </w:r>
            <w:r w:rsidR="001B5AEE" w:rsidRPr="0085746F">
              <w:rPr>
                <w:rFonts w:ascii="Aptos" w:hAnsi="Aptos" w:cs="Times New Roman"/>
              </w:rPr>
              <w:t>plan, including</w:t>
            </w:r>
            <w:r w:rsidR="00DB6F7E" w:rsidRPr="0085746F">
              <w:rPr>
                <w:rFonts w:ascii="Aptos" w:hAnsi="Aptos" w:cs="Times New Roman"/>
              </w:rPr>
              <w:t xml:space="preserve"> </w:t>
            </w:r>
            <w:r w:rsidR="00CA683E" w:rsidRPr="0085746F">
              <w:rPr>
                <w:rFonts w:ascii="Aptos" w:hAnsi="Aptos" w:cs="Times New Roman"/>
              </w:rPr>
              <w:t xml:space="preserve">the </w:t>
            </w:r>
            <w:r w:rsidR="00DB6F7E" w:rsidRPr="0085746F">
              <w:rPr>
                <w:rFonts w:ascii="Aptos" w:hAnsi="Aptos" w:cs="Times New Roman"/>
              </w:rPr>
              <w:t>selection of plant and equipment?</w:t>
            </w:r>
          </w:p>
        </w:tc>
      </w:tr>
      <w:tr w:rsidR="00C1590B" w:rsidRPr="0085746F" w14:paraId="79611B4F" w14:textId="77777777" w:rsidTr="00C1590B">
        <w:tc>
          <w:tcPr>
            <w:tcW w:w="1838" w:type="dxa"/>
          </w:tcPr>
          <w:p w14:paraId="19104890" w14:textId="77777777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>Competency &amp; Inspections</w:t>
            </w:r>
          </w:p>
        </w:tc>
        <w:tc>
          <w:tcPr>
            <w:tcW w:w="7796" w:type="dxa"/>
          </w:tcPr>
          <w:p w14:paraId="20BC7855" w14:textId="4EA83A35" w:rsidR="00775332" w:rsidRPr="0085746F" w:rsidRDefault="00775332" w:rsidP="007D5D5C">
            <w:pPr>
              <w:spacing w:after="0"/>
              <w:rPr>
                <w:rFonts w:ascii="Aptos" w:hAnsi="Aptos" w:cs="Times New Roman"/>
              </w:rPr>
            </w:pPr>
            <w:r w:rsidRPr="0085746F">
              <w:rPr>
                <w:rFonts w:ascii="Aptos" w:hAnsi="Aptos" w:cs="Times New Roman"/>
              </w:rPr>
              <w:t xml:space="preserve">• Who is the nominated competent person from the </w:t>
            </w:r>
            <w:r w:rsidR="009E4A8A" w:rsidRPr="0085746F">
              <w:rPr>
                <w:rFonts w:ascii="Aptos" w:hAnsi="Aptos" w:cs="Times New Roman"/>
              </w:rPr>
              <w:t xml:space="preserve">specialist </w:t>
            </w:r>
            <w:r w:rsidRPr="0085746F">
              <w:rPr>
                <w:rFonts w:ascii="Aptos" w:hAnsi="Aptos" w:cs="Times New Roman"/>
              </w:rPr>
              <w:t>subcontractor</w:t>
            </w:r>
            <w:r w:rsidR="00CA683E" w:rsidRPr="0085746F">
              <w:rPr>
                <w:rFonts w:ascii="Aptos" w:hAnsi="Aptos" w:cs="Times New Roman"/>
              </w:rPr>
              <w:t xml:space="preserve"> responsible</w:t>
            </w:r>
            <w:r w:rsidRPr="0085746F">
              <w:rPr>
                <w:rFonts w:ascii="Aptos" w:hAnsi="Aptos" w:cs="Times New Roman"/>
              </w:rPr>
              <w:t xml:space="preserve"> for </w:t>
            </w:r>
            <w:r w:rsidR="00CA683E" w:rsidRPr="0085746F">
              <w:rPr>
                <w:rFonts w:ascii="Aptos" w:hAnsi="Aptos" w:cs="Times New Roman"/>
              </w:rPr>
              <w:t xml:space="preserve">the </w:t>
            </w:r>
            <w:r w:rsidRPr="0085746F">
              <w:rPr>
                <w:rFonts w:ascii="Aptos" w:hAnsi="Aptos" w:cs="Times New Roman"/>
              </w:rPr>
              <w:t>installation</w:t>
            </w:r>
            <w:r w:rsidR="00CA683E" w:rsidRPr="0085746F">
              <w:rPr>
                <w:rFonts w:ascii="Aptos" w:hAnsi="Aptos" w:cs="Times New Roman"/>
              </w:rPr>
              <w:t xml:space="preserve"> of the structure</w:t>
            </w:r>
            <w:r w:rsidRPr="0085746F">
              <w:rPr>
                <w:rFonts w:ascii="Aptos" w:hAnsi="Aptos" w:cs="Times New Roman"/>
              </w:rPr>
              <w:t>?</w:t>
            </w:r>
            <w:r w:rsidRPr="0085746F">
              <w:rPr>
                <w:rFonts w:ascii="Aptos" w:hAnsi="Aptos" w:cs="Times New Roman"/>
              </w:rPr>
              <w:br/>
              <w:t>• What inspection frequenc</w:t>
            </w:r>
            <w:r w:rsidR="00CA683E" w:rsidRPr="0085746F">
              <w:rPr>
                <w:rFonts w:ascii="Aptos" w:hAnsi="Aptos" w:cs="Times New Roman"/>
              </w:rPr>
              <w:t>ies</w:t>
            </w:r>
            <w:r w:rsidRPr="0085746F">
              <w:rPr>
                <w:rFonts w:ascii="Aptos" w:hAnsi="Aptos" w:cs="Times New Roman"/>
              </w:rPr>
              <w:t xml:space="preserve"> and hold points </w:t>
            </w:r>
            <w:r w:rsidR="00CA683E" w:rsidRPr="0085746F">
              <w:rPr>
                <w:rFonts w:ascii="Aptos" w:hAnsi="Aptos" w:cs="Times New Roman"/>
              </w:rPr>
              <w:t xml:space="preserve">has </w:t>
            </w:r>
            <w:r w:rsidRPr="0085746F">
              <w:rPr>
                <w:rFonts w:ascii="Aptos" w:hAnsi="Aptos" w:cs="Times New Roman"/>
              </w:rPr>
              <w:t>the Structural Engineer</w:t>
            </w:r>
            <w:r w:rsidR="00CA683E" w:rsidRPr="0085746F">
              <w:rPr>
                <w:rFonts w:ascii="Aptos" w:hAnsi="Aptos" w:cs="Times New Roman"/>
              </w:rPr>
              <w:t xml:space="preserve"> set</w:t>
            </w:r>
            <w:r w:rsidRPr="0085746F">
              <w:rPr>
                <w:rFonts w:ascii="Aptos" w:hAnsi="Aptos" w:cs="Times New Roman"/>
              </w:rPr>
              <w:t>, and how will these be managed</w:t>
            </w:r>
            <w:r w:rsidR="00CA683E" w:rsidRPr="0085746F">
              <w:rPr>
                <w:rFonts w:ascii="Aptos" w:hAnsi="Aptos" w:cs="Times New Roman"/>
              </w:rPr>
              <w:t xml:space="preserve"> throughout the construction</w:t>
            </w:r>
            <w:r w:rsidRPr="0085746F">
              <w:rPr>
                <w:rFonts w:ascii="Aptos" w:hAnsi="Aptos" w:cs="Times New Roman"/>
              </w:rPr>
              <w:t>?</w:t>
            </w:r>
          </w:p>
        </w:tc>
      </w:tr>
    </w:tbl>
    <w:p w14:paraId="5500DE29" w14:textId="77777777" w:rsidR="00840D32" w:rsidRDefault="00840D32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488AF89F" w14:textId="77777777" w:rsidR="00840D32" w:rsidRDefault="00840D32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7EF7BB03" w14:textId="77777777" w:rsidR="00840D32" w:rsidRDefault="00840D32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068CC0CB" w14:textId="77777777" w:rsidR="00840D32" w:rsidRDefault="00840D32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2E3D8F25" w14:textId="09932F40" w:rsidR="00840D32" w:rsidRDefault="00840D32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  <w:r w:rsidRPr="0085746F"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2A9EB" wp14:editId="2AF1500C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6134100" cy="1533525"/>
                <wp:effectExtent l="0" t="0" r="19050" b="28575"/>
                <wp:wrapNone/>
                <wp:docPr id="15690964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533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CA761" w14:textId="76292EEC" w:rsidR="00330AB4" w:rsidRPr="00330AB4" w:rsidRDefault="00330AB4" w:rsidP="00F17F0E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</w:t>
                            </w:r>
                            <w:r w:rsidR="00AB4CE9">
                              <w:rPr>
                                <w:color w:val="000000" w:themeColor="text1"/>
                              </w:rPr>
                              <w:t xml:space="preserve">factsheet </w:t>
                            </w:r>
                            <w:r>
                              <w:rPr>
                                <w:color w:val="000000" w:themeColor="text1"/>
                              </w:rPr>
                              <w:t>was developed in collaboration with accredited company Multiplex</w:t>
                            </w:r>
                            <w:r w:rsidR="00AB4CE9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EAB54FA" w14:textId="123095B9" w:rsidR="003671FE" w:rsidRPr="004C0572" w:rsidRDefault="003671FE" w:rsidP="00F17F0E">
                            <w:pPr>
                              <w:spacing w:after="12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This factsheet contains general information only and is not a substitute for independent professional advice. Further information about the intended purpose and use of this factsheet can be accessed on the Office of the Federal Safety Commissioner’s </w:t>
                            </w:r>
                            <w:hyperlink r:id="rId18" w:history="1">
                              <w:r w:rsidRPr="004C0572">
                                <w:rPr>
                                  <w:rStyle w:val="Hyperlink"/>
                                  <w:i/>
                                  <w:iCs/>
                                </w:rPr>
                                <w:t>website</w:t>
                              </w:r>
                            </w:hyperlink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; specifically, the disclaimer available at </w:t>
                            </w:r>
                            <w:hyperlink r:id="rId19" w:history="1">
                              <w:r w:rsidRPr="000C54E1">
                                <w:rPr>
                                  <w:rStyle w:val="Hyperlink"/>
                                  <w:i/>
                                  <w:iCs/>
                                </w:rPr>
                                <w:t>https://www.fsc.gov.au/disclaimer</w:t>
                              </w:r>
                            </w:hyperlink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>applies to this publication.</w:t>
                            </w:r>
                          </w:p>
                          <w:p w14:paraId="1DE7E84B" w14:textId="7302997C" w:rsidR="003671FE" w:rsidRPr="004C0572" w:rsidRDefault="003671FE" w:rsidP="00F17F0E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0572">
                              <w:rPr>
                                <w:color w:val="000000" w:themeColor="text1"/>
                              </w:rPr>
                              <w:t xml:space="preserve">Last updated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September 2025.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A9EB" id="Rectangle 2" o:spid="_x0000_s1027" style="position:absolute;left:0;text-align:left;margin-left:0;margin-top:-.75pt;width:483pt;height:12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" fillcolor="#ced0c5 [2894]" strokecolor="#afb2a0 [2414]" strokeweight="1pt">
                <v:textbox>
                  <w:txbxContent>
                    <w:p w14:paraId="6CECA761" w14:textId="76292EEC" w:rsidR="00330AB4" w:rsidRPr="00330AB4" w:rsidRDefault="00330AB4" w:rsidP="00F17F0E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This </w:t>
                      </w:r>
                      <w:r w:rsidR="00AB4CE9">
                        <w:rPr>
                          <w:color w:val="000000" w:themeColor="text1"/>
                        </w:rPr>
                        <w:t xml:space="preserve">factsheet </w:t>
                      </w:r>
                      <w:r>
                        <w:rPr>
                          <w:color w:val="000000" w:themeColor="text1"/>
                        </w:rPr>
                        <w:t>was developed in collaboration with accredited company Multiplex</w:t>
                      </w:r>
                      <w:r w:rsidR="00AB4CE9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14:paraId="4EAB54FA" w14:textId="123095B9" w:rsidR="003671FE" w:rsidRPr="004C0572" w:rsidRDefault="003671FE" w:rsidP="00F17F0E">
                      <w:pPr>
                        <w:spacing w:after="12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 xml:space="preserve">This factsheet contains general information only and is not a substitute for independent professional advice. Further information about the intended purpose and use of this factsheet can be accessed on the Office of the Federal Safety Commissioner’s </w:t>
                      </w:r>
                      <w:hyperlink r:id="rId20" w:history="1">
                        <w:r w:rsidRPr="004C0572">
                          <w:rPr>
                            <w:rStyle w:val="Hyperlink"/>
                            <w:i/>
                            <w:iCs/>
                          </w:rPr>
                          <w:t>website</w:t>
                        </w:r>
                      </w:hyperlink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 xml:space="preserve">; specifically, the disclaimer available at </w:t>
                      </w:r>
                      <w:hyperlink r:id="rId21" w:history="1">
                        <w:r w:rsidRPr="000C54E1">
                          <w:rPr>
                            <w:rStyle w:val="Hyperlink"/>
                            <w:i/>
                            <w:iCs/>
                          </w:rPr>
                          <w:t>https://www.fsc.gov.au/disclaimer</w:t>
                        </w:r>
                      </w:hyperlink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>applies to this publication.</w:t>
                      </w:r>
                    </w:p>
                    <w:p w14:paraId="1DE7E84B" w14:textId="7302997C" w:rsidR="003671FE" w:rsidRPr="004C0572" w:rsidRDefault="003671FE" w:rsidP="00F17F0E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 w:rsidRPr="004C0572">
                        <w:rPr>
                          <w:color w:val="000000" w:themeColor="text1"/>
                        </w:rPr>
                        <w:t xml:space="preserve">Last updated </w:t>
                      </w:r>
                      <w:r>
                        <w:rPr>
                          <w:color w:val="000000" w:themeColor="text1"/>
                        </w:rPr>
                        <w:t xml:space="preserve">September 2025.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2B4D2C" w14:textId="34FA837D" w:rsidR="00B264AE" w:rsidRPr="0085746F" w:rsidRDefault="00B264AE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1074E968" w14:textId="08DC2CE7" w:rsidR="001F4344" w:rsidRPr="0085746F" w:rsidRDefault="001F4344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p w14:paraId="0AC53714" w14:textId="1F1E2D5E" w:rsidR="004769BE" w:rsidRPr="0085746F" w:rsidRDefault="004769BE" w:rsidP="00DB6F7E">
      <w:pPr>
        <w:pStyle w:val="ListBullet"/>
        <w:numPr>
          <w:ilvl w:val="0"/>
          <w:numId w:val="0"/>
        </w:numPr>
        <w:spacing w:line="276" w:lineRule="auto"/>
        <w:ind w:left="357" w:hanging="357"/>
        <w:rPr>
          <w:rFonts w:ascii="Aptos" w:hAnsi="Aptos"/>
        </w:rPr>
      </w:pPr>
    </w:p>
    <w:sectPr w:rsidR="004769BE" w:rsidRPr="0085746F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5F41" w14:textId="77777777" w:rsidR="004547F9" w:rsidRDefault="004547F9" w:rsidP="0051352E">
      <w:pPr>
        <w:spacing w:after="0" w:line="240" w:lineRule="auto"/>
      </w:pPr>
      <w:r>
        <w:separator/>
      </w:r>
    </w:p>
  </w:endnote>
  <w:endnote w:type="continuationSeparator" w:id="0">
    <w:p w14:paraId="1A8EC2C9" w14:textId="77777777" w:rsidR="004547F9" w:rsidRDefault="004547F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1AF0" w14:textId="76C9F0C3" w:rsidR="00996EF9" w:rsidRDefault="00B93E39" w:rsidP="00B93E39">
    <w:pPr>
      <w:pStyle w:val="Footer"/>
      <w:tabs>
        <w:tab w:val="clear" w:pos="4513"/>
        <w:tab w:val="clear" w:pos="9026"/>
        <w:tab w:val="center" w:pos="4535"/>
      </w:tabs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1" behindDoc="1" locked="0" layoutInCell="1" allowOverlap="1" wp14:anchorId="778F1B49" wp14:editId="54E27D98">
          <wp:simplePos x="0" y="0"/>
          <wp:positionH relativeFrom="column">
            <wp:posOffset>-900430</wp:posOffset>
          </wp:positionH>
          <wp:positionV relativeFrom="paragraph">
            <wp:posOffset>553085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504575844" name="Picture 504575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Pr="00B93E39">
      <w:rPr>
        <w:sz w:val="20"/>
        <w:szCs w:val="20"/>
      </w:rPr>
      <w:t xml:space="preserve">Visit the FSC website at </w:t>
    </w:r>
    <w:hyperlink r:id="rId2" w:history="1">
      <w:r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Pr="00B93E39">
      <w:rPr>
        <w:sz w:val="20"/>
        <w:szCs w:val="20"/>
      </w:rPr>
      <w:t xml:space="preserve">Contact the FSC Assist Line on </w:t>
    </w:r>
    <w:r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Pr="00B93E39">
      <w:rPr>
        <w:sz w:val="20"/>
        <w:szCs w:val="20"/>
      </w:rPr>
      <w:t xml:space="preserve">Contact the OFSC via email at </w:t>
    </w:r>
    <w:r w:rsidRPr="00B93E39">
      <w:rPr>
        <w:b/>
        <w:bCs/>
        <w:sz w:val="20"/>
        <w:szCs w:val="20"/>
      </w:rPr>
      <w:t>ofsc@dewr.gov.au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3C265603" w:rsidR="00662A42" w:rsidRPr="004F2AF5" w:rsidRDefault="00B93E39" w:rsidP="00B93E39">
    <w:pPr>
      <w:pStyle w:val="Footer"/>
      <w:jc w:val="center"/>
      <w:rPr>
        <w:b/>
        <w:bCs/>
        <w:sz w:val="20"/>
        <w:szCs w:val="20"/>
      </w:rPr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0" behindDoc="1" locked="0" layoutInCell="1" allowOverlap="1" wp14:anchorId="10C84CF8" wp14:editId="7B5051FA">
          <wp:simplePos x="0" y="0"/>
          <wp:positionH relativeFrom="column">
            <wp:posOffset>-898525</wp:posOffset>
          </wp:positionH>
          <wp:positionV relativeFrom="paragraph">
            <wp:posOffset>718820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1298115486" name="Picture 1298115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br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="004F2AF5" w:rsidRPr="00B93E39">
      <w:rPr>
        <w:sz w:val="20"/>
        <w:szCs w:val="20"/>
      </w:rPr>
      <w:t xml:space="preserve">Visit the FSC website at </w:t>
    </w:r>
    <w:hyperlink r:id="rId2" w:history="1">
      <w:r w:rsidR="004F2AF5"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="004F2AF5" w:rsidRPr="00B93E39">
      <w:rPr>
        <w:sz w:val="20"/>
        <w:szCs w:val="20"/>
      </w:rPr>
      <w:t xml:space="preserve">Contact the FSC Assist Line on </w:t>
    </w:r>
    <w:r w:rsidR="004F2AF5"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="004F2AF5" w:rsidRPr="00B93E39">
      <w:rPr>
        <w:sz w:val="20"/>
        <w:szCs w:val="20"/>
      </w:rPr>
      <w:t xml:space="preserve">Contact the OFSC via email at </w:t>
    </w:r>
    <w:r w:rsidR="004F2AF5" w:rsidRPr="00B93E39">
      <w:rPr>
        <w:b/>
        <w:bCs/>
        <w:sz w:val="20"/>
        <w:szCs w:val="20"/>
      </w:rPr>
      <w:t>ofsc@dewr.gov.au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587E" w14:textId="77777777" w:rsidR="004547F9" w:rsidRDefault="004547F9" w:rsidP="0051352E">
      <w:pPr>
        <w:spacing w:after="0" w:line="240" w:lineRule="auto"/>
      </w:pPr>
      <w:r>
        <w:separator/>
      </w:r>
    </w:p>
  </w:footnote>
  <w:footnote w:type="continuationSeparator" w:id="0">
    <w:p w14:paraId="4314BAFB" w14:textId="77777777" w:rsidR="004547F9" w:rsidRDefault="004547F9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E2D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5E61"/>
    <w:multiLevelType w:val="hybridMultilevel"/>
    <w:tmpl w:val="D3621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A4AE7"/>
    <w:multiLevelType w:val="hybridMultilevel"/>
    <w:tmpl w:val="61B02B08"/>
    <w:lvl w:ilvl="0" w:tplc="AE20A2D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53E4C"/>
    <w:multiLevelType w:val="multilevel"/>
    <w:tmpl w:val="F1481754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534A6C"/>
    <w:multiLevelType w:val="hybridMultilevel"/>
    <w:tmpl w:val="91B40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0C8F"/>
    <w:multiLevelType w:val="hybridMultilevel"/>
    <w:tmpl w:val="F5403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BB9"/>
    <w:multiLevelType w:val="hybridMultilevel"/>
    <w:tmpl w:val="8B5EF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22991"/>
    <w:multiLevelType w:val="hybridMultilevel"/>
    <w:tmpl w:val="97EA6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47F1"/>
    <w:multiLevelType w:val="hybridMultilevel"/>
    <w:tmpl w:val="6D90CCC6"/>
    <w:lvl w:ilvl="0" w:tplc="AE20A2D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A1208"/>
    <w:multiLevelType w:val="hybridMultilevel"/>
    <w:tmpl w:val="F4B6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02E7"/>
    <w:multiLevelType w:val="hybridMultilevel"/>
    <w:tmpl w:val="2C50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953B7"/>
    <w:multiLevelType w:val="hybridMultilevel"/>
    <w:tmpl w:val="BB2C2656"/>
    <w:lvl w:ilvl="0" w:tplc="AE20A2D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64CC0"/>
    <w:multiLevelType w:val="hybridMultilevel"/>
    <w:tmpl w:val="5E82F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C5F17"/>
    <w:multiLevelType w:val="hybridMultilevel"/>
    <w:tmpl w:val="643A7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15A8F"/>
    <w:multiLevelType w:val="hybridMultilevel"/>
    <w:tmpl w:val="B380D98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71A7886"/>
    <w:multiLevelType w:val="hybridMultilevel"/>
    <w:tmpl w:val="E2C09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536EA"/>
    <w:multiLevelType w:val="hybridMultilevel"/>
    <w:tmpl w:val="EF5E6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5"/>
  </w:num>
  <w:num w:numId="14" w16cid:durableId="11818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5"/>
  </w:num>
  <w:num w:numId="17" w16cid:durableId="1814981661">
    <w:abstractNumId w:val="11"/>
  </w:num>
  <w:num w:numId="18" w16cid:durableId="1446148937">
    <w:abstractNumId w:val="24"/>
  </w:num>
  <w:num w:numId="19" w16cid:durableId="2080208962">
    <w:abstractNumId w:val="25"/>
  </w:num>
  <w:num w:numId="20" w16cid:durableId="1072193130">
    <w:abstractNumId w:val="18"/>
  </w:num>
  <w:num w:numId="21" w16cid:durableId="436408227">
    <w:abstractNumId w:val="27"/>
  </w:num>
  <w:num w:numId="22" w16cid:durableId="2129817907">
    <w:abstractNumId w:val="21"/>
  </w:num>
  <w:num w:numId="23" w16cid:durableId="1088966160">
    <w:abstractNumId w:val="12"/>
  </w:num>
  <w:num w:numId="24" w16cid:durableId="381635048">
    <w:abstractNumId w:val="10"/>
  </w:num>
  <w:num w:numId="25" w16cid:durableId="1768379030">
    <w:abstractNumId w:val="28"/>
  </w:num>
  <w:num w:numId="26" w16cid:durableId="1224029168">
    <w:abstractNumId w:val="17"/>
  </w:num>
  <w:num w:numId="27" w16cid:durableId="407457412">
    <w:abstractNumId w:val="13"/>
  </w:num>
  <w:num w:numId="28" w16cid:durableId="1554972860">
    <w:abstractNumId w:val="23"/>
  </w:num>
  <w:num w:numId="29" w16cid:durableId="935409766">
    <w:abstractNumId w:val="20"/>
  </w:num>
  <w:num w:numId="30" w16cid:durableId="1120493251">
    <w:abstractNumId w:val="16"/>
  </w:num>
  <w:num w:numId="31" w16cid:durableId="1484731904">
    <w:abstractNumId w:val="19"/>
  </w:num>
  <w:num w:numId="32" w16cid:durableId="1036585796">
    <w:abstractNumId w:val="22"/>
  </w:num>
  <w:num w:numId="33" w16cid:durableId="475220491">
    <w:abstractNumId w:val="14"/>
  </w:num>
  <w:num w:numId="34" w16cid:durableId="16648219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6298"/>
    <w:rsid w:val="00007F32"/>
    <w:rsid w:val="000126EE"/>
    <w:rsid w:val="00020F7B"/>
    <w:rsid w:val="0004076F"/>
    <w:rsid w:val="00047887"/>
    <w:rsid w:val="000505DB"/>
    <w:rsid w:val="00052BBC"/>
    <w:rsid w:val="00053BE8"/>
    <w:rsid w:val="00054704"/>
    <w:rsid w:val="0005737E"/>
    <w:rsid w:val="000639F2"/>
    <w:rsid w:val="00067075"/>
    <w:rsid w:val="00067672"/>
    <w:rsid w:val="00070C3A"/>
    <w:rsid w:val="00072091"/>
    <w:rsid w:val="00085EBA"/>
    <w:rsid w:val="00086219"/>
    <w:rsid w:val="000A3BF5"/>
    <w:rsid w:val="000A453D"/>
    <w:rsid w:val="000B021B"/>
    <w:rsid w:val="000B1855"/>
    <w:rsid w:val="000B7F7F"/>
    <w:rsid w:val="000C0557"/>
    <w:rsid w:val="000C48CE"/>
    <w:rsid w:val="000D68E9"/>
    <w:rsid w:val="000E45AB"/>
    <w:rsid w:val="000E58D8"/>
    <w:rsid w:val="00103B89"/>
    <w:rsid w:val="00111085"/>
    <w:rsid w:val="00116000"/>
    <w:rsid w:val="0012195F"/>
    <w:rsid w:val="00122E94"/>
    <w:rsid w:val="00140A92"/>
    <w:rsid w:val="0014346B"/>
    <w:rsid w:val="001469B7"/>
    <w:rsid w:val="00157F35"/>
    <w:rsid w:val="001A69EF"/>
    <w:rsid w:val="001B08E3"/>
    <w:rsid w:val="001B0C62"/>
    <w:rsid w:val="001B2D54"/>
    <w:rsid w:val="001B5AEE"/>
    <w:rsid w:val="001C2155"/>
    <w:rsid w:val="001C6E8A"/>
    <w:rsid w:val="001E6930"/>
    <w:rsid w:val="001F4344"/>
    <w:rsid w:val="002000AB"/>
    <w:rsid w:val="00200E24"/>
    <w:rsid w:val="00204B1B"/>
    <w:rsid w:val="00217EAB"/>
    <w:rsid w:val="002206D9"/>
    <w:rsid w:val="00220CBF"/>
    <w:rsid w:val="00221E9E"/>
    <w:rsid w:val="0022240D"/>
    <w:rsid w:val="00222C75"/>
    <w:rsid w:val="0022498C"/>
    <w:rsid w:val="0022626C"/>
    <w:rsid w:val="0023229C"/>
    <w:rsid w:val="0025028C"/>
    <w:rsid w:val="002522F2"/>
    <w:rsid w:val="00253FEE"/>
    <w:rsid w:val="0027071A"/>
    <w:rsid w:val="002724D0"/>
    <w:rsid w:val="00273AE9"/>
    <w:rsid w:val="00273B9F"/>
    <w:rsid w:val="00280343"/>
    <w:rsid w:val="00283708"/>
    <w:rsid w:val="0028705A"/>
    <w:rsid w:val="00291340"/>
    <w:rsid w:val="00297E49"/>
    <w:rsid w:val="002A2564"/>
    <w:rsid w:val="002A6D99"/>
    <w:rsid w:val="002A7782"/>
    <w:rsid w:val="002A7840"/>
    <w:rsid w:val="002B1CE5"/>
    <w:rsid w:val="002B283A"/>
    <w:rsid w:val="002B470E"/>
    <w:rsid w:val="002B6ADE"/>
    <w:rsid w:val="002C17F2"/>
    <w:rsid w:val="002C3350"/>
    <w:rsid w:val="002C6279"/>
    <w:rsid w:val="002C6F16"/>
    <w:rsid w:val="002D1A01"/>
    <w:rsid w:val="002E6431"/>
    <w:rsid w:val="002F4DB3"/>
    <w:rsid w:val="002F5063"/>
    <w:rsid w:val="003014FB"/>
    <w:rsid w:val="00306DBC"/>
    <w:rsid w:val="00314BC6"/>
    <w:rsid w:val="00330AB4"/>
    <w:rsid w:val="0034294D"/>
    <w:rsid w:val="00344433"/>
    <w:rsid w:val="00347C5C"/>
    <w:rsid w:val="00350FFA"/>
    <w:rsid w:val="00361F75"/>
    <w:rsid w:val="003671FE"/>
    <w:rsid w:val="00367254"/>
    <w:rsid w:val="003772CC"/>
    <w:rsid w:val="00382F07"/>
    <w:rsid w:val="00392586"/>
    <w:rsid w:val="003A2EFF"/>
    <w:rsid w:val="003A3884"/>
    <w:rsid w:val="003A4422"/>
    <w:rsid w:val="003C13D2"/>
    <w:rsid w:val="003C18F9"/>
    <w:rsid w:val="003C3AE0"/>
    <w:rsid w:val="003C4258"/>
    <w:rsid w:val="003C7D5D"/>
    <w:rsid w:val="003D5A28"/>
    <w:rsid w:val="003F3047"/>
    <w:rsid w:val="003F4AF1"/>
    <w:rsid w:val="004016B1"/>
    <w:rsid w:val="0040226D"/>
    <w:rsid w:val="00407FF9"/>
    <w:rsid w:val="00411934"/>
    <w:rsid w:val="00414677"/>
    <w:rsid w:val="00422376"/>
    <w:rsid w:val="004229A4"/>
    <w:rsid w:val="0044680C"/>
    <w:rsid w:val="00453C04"/>
    <w:rsid w:val="004547F9"/>
    <w:rsid w:val="00470781"/>
    <w:rsid w:val="004751C9"/>
    <w:rsid w:val="004769BE"/>
    <w:rsid w:val="00495658"/>
    <w:rsid w:val="00497764"/>
    <w:rsid w:val="004A4EC5"/>
    <w:rsid w:val="004B566E"/>
    <w:rsid w:val="004B608F"/>
    <w:rsid w:val="004C57E0"/>
    <w:rsid w:val="004C57E1"/>
    <w:rsid w:val="004D566D"/>
    <w:rsid w:val="004D72EB"/>
    <w:rsid w:val="004E2C12"/>
    <w:rsid w:val="004F2AF5"/>
    <w:rsid w:val="004F4EF0"/>
    <w:rsid w:val="00510D78"/>
    <w:rsid w:val="0051352E"/>
    <w:rsid w:val="00514B8C"/>
    <w:rsid w:val="00514DE3"/>
    <w:rsid w:val="00517DA7"/>
    <w:rsid w:val="00517F2C"/>
    <w:rsid w:val="00520A33"/>
    <w:rsid w:val="00521D2B"/>
    <w:rsid w:val="0052569A"/>
    <w:rsid w:val="00527AE4"/>
    <w:rsid w:val="0053139E"/>
    <w:rsid w:val="005402A4"/>
    <w:rsid w:val="00540665"/>
    <w:rsid w:val="00542A18"/>
    <w:rsid w:val="00545EDC"/>
    <w:rsid w:val="005479BD"/>
    <w:rsid w:val="00552189"/>
    <w:rsid w:val="005539D3"/>
    <w:rsid w:val="0055569D"/>
    <w:rsid w:val="00556D72"/>
    <w:rsid w:val="00557F13"/>
    <w:rsid w:val="00585244"/>
    <w:rsid w:val="00591519"/>
    <w:rsid w:val="0059202A"/>
    <w:rsid w:val="00596A88"/>
    <w:rsid w:val="005A48C5"/>
    <w:rsid w:val="005D0242"/>
    <w:rsid w:val="005D7CE7"/>
    <w:rsid w:val="005F1F15"/>
    <w:rsid w:val="00602809"/>
    <w:rsid w:val="00606473"/>
    <w:rsid w:val="00610A38"/>
    <w:rsid w:val="00622D05"/>
    <w:rsid w:val="00630DDF"/>
    <w:rsid w:val="0063351E"/>
    <w:rsid w:val="0063747D"/>
    <w:rsid w:val="0064080B"/>
    <w:rsid w:val="00643061"/>
    <w:rsid w:val="006569AD"/>
    <w:rsid w:val="00662A42"/>
    <w:rsid w:val="0066736E"/>
    <w:rsid w:val="006A1A8D"/>
    <w:rsid w:val="006B0B39"/>
    <w:rsid w:val="006B29F2"/>
    <w:rsid w:val="006B4DD5"/>
    <w:rsid w:val="006B581B"/>
    <w:rsid w:val="006B5872"/>
    <w:rsid w:val="006B6856"/>
    <w:rsid w:val="006C0CE7"/>
    <w:rsid w:val="006C0ED3"/>
    <w:rsid w:val="006C1219"/>
    <w:rsid w:val="006D154E"/>
    <w:rsid w:val="006E5D6E"/>
    <w:rsid w:val="006F1E04"/>
    <w:rsid w:val="006F60B8"/>
    <w:rsid w:val="00701CD8"/>
    <w:rsid w:val="00704585"/>
    <w:rsid w:val="007078FA"/>
    <w:rsid w:val="00707D80"/>
    <w:rsid w:val="00714C04"/>
    <w:rsid w:val="00720BF1"/>
    <w:rsid w:val="00721B03"/>
    <w:rsid w:val="00732FCD"/>
    <w:rsid w:val="007356D3"/>
    <w:rsid w:val="0073638F"/>
    <w:rsid w:val="00737473"/>
    <w:rsid w:val="007570DC"/>
    <w:rsid w:val="00761317"/>
    <w:rsid w:val="00762F71"/>
    <w:rsid w:val="00775332"/>
    <w:rsid w:val="007758D5"/>
    <w:rsid w:val="007849D5"/>
    <w:rsid w:val="00793912"/>
    <w:rsid w:val="007A0972"/>
    <w:rsid w:val="007A199F"/>
    <w:rsid w:val="007B0D0B"/>
    <w:rsid w:val="007B1ABA"/>
    <w:rsid w:val="007B74C5"/>
    <w:rsid w:val="007C48A9"/>
    <w:rsid w:val="007D268F"/>
    <w:rsid w:val="007D5D5C"/>
    <w:rsid w:val="007D6B1D"/>
    <w:rsid w:val="00805B5E"/>
    <w:rsid w:val="008063B8"/>
    <w:rsid w:val="00810632"/>
    <w:rsid w:val="00840D32"/>
    <w:rsid w:val="00842C50"/>
    <w:rsid w:val="00845F56"/>
    <w:rsid w:val="00846066"/>
    <w:rsid w:val="00847FEA"/>
    <w:rsid w:val="008507C1"/>
    <w:rsid w:val="00850F5B"/>
    <w:rsid w:val="0085746F"/>
    <w:rsid w:val="00857BF4"/>
    <w:rsid w:val="00861934"/>
    <w:rsid w:val="0086305C"/>
    <w:rsid w:val="00875EC8"/>
    <w:rsid w:val="00894788"/>
    <w:rsid w:val="0089677C"/>
    <w:rsid w:val="008B00B6"/>
    <w:rsid w:val="008B796D"/>
    <w:rsid w:val="008C1AB0"/>
    <w:rsid w:val="008C4486"/>
    <w:rsid w:val="008E22BA"/>
    <w:rsid w:val="008E70FE"/>
    <w:rsid w:val="008E7F67"/>
    <w:rsid w:val="008F0AC9"/>
    <w:rsid w:val="008F54C7"/>
    <w:rsid w:val="00900F7F"/>
    <w:rsid w:val="00901428"/>
    <w:rsid w:val="00901F72"/>
    <w:rsid w:val="00910EBF"/>
    <w:rsid w:val="00927C32"/>
    <w:rsid w:val="0093473D"/>
    <w:rsid w:val="009401BB"/>
    <w:rsid w:val="00944ECC"/>
    <w:rsid w:val="009453E2"/>
    <w:rsid w:val="00945FA0"/>
    <w:rsid w:val="009509D7"/>
    <w:rsid w:val="0095438F"/>
    <w:rsid w:val="00954C24"/>
    <w:rsid w:val="009570BF"/>
    <w:rsid w:val="009578C7"/>
    <w:rsid w:val="00972F57"/>
    <w:rsid w:val="00973848"/>
    <w:rsid w:val="0099196C"/>
    <w:rsid w:val="00995280"/>
    <w:rsid w:val="00996EF9"/>
    <w:rsid w:val="009A39D3"/>
    <w:rsid w:val="009A4C1B"/>
    <w:rsid w:val="009A6099"/>
    <w:rsid w:val="009B0A87"/>
    <w:rsid w:val="009B5B51"/>
    <w:rsid w:val="009C0161"/>
    <w:rsid w:val="009C2572"/>
    <w:rsid w:val="009C3F00"/>
    <w:rsid w:val="009E1AB5"/>
    <w:rsid w:val="009E4A8A"/>
    <w:rsid w:val="009F0136"/>
    <w:rsid w:val="009F0EF6"/>
    <w:rsid w:val="00A14B02"/>
    <w:rsid w:val="00A16069"/>
    <w:rsid w:val="00A20289"/>
    <w:rsid w:val="00A2091E"/>
    <w:rsid w:val="00A228AE"/>
    <w:rsid w:val="00A23E4B"/>
    <w:rsid w:val="00A24E6E"/>
    <w:rsid w:val="00A359A2"/>
    <w:rsid w:val="00A41BBB"/>
    <w:rsid w:val="00A43694"/>
    <w:rsid w:val="00A52A40"/>
    <w:rsid w:val="00A56FC7"/>
    <w:rsid w:val="00A6250D"/>
    <w:rsid w:val="00A65823"/>
    <w:rsid w:val="00A668BF"/>
    <w:rsid w:val="00A66ADD"/>
    <w:rsid w:val="00A67ADA"/>
    <w:rsid w:val="00A72575"/>
    <w:rsid w:val="00A74071"/>
    <w:rsid w:val="00A754E4"/>
    <w:rsid w:val="00A76511"/>
    <w:rsid w:val="00A80B32"/>
    <w:rsid w:val="00A825AB"/>
    <w:rsid w:val="00A913A8"/>
    <w:rsid w:val="00A93D4E"/>
    <w:rsid w:val="00AA124A"/>
    <w:rsid w:val="00AA1BC8"/>
    <w:rsid w:val="00AA2A96"/>
    <w:rsid w:val="00AB4CE9"/>
    <w:rsid w:val="00AB6DAE"/>
    <w:rsid w:val="00AC21AD"/>
    <w:rsid w:val="00AC4631"/>
    <w:rsid w:val="00AC5CD0"/>
    <w:rsid w:val="00AD312D"/>
    <w:rsid w:val="00AD6B1C"/>
    <w:rsid w:val="00B100CC"/>
    <w:rsid w:val="00B169A0"/>
    <w:rsid w:val="00B264AE"/>
    <w:rsid w:val="00B327E4"/>
    <w:rsid w:val="00B346E2"/>
    <w:rsid w:val="00B37A66"/>
    <w:rsid w:val="00B456C5"/>
    <w:rsid w:val="00B503BB"/>
    <w:rsid w:val="00B6164E"/>
    <w:rsid w:val="00B6689D"/>
    <w:rsid w:val="00B66DBB"/>
    <w:rsid w:val="00B72368"/>
    <w:rsid w:val="00B93E39"/>
    <w:rsid w:val="00BA04E1"/>
    <w:rsid w:val="00BA359E"/>
    <w:rsid w:val="00BC1A25"/>
    <w:rsid w:val="00BC7D63"/>
    <w:rsid w:val="00BD00E0"/>
    <w:rsid w:val="00BD5DB4"/>
    <w:rsid w:val="00BE12B2"/>
    <w:rsid w:val="00BE2CCA"/>
    <w:rsid w:val="00BE5D87"/>
    <w:rsid w:val="00BE6EC3"/>
    <w:rsid w:val="00BE7440"/>
    <w:rsid w:val="00BF70FB"/>
    <w:rsid w:val="00BF7344"/>
    <w:rsid w:val="00C001B8"/>
    <w:rsid w:val="00C10B48"/>
    <w:rsid w:val="00C10B89"/>
    <w:rsid w:val="00C1590B"/>
    <w:rsid w:val="00C162C2"/>
    <w:rsid w:val="00C16924"/>
    <w:rsid w:val="00C16AAE"/>
    <w:rsid w:val="00C41745"/>
    <w:rsid w:val="00C54D58"/>
    <w:rsid w:val="00C573E1"/>
    <w:rsid w:val="00C60222"/>
    <w:rsid w:val="00C61C6D"/>
    <w:rsid w:val="00C73233"/>
    <w:rsid w:val="00C736D3"/>
    <w:rsid w:val="00C802AA"/>
    <w:rsid w:val="00C809E2"/>
    <w:rsid w:val="00C9130F"/>
    <w:rsid w:val="00C91B0B"/>
    <w:rsid w:val="00C93CC8"/>
    <w:rsid w:val="00C95DF6"/>
    <w:rsid w:val="00C96B36"/>
    <w:rsid w:val="00CA683E"/>
    <w:rsid w:val="00CA6B1D"/>
    <w:rsid w:val="00CB023D"/>
    <w:rsid w:val="00CB06CA"/>
    <w:rsid w:val="00CB3E40"/>
    <w:rsid w:val="00CB5117"/>
    <w:rsid w:val="00CC3BA4"/>
    <w:rsid w:val="00CD0319"/>
    <w:rsid w:val="00CE2ED8"/>
    <w:rsid w:val="00CE626A"/>
    <w:rsid w:val="00D020BE"/>
    <w:rsid w:val="00D03514"/>
    <w:rsid w:val="00D12F8F"/>
    <w:rsid w:val="00D1362F"/>
    <w:rsid w:val="00D2267E"/>
    <w:rsid w:val="00D22775"/>
    <w:rsid w:val="00D26BD9"/>
    <w:rsid w:val="00D35B39"/>
    <w:rsid w:val="00D40A8D"/>
    <w:rsid w:val="00D52AF4"/>
    <w:rsid w:val="00D65786"/>
    <w:rsid w:val="00D81E9E"/>
    <w:rsid w:val="00DA1B7B"/>
    <w:rsid w:val="00DA2B2B"/>
    <w:rsid w:val="00DA5787"/>
    <w:rsid w:val="00DA6496"/>
    <w:rsid w:val="00DB6F7E"/>
    <w:rsid w:val="00DB729E"/>
    <w:rsid w:val="00DB79DF"/>
    <w:rsid w:val="00DD0FA4"/>
    <w:rsid w:val="00DD779D"/>
    <w:rsid w:val="00DE0402"/>
    <w:rsid w:val="00DE1D12"/>
    <w:rsid w:val="00DE32B6"/>
    <w:rsid w:val="00DE6343"/>
    <w:rsid w:val="00DF1B8C"/>
    <w:rsid w:val="00DF6DC3"/>
    <w:rsid w:val="00DF7922"/>
    <w:rsid w:val="00E02099"/>
    <w:rsid w:val="00E029F8"/>
    <w:rsid w:val="00E0470A"/>
    <w:rsid w:val="00E118C4"/>
    <w:rsid w:val="00E12A97"/>
    <w:rsid w:val="00E14881"/>
    <w:rsid w:val="00E2073A"/>
    <w:rsid w:val="00E20765"/>
    <w:rsid w:val="00E36EF8"/>
    <w:rsid w:val="00E442F4"/>
    <w:rsid w:val="00E47A3A"/>
    <w:rsid w:val="00E53DDB"/>
    <w:rsid w:val="00E5678A"/>
    <w:rsid w:val="00E6185A"/>
    <w:rsid w:val="00E65066"/>
    <w:rsid w:val="00E67289"/>
    <w:rsid w:val="00E70C0D"/>
    <w:rsid w:val="00E71B82"/>
    <w:rsid w:val="00E73B8C"/>
    <w:rsid w:val="00E762E8"/>
    <w:rsid w:val="00E84493"/>
    <w:rsid w:val="00E848AC"/>
    <w:rsid w:val="00E9203A"/>
    <w:rsid w:val="00E9345D"/>
    <w:rsid w:val="00E93617"/>
    <w:rsid w:val="00E96A3A"/>
    <w:rsid w:val="00E96BAE"/>
    <w:rsid w:val="00EA32F7"/>
    <w:rsid w:val="00EB6972"/>
    <w:rsid w:val="00EC6A53"/>
    <w:rsid w:val="00ED187E"/>
    <w:rsid w:val="00ED1EA3"/>
    <w:rsid w:val="00EE5EEB"/>
    <w:rsid w:val="00EF239D"/>
    <w:rsid w:val="00EF6D66"/>
    <w:rsid w:val="00F05C59"/>
    <w:rsid w:val="00F10972"/>
    <w:rsid w:val="00F143C9"/>
    <w:rsid w:val="00F14806"/>
    <w:rsid w:val="00F17F0E"/>
    <w:rsid w:val="00F230CD"/>
    <w:rsid w:val="00F27E60"/>
    <w:rsid w:val="00F30EA8"/>
    <w:rsid w:val="00F51C18"/>
    <w:rsid w:val="00F63277"/>
    <w:rsid w:val="00F64432"/>
    <w:rsid w:val="00F66E3C"/>
    <w:rsid w:val="00F70F8D"/>
    <w:rsid w:val="00F87FA5"/>
    <w:rsid w:val="00F928A7"/>
    <w:rsid w:val="00F976DD"/>
    <w:rsid w:val="00F976E6"/>
    <w:rsid w:val="00FA31E2"/>
    <w:rsid w:val="00FA5867"/>
    <w:rsid w:val="00FB38B6"/>
    <w:rsid w:val="00FB522D"/>
    <w:rsid w:val="00FB56D4"/>
    <w:rsid w:val="00FB6477"/>
    <w:rsid w:val="00FB7A8C"/>
    <w:rsid w:val="00FC7229"/>
    <w:rsid w:val="00FD03F5"/>
    <w:rsid w:val="00FD0DB4"/>
    <w:rsid w:val="00FD2549"/>
    <w:rsid w:val="00FD4F8F"/>
    <w:rsid w:val="00FD6D2A"/>
    <w:rsid w:val="00FE45E8"/>
    <w:rsid w:val="00FE7494"/>
    <w:rsid w:val="00FE7914"/>
    <w:rsid w:val="00FF26EA"/>
    <w:rsid w:val="00FF5B70"/>
    <w:rsid w:val="00FF5BB9"/>
    <w:rsid w:val="0807D070"/>
    <w:rsid w:val="18BF7061"/>
    <w:rsid w:val="1E009A8A"/>
    <w:rsid w:val="354FE72F"/>
    <w:rsid w:val="3E3764E1"/>
    <w:rsid w:val="4D02B17D"/>
    <w:rsid w:val="53988477"/>
    <w:rsid w:val="57004864"/>
    <w:rsid w:val="7A7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62D33E66-B638-43CB-8F45-D9C2D25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9A1B27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33352A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ADA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ADA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33352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ADA"/>
    <w:pPr>
      <w:keepNext/>
      <w:keepLines/>
      <w:spacing w:before="240" w:after="0"/>
      <w:outlineLvl w:val="4"/>
    </w:pPr>
    <w:rPr>
      <w:rFonts w:eastAsiaTheme="majorEastAsia" w:cstheme="majorBidi"/>
      <w:b/>
      <w:color w:val="33352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9A1B27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7ADA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3335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02"/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67ADA"/>
    <w:pPr>
      <w:numPr>
        <w:ilvl w:val="1"/>
      </w:numPr>
      <w:spacing w:after="0"/>
    </w:pPr>
    <w:rPr>
      <w:rFonts w:eastAsiaTheme="minorEastAsia"/>
      <w:color w:val="9A1B27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67ADA"/>
    <w:rPr>
      <w:rFonts w:ascii="Aptos Display" w:eastAsiaTheme="minorEastAsia" w:hAnsi="Aptos Display"/>
      <w:color w:val="9A1B27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9A1B27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33352A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ADA"/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7ADA"/>
    <w:rPr>
      <w:rFonts w:ascii="Aptos SemiBold" w:eastAsiaTheme="majorEastAsia" w:hAnsi="Aptos SemiBold" w:cstheme="majorBidi"/>
      <w:iCs/>
      <w:color w:val="33352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67ADA"/>
    <w:rPr>
      <w:rFonts w:ascii="Aptos Display" w:eastAsiaTheme="majorEastAsia" w:hAnsi="Aptos Display" w:cstheme="majorBidi"/>
      <w:b/>
      <w:color w:val="33352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9A1B27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onsolas" w:hAnsi="Consolas"/>
        <w:b/>
        <w:color w:val="FFFFFF" w:themeColor="background1"/>
      </w:rPr>
      <w:tblPr/>
      <w:tcPr>
        <w:shd w:val="clear" w:color="auto" w:fill="9A1B27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67ADA"/>
    <w:rPr>
      <w:rFonts w:ascii="Aptos SemiBold" w:eastAsiaTheme="majorEastAsia" w:hAnsi="Aptos SemiBold" w:cstheme="majorBidi"/>
      <w:i/>
      <w:iCs/>
      <w:color w:val="33352A" w:themeColor="text2"/>
    </w:rPr>
  </w:style>
  <w:style w:type="paragraph" w:customStyle="1" w:styleId="numberedpara">
    <w:name w:val="numbered para"/>
    <w:basedOn w:val="Normal"/>
    <w:rsid w:val="00140A92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0070C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DA"/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2A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2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9F2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9F2"/>
    <w:rPr>
      <w:rFonts w:ascii="Aptos Display" w:hAnsi="Aptos Display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872"/>
    <w:pPr>
      <w:spacing w:after="0" w:line="240" w:lineRule="auto"/>
    </w:pPr>
    <w:rPr>
      <w:rFonts w:ascii="Aptos Display" w:hAnsi="Aptos Display"/>
    </w:rPr>
  </w:style>
  <w:style w:type="table" w:customStyle="1" w:styleId="TableGrid1">
    <w:name w:val="Table Grid1"/>
    <w:basedOn w:val="TableNormal"/>
    <w:next w:val="TableGrid"/>
    <w:uiPriority w:val="59"/>
    <w:rsid w:val="0077533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fsc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sc.gov.au/disclaime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sc.gov.au/useful-documents-downloads?s=audit+criteria+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sc.gov.au/useful-documents-downloads?s=audit+criteria+guidelines" TargetMode="External"/><Relationship Id="rId20" Type="http://schemas.openxmlformats.org/officeDocument/2006/relationships/hyperlink" Target="https://www.fs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sc.gov.au/disclaim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3352A"/>
      </a:dk2>
      <a:lt2>
        <a:srgbClr val="E4E5DF"/>
      </a:lt2>
      <a:accent1>
        <a:srgbClr val="9A1B27"/>
      </a:accent1>
      <a:accent2>
        <a:srgbClr val="C52539"/>
      </a:accent2>
      <a:accent3>
        <a:srgbClr val="ADB19F"/>
      </a:accent3>
      <a:accent4>
        <a:srgbClr val="F15525"/>
      </a:accent4>
      <a:accent5>
        <a:srgbClr val="EF8F1E"/>
      </a:accent5>
      <a:accent6>
        <a:srgbClr val="7B230B"/>
      </a:accent6>
      <a:hlink>
        <a:srgbClr val="00B0F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dbd165b-f361-4017-b20b-1154cf7fd284" xsi:nil="true"/>
    <lcf76f155ced4ddcb4097134ff3c332f xmlns="bdbd165b-f361-4017-b20b-1154cf7fd284">
      <Terms xmlns="http://schemas.microsoft.com/office/infopath/2007/PartnerControls"/>
    </lcf76f155ced4ddcb4097134ff3c332f>
    <MinuteStatus xmlns="bdbd165b-f361-4017-b20b-1154cf7fd284" xsi:nil="true"/>
    <Notes xmlns="bdbd165b-f361-4017-b20b-1154cf7fd284" xsi:nil="true"/>
    <Secreteriat xmlns="bdbd165b-f361-4017-b20b-1154cf7fd284">
      <UserInfo>
        <DisplayName/>
        <AccountId xsi:nil="true"/>
        <AccountType/>
      </UserInfo>
    </Secreteriat>
    <StatusforGovernance xmlns="bdbd165b-f361-4017-b20b-1154cf7fd284" xsi:nil="true"/>
    <Notes0 xmlns="bdbd165b-f361-4017-b20b-1154cf7fd284" xsi:nil="true"/>
    <TaxCatchAll xmlns="ed5dd72a-e6fa-4bff-8950-363366e3c2fb" xsi:nil="true"/>
    <Date xmlns="bdbd165b-f361-4017-b20b-1154cf7fd284" xsi:nil="true"/>
    <Committee xmlns="bdbd165b-f361-4017-b20b-1154cf7fd284" xsi:nil="true"/>
    <Procedure_x002f_Mapstatus xmlns="bdbd165b-f361-4017-b20b-1154cf7fd284" xsi:nil="true"/>
    <Appealsfactsheet xmlns="bdbd165b-f361-4017-b20b-1154cf7fd284" xsi:nil="true"/>
    <_Flow_SignoffStatus xmlns="bdbd165b-f361-4017-b20b-1154cf7fd284" xsi:nil="true"/>
    <Author0 xmlns="bdbd165b-f361-4017-b20b-1154cf7fd284">
      <UserInfo>
        <DisplayName/>
        <AccountId xsi:nil="true"/>
        <AccountType/>
      </UserInfo>
    </Author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7A8F94755242B1474651EBAFB18D" ma:contentTypeVersion="33" ma:contentTypeDescription="Create a new document." ma:contentTypeScope="" ma:versionID="460dede52ed1d732168f5f28e9b65647">
  <xsd:schema xmlns:xsd="http://www.w3.org/2001/XMLSchema" xmlns:xs="http://www.w3.org/2001/XMLSchema" xmlns:p="http://schemas.microsoft.com/office/2006/metadata/properties" xmlns:ns2="bdbd165b-f361-4017-b20b-1154cf7fd284" xmlns:ns3="ed5dd72a-e6fa-4bff-8950-363366e3c2fb" targetNamespace="http://schemas.microsoft.com/office/2006/metadata/properties" ma:root="true" ma:fieldsID="66234d807c5d44b3ac52de446ff01446" ns2:_="" ns3:_="">
    <xsd:import namespace="bdbd165b-f361-4017-b20b-1154cf7fd284"/>
    <xsd:import namespace="ed5dd72a-e6fa-4bff-8950-363366e3c2fb"/>
    <xsd:element name="properties">
      <xsd:complexType>
        <xsd:sequence>
          <xsd:element name="documentManagement">
            <xsd:complexType>
              <xsd:all>
                <xsd:element ref="ns2:Committee" minOccurs="0"/>
                <xsd:element ref="ns2:_Flow_SignoffStatus" minOccurs="0"/>
                <xsd:element ref="ns2:Notes" minOccurs="0"/>
                <xsd:element ref="ns2:StatusforGovernance" minOccurs="0"/>
                <xsd:element ref="ns2:Secreteriat" minOccurs="0"/>
                <xsd:element ref="ns2:MinuteStatus" minOccurs="0"/>
                <xsd:element ref="ns2:Comments" minOccurs="0"/>
                <xsd:element ref="ns2:Date" minOccurs="0"/>
                <xsd:element ref="ns2:Author0" minOccurs="0"/>
                <xsd:element ref="ns2:Notes0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Metadata" minOccurs="0"/>
                <xsd:element ref="ns2:MediaServiceSearchPropertie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Appealsfactsheet" minOccurs="0"/>
                <xsd:element ref="ns2:Procedure_x002f_Ma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165b-f361-4017-b20b-1154cf7fd284" elementFormDefault="qualified">
    <xsd:import namespace="http://schemas.microsoft.com/office/2006/documentManagement/types"/>
    <xsd:import namespace="http://schemas.microsoft.com/office/infopath/2007/PartnerControls"/>
    <xsd:element name="Committee" ma:index="2" nillable="true" ma:displayName="Committee" ma:format="Dropdown" ma:internalName="Committe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Board"/>
                    <xsd:enumeration value="Continuous Improvement Group"/>
                    <xsd:enumeration value="FSO Forum"/>
                    <xsd:enumeration value="Company Cases"/>
                    <xsd:enumeration value="Other document"/>
                    <xsd:enumeration value="Onboarding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4" nillable="true" ma:displayName="Training status" ma:format="Dropdown" ma:internalName="Sign_x002d_off_x0020_statu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ed"/>
                        <xsd:enumeration value="In progress"/>
                        <xsd:enumeration value="Needs updating"/>
                        <xsd:enumeration value="Template required"/>
                        <xsd:enumeration value="Completed"/>
                        <xsd:enumeration value="Schedul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tes" ma:index="5" nillable="true" ma:displayName="Notes " ma:format="Dropdown" ma:internalName="Notes" ma:readOnly="false">
      <xsd:simpleType>
        <xsd:restriction base="dms:Note">
          <xsd:maxLength value="255"/>
        </xsd:restriction>
      </xsd:simpleType>
    </xsd:element>
    <xsd:element name="StatusforGovernance" ma:index="6" nillable="true" ma:displayName="Status for Governance" ma:format="Dropdown" ma:internalName="StatusforGovernance">
      <xsd:simpleType>
        <xsd:restriction base="dms:Choice">
          <xsd:enumeration value="G&amp;A to update"/>
          <xsd:enumeration value="Checked 2025"/>
          <xsd:enumeration value="Ready for EL1 review"/>
          <xsd:enumeration value="In progress"/>
        </xsd:restriction>
      </xsd:simpleType>
    </xsd:element>
    <xsd:element name="Secreteriat" ma:index="7" nillable="true" ma:displayName="Secreteriat" ma:format="Dropdown" ma:list="UserInfo" ma:SharePointGroup="0" ma:internalName="Secreteria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nuteStatus" ma:index="8" nillable="true" ma:displayName="Status" ma:format="Dropdown" ma:internalName="MinuteStatus" ma:readOnly="false">
      <xsd:simpleType>
        <xsd:restriction base="dms:Choice">
          <xsd:enumeration value="In progress"/>
          <xsd:enumeration value="Folder not active"/>
          <xsd:enumeration value="Choice 3"/>
          <xsd:enumeration value="AO Team advised to update"/>
        </xsd:restriction>
      </xsd:simpleType>
    </xsd:element>
    <xsd:element name="Comments" ma:index="9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Date" ma:index="10" nillable="true" ma:displayName="Date" ma:format="DateOnly" ma:internalName="Date" ma:readOnly="false">
      <xsd:simpleType>
        <xsd:restriction base="dms:DateTime"/>
      </xsd:simpleType>
    </xsd:element>
    <xsd:element name="Author0" ma:index="11" nillable="true" ma:displayName="Author" ma:format="Dropdown" ma:list="UserInfo" ma:SharePointGroup="0" ma:internalName="Author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2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32" nillable="true" ma:displayName="Location" ma:hidden="true" ma:indexed="true" ma:internalName="MediaServiceLocation" ma:readOnly="true">
      <xsd:simpleType>
        <xsd:restriction base="dms:Text"/>
      </xsd:simpleType>
    </xsd:element>
    <xsd:element name="Appealsfactsheet" ma:index="33" nillable="true" ma:displayName="Appeals factsheet" ma:format="Dropdown" ma:internalName="Appealsfactsheet">
      <xsd:simpleType>
        <xsd:union memberTypes="dms:Text">
          <xsd:simpleType>
            <xsd:restriction base="dms:Choice">
              <xsd:enumeration value="In progress"/>
              <xsd:enumeration value="Completed"/>
              <xsd:enumeration value="Choice 3"/>
            </xsd:restriction>
          </xsd:simpleType>
        </xsd:union>
      </xsd:simpleType>
    </xsd:element>
    <xsd:element name="Procedure_x002f_Mapstatus" ma:index="34" nillable="true" ma:displayName="Procedure / Map status" ma:format="Dropdown" ma:internalName="Procedure_x002f_Mapstatus">
      <xsd:simpleType>
        <xsd:restriction base="dms:Choice">
          <xsd:enumeration value="Started"/>
          <xsd:enumeration value="Not started"/>
          <xsd:enumeration value="For EL1 review"/>
          <xsd:enumeration value="Completed"/>
          <xsd:enumeration value="Needs updating"/>
          <xsd:enumeration value="Seeking audit teams feedback"/>
          <xsd:enumeration value="TEMPLATE"/>
          <xsd:enumeration value="L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dd72a-e6fa-4bff-8950-363366e3c2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3eb34f-d1ea-40ad-b659-b55717186a43}" ma:internalName="TaxCatchAll" ma:readOnly="false" ma:showField="CatchAllData" ma:web="ed5dd72a-e6fa-4bff-8950-363366e3c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bdbd165b-f361-4017-b20b-1154cf7fd284"/>
    <ds:schemaRef ds:uri="ed5dd72a-e6fa-4bff-8950-363366e3c2fb"/>
  </ds:schemaRefs>
</ds:datastoreItem>
</file>

<file path=customXml/itemProps4.xml><?xml version="1.0" encoding="utf-8"?>
<ds:datastoreItem xmlns:ds="http://schemas.openxmlformats.org/officeDocument/2006/customXml" ds:itemID="{76D65C92-E701-4AF3-83F9-C0D4337E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165b-f361-4017-b20b-1154cf7fd284"/>
    <ds:schemaRef ds:uri="ed5dd72a-e6fa-4bff-8950-363366e3c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1080</Words>
  <Characters>6126</Characters>
  <Application>Microsoft Office Word</Application>
  <DocSecurity>0</DocSecurity>
  <Lines>556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OFSC A4 Factsheet Template - Portrait</vt:lpstr>
    </vt:vector>
  </TitlesOfParts>
  <Company/>
  <LinksUpToDate>false</LinksUpToDate>
  <CharactersWithSpaces>6756</CharactersWithSpaces>
  <SharedDoc>false</SharedDoc>
  <HLinks>
    <vt:vector size="36" baseType="variant"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https://www.fsc.gov.au/sites/default/files/2024-04/FSC Audit Criteria Guidelines 23 April 2024.pdf</vt:lpwstr>
      </vt:variant>
      <vt:variant>
        <vt:lpwstr/>
      </vt:variant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https://www.fsc.gov.au/sites/default/files/2024-04/FSC Audit Criteria Guidelines 23 April 2024.pdf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http://www.fsc.gov.au/</vt:lpwstr>
      </vt:variant>
      <vt:variant>
        <vt:lpwstr/>
      </vt:variant>
      <vt:variant>
        <vt:i4>7405625</vt:i4>
      </vt:variant>
      <vt:variant>
        <vt:i4>0</vt:i4>
      </vt:variant>
      <vt:variant>
        <vt:i4>0</vt:i4>
      </vt:variant>
      <vt:variant>
        <vt:i4>5</vt:i4>
      </vt:variant>
      <vt:variant>
        <vt:lpwstr>http://www.fsc.gov.au/</vt:lpwstr>
      </vt:variant>
      <vt:variant>
        <vt:lpwstr/>
      </vt:variant>
      <vt:variant>
        <vt:i4>5636124</vt:i4>
      </vt:variant>
      <vt:variant>
        <vt:i4>3</vt:i4>
      </vt:variant>
      <vt:variant>
        <vt:i4>0</vt:i4>
      </vt:variant>
      <vt:variant>
        <vt:i4>5</vt:i4>
      </vt:variant>
      <vt:variant>
        <vt:lpwstr>https://www.fsc.gov.au/disclaimer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https://www.fsc.gov.au/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OFSC A4 Factsheet Template - Portrait</dc:title>
  <dc:subject/>
  <dc:creator>GARDINER,Cari</dc:creator>
  <cp:keywords>OFSC  A4 Factsheet Template - Portrait</cp:keywords>
  <dc:description/>
  <cp:lastModifiedBy>GARDINER,Cari</cp:lastModifiedBy>
  <cp:revision>3</cp:revision>
  <cp:lastPrinted>2025-09-17T05:29:00Z</cp:lastPrinted>
  <dcterms:created xsi:type="dcterms:W3CDTF">2025-10-21T05:28:00Z</dcterms:created>
  <dcterms:modified xsi:type="dcterms:W3CDTF">2025-10-21T05:31:00Z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0x0101001E2F7A8F94755242B1474651EBAFB18D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