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C6B04" w14:textId="5F5B56A5" w:rsidR="00551C8B" w:rsidRDefault="00551C8B" w:rsidP="00CB57B7">
      <w:pPr>
        <w:ind w:left="1276"/>
        <w:rPr>
          <w:rFonts w:eastAsia="Times New Roman" w:cs="Times New Roman"/>
          <w:b/>
          <w:noProof/>
          <w:sz w:val="44"/>
          <w:szCs w:val="44"/>
          <w:lang w:eastAsia="en-AU"/>
        </w:rPr>
      </w:pPr>
      <w:r w:rsidRPr="00A13CB9">
        <w:rPr>
          <w:rFonts w:eastAsia="Times New Roman" w:cs="Times New Roman"/>
          <w:b/>
          <w:noProof/>
          <w:sz w:val="44"/>
          <w:szCs w:val="44"/>
          <w:lang w:eastAsia="en-AU"/>
        </w:rPr>
        <w:drawing>
          <wp:anchor distT="0" distB="0" distL="114300" distR="114300" simplePos="0" relativeHeight="251658242" behindDoc="0" locked="0" layoutInCell="1" allowOverlap="1" wp14:anchorId="208956DC" wp14:editId="6E88525A">
            <wp:simplePos x="0" y="0"/>
            <wp:positionH relativeFrom="page">
              <wp:align>left</wp:align>
            </wp:positionH>
            <wp:positionV relativeFrom="margin">
              <wp:posOffset>-723900</wp:posOffset>
            </wp:positionV>
            <wp:extent cx="7604760" cy="14103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04760" cy="1410335"/>
                    </a:xfrm>
                    <a:prstGeom prst="rect">
                      <a:avLst/>
                    </a:prstGeom>
                    <a:noFill/>
                  </pic:spPr>
                </pic:pic>
              </a:graphicData>
            </a:graphic>
            <wp14:sizeRelH relativeFrom="page">
              <wp14:pctWidth>0</wp14:pctWidth>
            </wp14:sizeRelH>
            <wp14:sizeRelV relativeFrom="page">
              <wp14:pctHeight>0</wp14:pctHeight>
            </wp14:sizeRelV>
          </wp:anchor>
        </w:drawing>
      </w:r>
    </w:p>
    <w:p w14:paraId="2AE8705E" w14:textId="4CC7F7FC" w:rsidR="00551C8B" w:rsidRDefault="00551C8B" w:rsidP="00CB57B7">
      <w:pPr>
        <w:ind w:left="1276"/>
        <w:rPr>
          <w:rFonts w:eastAsia="Times New Roman" w:cs="Times New Roman"/>
          <w:b/>
          <w:noProof/>
          <w:sz w:val="44"/>
          <w:szCs w:val="44"/>
          <w:lang w:eastAsia="en-AU"/>
        </w:rPr>
      </w:pPr>
    </w:p>
    <w:p w14:paraId="0629E7E6" w14:textId="037FF80A" w:rsidR="00C10C19" w:rsidRPr="00CB57B7" w:rsidRDefault="00731937" w:rsidP="00CB57B7">
      <w:pPr>
        <w:ind w:left="1276"/>
        <w:rPr>
          <w:rFonts w:ascii="Calibri" w:eastAsiaTheme="majorEastAsia" w:hAnsi="Calibri" w:cstheme="majorBidi"/>
          <w:b/>
          <w:color w:val="C00000"/>
          <w:spacing w:val="5"/>
          <w:sz w:val="40"/>
          <w:szCs w:val="52"/>
        </w:rPr>
      </w:pPr>
      <w:r w:rsidRPr="00CB57B7">
        <w:rPr>
          <w:rFonts w:ascii="Calibri" w:eastAsiaTheme="majorEastAsia" w:hAnsi="Calibri" w:cstheme="majorBidi"/>
          <w:b/>
          <w:color w:val="C00000"/>
          <w:spacing w:val="5"/>
          <w:sz w:val="40"/>
          <w:szCs w:val="52"/>
        </w:rPr>
        <w:t>Fact Sheet – Definitions o</w:t>
      </w:r>
      <w:r w:rsidR="00A30120" w:rsidRPr="00CB57B7">
        <w:rPr>
          <w:rFonts w:ascii="Calibri" w:eastAsiaTheme="majorEastAsia" w:hAnsi="Calibri" w:cstheme="majorBidi"/>
          <w:b/>
          <w:color w:val="C00000"/>
          <w:spacing w:val="5"/>
          <w:sz w:val="40"/>
          <w:szCs w:val="52"/>
        </w:rPr>
        <w:t>f ‘Builder’ and ‘Building Work’</w:t>
      </w:r>
    </w:p>
    <w:p w14:paraId="10B20AA5" w14:textId="77777777" w:rsidR="004D54E7" w:rsidRPr="00F5755C" w:rsidRDefault="004D54E7" w:rsidP="00F5755C">
      <w:pPr>
        <w:pStyle w:val="DeleteText"/>
        <w:ind w:left="1276" w:right="-120"/>
        <w:contextualSpacing/>
        <w:rPr>
          <w:i/>
        </w:rPr>
        <w:sectPr w:rsidR="004D54E7" w:rsidRPr="00F5755C" w:rsidSect="003134C2">
          <w:headerReference w:type="default" r:id="rId12"/>
          <w:footerReference w:type="default" r:id="rId13"/>
          <w:type w:val="continuous"/>
          <w:pgSz w:w="11906" w:h="16838"/>
          <w:pgMar w:top="0" w:right="1440" w:bottom="1440" w:left="238" w:header="624" w:footer="0" w:gutter="0"/>
          <w:cols w:space="708"/>
          <w:docGrid w:linePitch="360"/>
        </w:sectPr>
      </w:pPr>
      <w:bookmarkStart w:id="0" w:name="_Toc364946114"/>
    </w:p>
    <w:bookmarkEnd w:id="0"/>
    <w:p w14:paraId="194F163D" w14:textId="77777777" w:rsidR="00731937" w:rsidRPr="00CB57B7" w:rsidRDefault="00731937" w:rsidP="00156EEB">
      <w:pPr>
        <w:pStyle w:val="Heading1"/>
        <w:ind w:right="-427"/>
        <w:rPr>
          <w:sz w:val="24"/>
          <w:szCs w:val="24"/>
        </w:rPr>
      </w:pPr>
      <w:r w:rsidRPr="00CB57B7">
        <w:rPr>
          <w:sz w:val="24"/>
          <w:szCs w:val="24"/>
        </w:rPr>
        <w:t xml:space="preserve">The Scheme </w:t>
      </w:r>
    </w:p>
    <w:p w14:paraId="0A14E1C7" w14:textId="296E752D" w:rsidR="00731937" w:rsidRPr="006C4DBB" w:rsidRDefault="002400B2" w:rsidP="00156EEB">
      <w:pPr>
        <w:spacing w:line="240" w:lineRule="auto"/>
        <w:ind w:right="-427"/>
        <w:rPr>
          <w:i/>
        </w:rPr>
      </w:pPr>
      <w:bookmarkStart w:id="1" w:name="_Toc364946115"/>
      <w:r>
        <w:t>T</w:t>
      </w:r>
      <w:r w:rsidRPr="002400B2">
        <w:t xml:space="preserve">he </w:t>
      </w:r>
      <w:r w:rsidRPr="007171EE">
        <w:rPr>
          <w:i/>
          <w:iCs/>
        </w:rPr>
        <w:t>Federal Safety Commissioner Act 2022</w:t>
      </w:r>
      <w:r w:rsidRPr="002400B2">
        <w:t xml:space="preserve"> (the Act) </w:t>
      </w:r>
      <w:r>
        <w:t>establishes t</w:t>
      </w:r>
      <w:r w:rsidR="00731937" w:rsidRPr="006C4DBB">
        <w:t xml:space="preserve">he </w:t>
      </w:r>
      <w:r w:rsidR="00731937" w:rsidRPr="004168C6">
        <w:t xml:space="preserve">Work Health and Safety Accreditation Scheme </w:t>
      </w:r>
      <w:r w:rsidR="00731937" w:rsidRPr="006C4DBB">
        <w:t xml:space="preserve">(the Scheme) </w:t>
      </w:r>
      <w:r w:rsidR="003F3DBD">
        <w:t xml:space="preserve">to improve </w:t>
      </w:r>
      <w:r w:rsidR="008A447A">
        <w:t>w</w:t>
      </w:r>
      <w:r w:rsidR="003F3DBD">
        <w:t xml:space="preserve">ork, </w:t>
      </w:r>
      <w:r w:rsidR="008A447A">
        <w:t>h</w:t>
      </w:r>
      <w:r w:rsidR="003F3DBD">
        <w:t xml:space="preserve">ealth and </w:t>
      </w:r>
      <w:r w:rsidR="008A447A">
        <w:t>s</w:t>
      </w:r>
      <w:r w:rsidR="003F3DBD">
        <w:t>afety (WHS) in the building and construction industry</w:t>
      </w:r>
      <w:r w:rsidR="00731937" w:rsidRPr="009755F2">
        <w:t>.</w:t>
      </w:r>
      <w:r w:rsidR="00731937" w:rsidRPr="006C4DBB">
        <w:rPr>
          <w:i/>
        </w:rPr>
        <w:t xml:space="preserve"> </w:t>
      </w:r>
    </w:p>
    <w:p w14:paraId="5E264AEF" w14:textId="38A39AB2" w:rsidR="00C51EE8" w:rsidRDefault="003F3DBD" w:rsidP="00156EEB">
      <w:pPr>
        <w:spacing w:after="240" w:line="240" w:lineRule="auto"/>
        <w:ind w:right="-427"/>
      </w:pPr>
      <w:r>
        <w:t xml:space="preserve">Subject to </w:t>
      </w:r>
      <w:r w:rsidR="23088EDD">
        <w:t>certain exemptions</w:t>
      </w:r>
      <w:r>
        <w:t xml:space="preserve">, </w:t>
      </w:r>
      <w:r w:rsidR="00731937">
        <w:t xml:space="preserve">only ‘builders’ who are accredited under the Scheme can enter into contracts for building work that is funded </w:t>
      </w:r>
      <w:r w:rsidR="00731937" w:rsidRPr="321631E4">
        <w:rPr>
          <w:noProof/>
        </w:rPr>
        <w:t xml:space="preserve">directly or indirectly by the </w:t>
      </w:r>
      <w:r w:rsidR="006158C8" w:rsidRPr="321631E4">
        <w:rPr>
          <w:noProof/>
        </w:rPr>
        <w:t xml:space="preserve">Commonwealth or </w:t>
      </w:r>
      <w:r w:rsidR="0080754E" w:rsidRPr="321631E4">
        <w:rPr>
          <w:noProof/>
        </w:rPr>
        <w:t xml:space="preserve">a </w:t>
      </w:r>
      <w:r w:rsidRPr="321631E4">
        <w:rPr>
          <w:noProof/>
        </w:rPr>
        <w:t>c</w:t>
      </w:r>
      <w:r w:rsidR="006158C8" w:rsidRPr="321631E4">
        <w:rPr>
          <w:noProof/>
        </w:rPr>
        <w:t xml:space="preserve">orporate Commonwealth </w:t>
      </w:r>
      <w:r w:rsidRPr="321631E4">
        <w:rPr>
          <w:noProof/>
        </w:rPr>
        <w:t>e</w:t>
      </w:r>
      <w:r w:rsidR="006158C8" w:rsidRPr="321631E4">
        <w:rPr>
          <w:noProof/>
        </w:rPr>
        <w:t>ntit</w:t>
      </w:r>
      <w:r w:rsidR="0080754E" w:rsidRPr="321631E4">
        <w:rPr>
          <w:noProof/>
        </w:rPr>
        <w:t>y</w:t>
      </w:r>
      <w:r w:rsidR="00731937" w:rsidRPr="321631E4">
        <w:rPr>
          <w:noProof/>
        </w:rPr>
        <w:t>.</w:t>
      </w:r>
      <w:r w:rsidR="00731937">
        <w:t xml:space="preserve"> </w:t>
      </w:r>
      <w:bookmarkStart w:id="2" w:name="_Toc364946116"/>
      <w:bookmarkEnd w:id="1"/>
    </w:p>
    <w:p w14:paraId="7E15A323" w14:textId="13FA2B1F" w:rsidR="00731937" w:rsidRPr="00CB57B7" w:rsidRDefault="00731937" w:rsidP="00156EEB">
      <w:pPr>
        <w:pStyle w:val="Heading1"/>
        <w:ind w:right="-427"/>
        <w:rPr>
          <w:sz w:val="24"/>
          <w:szCs w:val="24"/>
        </w:rPr>
      </w:pPr>
      <w:r w:rsidRPr="00CB57B7">
        <w:rPr>
          <w:sz w:val="24"/>
          <w:szCs w:val="24"/>
        </w:rPr>
        <w:t>Definition of a</w:t>
      </w:r>
      <w:r w:rsidR="003F3DBD" w:rsidRPr="00CB57B7">
        <w:rPr>
          <w:sz w:val="24"/>
          <w:szCs w:val="24"/>
        </w:rPr>
        <w:t xml:space="preserve"> ‘</w:t>
      </w:r>
      <w:r w:rsidRPr="00CB57B7">
        <w:rPr>
          <w:sz w:val="24"/>
          <w:szCs w:val="24"/>
        </w:rPr>
        <w:t>Builder</w:t>
      </w:r>
      <w:r w:rsidR="003F3DBD" w:rsidRPr="00CB57B7">
        <w:rPr>
          <w:sz w:val="24"/>
          <w:szCs w:val="24"/>
        </w:rPr>
        <w:t>’</w:t>
      </w:r>
    </w:p>
    <w:bookmarkEnd w:id="2"/>
    <w:p w14:paraId="1F2080A2" w14:textId="77777777" w:rsidR="00731937" w:rsidRDefault="00731937" w:rsidP="00156EEB">
      <w:pPr>
        <w:spacing w:line="240" w:lineRule="auto"/>
        <w:ind w:right="-427"/>
      </w:pPr>
      <w:r w:rsidRPr="006C4DBB">
        <w:t>The Act defines a builder, in relation to ‘building work’, as ‘a person who carries out any of the building work’.</w:t>
      </w:r>
    </w:p>
    <w:p w14:paraId="632E336E" w14:textId="0ADDEC8C" w:rsidR="007171EE" w:rsidRDefault="007171EE" w:rsidP="00156EEB">
      <w:pPr>
        <w:spacing w:line="240" w:lineRule="auto"/>
        <w:ind w:right="-427"/>
      </w:pPr>
      <w:r>
        <w:t>Generally, builders engaged to perform building work under a head contract will require accreditation. Subcontractors engaged in building work are not required to be accredited</w:t>
      </w:r>
      <w:r w:rsidR="143E5FB0">
        <w:t>.</w:t>
      </w:r>
    </w:p>
    <w:p w14:paraId="3CF397B3" w14:textId="77777777" w:rsidR="00731937" w:rsidRPr="006C4DBB" w:rsidRDefault="00A30120" w:rsidP="00156EEB">
      <w:pPr>
        <w:spacing w:line="240" w:lineRule="auto"/>
        <w:ind w:right="-427"/>
      </w:pPr>
      <w:r>
        <w:t>A</w:t>
      </w:r>
      <w:r w:rsidR="00731937">
        <w:t xml:space="preserve"> project or contract manager, or developer </w:t>
      </w:r>
      <w:r>
        <w:t xml:space="preserve">who </w:t>
      </w:r>
      <w:r w:rsidR="00731937">
        <w:t xml:space="preserve">carries out ‘building work’ will be required to obtain accreditation in order to undertake projects </w:t>
      </w:r>
      <w:r>
        <w:t>covered by the</w:t>
      </w:r>
      <w:r w:rsidR="00731937">
        <w:t xml:space="preserve"> Scheme.  </w:t>
      </w:r>
    </w:p>
    <w:p w14:paraId="36CDC1F8" w14:textId="6F9084FE" w:rsidR="005105EF" w:rsidRPr="00FB7DF5" w:rsidRDefault="00731937" w:rsidP="77913F82">
      <w:pPr>
        <w:spacing w:line="240" w:lineRule="auto"/>
        <w:ind w:right="-427"/>
      </w:pPr>
      <w:r w:rsidRPr="00FB7DF5">
        <w:t xml:space="preserve">However, where a project manager, contract manager or developer is </w:t>
      </w:r>
      <w:r w:rsidR="1669AC9A" w:rsidRPr="00FB7DF5">
        <w:t xml:space="preserve">engaging a builder to </w:t>
      </w:r>
      <w:r w:rsidRPr="00FB7DF5">
        <w:t xml:space="preserve">carry out building work, </w:t>
      </w:r>
      <w:r w:rsidR="57860CD6" w:rsidRPr="00FB7DF5">
        <w:t xml:space="preserve">the manager or developer </w:t>
      </w:r>
      <w:r w:rsidRPr="00FB7DF5">
        <w:t>will not require accreditation.</w:t>
      </w:r>
      <w:r w:rsidR="003F3DBD" w:rsidRPr="00FB7DF5">
        <w:t xml:space="preserve"> </w:t>
      </w:r>
      <w:r w:rsidR="5FEBB137" w:rsidRPr="00FB7DF5">
        <w:t xml:space="preserve">However, </w:t>
      </w:r>
      <w:r w:rsidRPr="00FB7DF5">
        <w:t xml:space="preserve">they will be required to </w:t>
      </w:r>
      <w:r w:rsidR="028C9D5B" w:rsidRPr="00FB7DF5">
        <w:t xml:space="preserve">ensure that </w:t>
      </w:r>
      <w:r w:rsidR="6E7A713D" w:rsidRPr="00FB7DF5">
        <w:t>a</w:t>
      </w:r>
      <w:r w:rsidRPr="00FB7DF5">
        <w:t xml:space="preserve">n accredited builder </w:t>
      </w:r>
      <w:r w:rsidR="2672225D" w:rsidRPr="00FB7DF5">
        <w:t xml:space="preserve">is engaged </w:t>
      </w:r>
      <w:r w:rsidRPr="00FB7DF5">
        <w:t>to carry out the ‘building work’.</w:t>
      </w:r>
    </w:p>
    <w:p w14:paraId="7F6C4417" w14:textId="02C659FB" w:rsidR="003F3DBD" w:rsidRPr="00CB57B7" w:rsidRDefault="003F3DBD" w:rsidP="00156EEB">
      <w:pPr>
        <w:pStyle w:val="Heading1"/>
        <w:ind w:right="-427"/>
        <w:rPr>
          <w:sz w:val="24"/>
          <w:szCs w:val="24"/>
        </w:rPr>
      </w:pPr>
      <w:r w:rsidRPr="00CB57B7">
        <w:rPr>
          <w:sz w:val="24"/>
          <w:szCs w:val="24"/>
        </w:rPr>
        <w:t>Definition of ‘Building Work’</w:t>
      </w:r>
    </w:p>
    <w:p w14:paraId="777D310B" w14:textId="6C11572F" w:rsidR="003F3DBD" w:rsidRPr="00E92F4D" w:rsidRDefault="003F3DBD" w:rsidP="00156EEB">
      <w:pPr>
        <w:spacing w:line="240" w:lineRule="auto"/>
        <w:ind w:right="-427"/>
      </w:pPr>
      <w:r>
        <w:t xml:space="preserve">Building work for Scheme purposes means </w:t>
      </w:r>
      <w:r w:rsidR="7ACD19BB">
        <w:t>any of the following</w:t>
      </w:r>
      <w:r>
        <w:t>:</w:t>
      </w:r>
    </w:p>
    <w:p w14:paraId="18CF7B98" w14:textId="77777777" w:rsidR="003F3DBD" w:rsidRPr="009755F2" w:rsidRDefault="003F3DBD" w:rsidP="00483201">
      <w:pPr>
        <w:pStyle w:val="OFSCBullets"/>
        <w:numPr>
          <w:ilvl w:val="0"/>
          <w:numId w:val="26"/>
        </w:numPr>
        <w:ind w:left="567"/>
      </w:pPr>
      <w:r w:rsidRPr="009755F2">
        <w:t>construction</w:t>
      </w:r>
    </w:p>
    <w:p w14:paraId="6AC52ECA" w14:textId="77777777" w:rsidR="003F3DBD" w:rsidRPr="009755F2" w:rsidRDefault="003F3DBD" w:rsidP="00483201">
      <w:pPr>
        <w:pStyle w:val="OFSCBullets"/>
        <w:numPr>
          <w:ilvl w:val="0"/>
          <w:numId w:val="26"/>
        </w:numPr>
        <w:ind w:left="567"/>
      </w:pPr>
      <w:r w:rsidRPr="009755F2">
        <w:t>alteration</w:t>
      </w:r>
    </w:p>
    <w:p w14:paraId="29A0DA8B" w14:textId="77777777" w:rsidR="003F3DBD" w:rsidRPr="009755F2" w:rsidRDefault="003F3DBD" w:rsidP="00483201">
      <w:pPr>
        <w:pStyle w:val="OFSCBullets"/>
        <w:numPr>
          <w:ilvl w:val="0"/>
          <w:numId w:val="26"/>
        </w:numPr>
        <w:ind w:left="567"/>
      </w:pPr>
      <w:r w:rsidRPr="009755F2">
        <w:t>extension</w:t>
      </w:r>
    </w:p>
    <w:p w14:paraId="1AECD459" w14:textId="77777777" w:rsidR="003F3DBD" w:rsidRPr="009755F2" w:rsidRDefault="003F3DBD" w:rsidP="00483201">
      <w:pPr>
        <w:pStyle w:val="OFSCBullets"/>
        <w:numPr>
          <w:ilvl w:val="0"/>
          <w:numId w:val="26"/>
        </w:numPr>
        <w:ind w:left="567"/>
      </w:pPr>
      <w:r w:rsidRPr="009755F2">
        <w:t>restoration</w:t>
      </w:r>
    </w:p>
    <w:p w14:paraId="0A9B299C" w14:textId="77777777" w:rsidR="003F3DBD" w:rsidRPr="009755F2" w:rsidRDefault="003F3DBD" w:rsidP="00483201">
      <w:pPr>
        <w:pStyle w:val="OFSCBullets"/>
        <w:numPr>
          <w:ilvl w:val="0"/>
          <w:numId w:val="26"/>
        </w:numPr>
        <w:ind w:left="567"/>
      </w:pPr>
      <w:r w:rsidRPr="009755F2">
        <w:t>repair</w:t>
      </w:r>
    </w:p>
    <w:p w14:paraId="7D97FFE3" w14:textId="65BEF5C5" w:rsidR="003F3DBD" w:rsidRPr="009755F2" w:rsidRDefault="0B97CE5E" w:rsidP="00483201">
      <w:pPr>
        <w:pStyle w:val="OFSCBullets"/>
        <w:numPr>
          <w:ilvl w:val="0"/>
          <w:numId w:val="26"/>
        </w:numPr>
        <w:ind w:left="567"/>
      </w:pPr>
      <w:r>
        <w:t>d</w:t>
      </w:r>
      <w:r w:rsidR="003F3DBD">
        <w:t>emolition</w:t>
      </w:r>
      <w:r w:rsidR="085CFC71">
        <w:t>, or</w:t>
      </w:r>
    </w:p>
    <w:p w14:paraId="4B40ACD6" w14:textId="77777777" w:rsidR="003F3DBD" w:rsidRPr="009755F2" w:rsidRDefault="003F3DBD" w:rsidP="00483201">
      <w:pPr>
        <w:pStyle w:val="OFSCBullets"/>
        <w:numPr>
          <w:ilvl w:val="0"/>
          <w:numId w:val="26"/>
        </w:numPr>
        <w:ind w:left="567"/>
      </w:pPr>
      <w:r w:rsidRPr="009755F2">
        <w:t>dismantling</w:t>
      </w:r>
    </w:p>
    <w:p w14:paraId="0B3373DF" w14:textId="77777777" w:rsidR="003F3DBD" w:rsidRPr="009755F2" w:rsidRDefault="003F3DBD" w:rsidP="007171EE">
      <w:pPr>
        <w:pStyle w:val="OFSCBullets"/>
      </w:pPr>
    </w:p>
    <w:p w14:paraId="4FF0FB97" w14:textId="7A3984FF" w:rsidR="003F3DBD" w:rsidRPr="00DA4855" w:rsidRDefault="003F3DBD" w:rsidP="00156EEB">
      <w:pPr>
        <w:pStyle w:val="ListBullet"/>
        <w:numPr>
          <w:ilvl w:val="0"/>
          <w:numId w:val="0"/>
        </w:numPr>
        <w:spacing w:line="240" w:lineRule="auto"/>
        <w:ind w:right="-427"/>
        <w:rPr>
          <w:szCs w:val="20"/>
        </w:rPr>
      </w:pPr>
      <w:r w:rsidRPr="00DA4855">
        <w:rPr>
          <w:szCs w:val="20"/>
        </w:rPr>
        <w:t>of any buildings, structures or works that form, or are to form, part of land, whether or not the</w:t>
      </w:r>
      <w:r>
        <w:rPr>
          <w:szCs w:val="20"/>
        </w:rPr>
        <w:t xml:space="preserve">y are </w:t>
      </w:r>
      <w:r w:rsidRPr="00E92F4D">
        <w:rPr>
          <w:szCs w:val="20"/>
        </w:rPr>
        <w:t>permanent. Any of these activities carried out on railways</w:t>
      </w:r>
      <w:r>
        <w:rPr>
          <w:szCs w:val="20"/>
        </w:rPr>
        <w:t xml:space="preserve"> (not including rolling stock)</w:t>
      </w:r>
      <w:r w:rsidRPr="00DA4855">
        <w:rPr>
          <w:szCs w:val="20"/>
        </w:rPr>
        <w:t xml:space="preserve"> and docks </w:t>
      </w:r>
      <w:r>
        <w:rPr>
          <w:szCs w:val="20"/>
        </w:rPr>
        <w:t>is also</w:t>
      </w:r>
      <w:r w:rsidRPr="00DA4855">
        <w:rPr>
          <w:szCs w:val="20"/>
        </w:rPr>
        <w:t xml:space="preserve"> building work</w:t>
      </w:r>
      <w:r>
        <w:rPr>
          <w:szCs w:val="20"/>
        </w:rPr>
        <w:t>.</w:t>
      </w:r>
    </w:p>
    <w:p w14:paraId="6AF0B7EE" w14:textId="77777777" w:rsidR="003F3DBD" w:rsidRPr="00E92F4D" w:rsidRDefault="003F3DBD" w:rsidP="00156EEB">
      <w:pPr>
        <w:pStyle w:val="ListBullet"/>
        <w:numPr>
          <w:ilvl w:val="0"/>
          <w:numId w:val="0"/>
        </w:numPr>
        <w:spacing w:after="0" w:line="240" w:lineRule="auto"/>
        <w:ind w:right="-427"/>
        <w:rPr>
          <w:szCs w:val="20"/>
        </w:rPr>
      </w:pPr>
    </w:p>
    <w:p w14:paraId="2FCD0AC4" w14:textId="06A1E834" w:rsidR="003F3DBD" w:rsidRPr="00DA4855" w:rsidRDefault="003F3DBD" w:rsidP="00156EEB">
      <w:pPr>
        <w:spacing w:line="240" w:lineRule="auto"/>
        <w:ind w:right="-427"/>
      </w:pPr>
      <w:r>
        <w:t xml:space="preserve">Building work </w:t>
      </w:r>
      <w:r w:rsidR="4C75878E">
        <w:t xml:space="preserve">also means </w:t>
      </w:r>
      <w:r>
        <w:t>the installation in any building, structure or works of fittings</w:t>
      </w:r>
      <w:r w:rsidR="760ABC89">
        <w:t xml:space="preserve"> forming, or to form</w:t>
      </w:r>
      <w:r>
        <w:t>,</w:t>
      </w:r>
      <w:r w:rsidR="7502B20F">
        <w:t xml:space="preserve"> part of land</w:t>
      </w:r>
      <w:r>
        <w:t xml:space="preserve"> including:</w:t>
      </w:r>
      <w:r w:rsidRPr="321631E4">
        <w:rPr>
          <w:noProof/>
        </w:rPr>
        <w:t xml:space="preserve"> </w:t>
      </w:r>
    </w:p>
    <w:p w14:paraId="6822CADB" w14:textId="20D3D0FD" w:rsidR="003F3DBD" w:rsidRPr="009755F2" w:rsidRDefault="003F3DBD" w:rsidP="00483201">
      <w:pPr>
        <w:pStyle w:val="OFSCBullets"/>
        <w:numPr>
          <w:ilvl w:val="0"/>
          <w:numId w:val="33"/>
        </w:numPr>
        <w:ind w:left="709"/>
      </w:pPr>
      <w:r w:rsidRPr="009755F2">
        <w:t>heating</w:t>
      </w:r>
    </w:p>
    <w:p w14:paraId="19CD229B" w14:textId="77777777" w:rsidR="003F3DBD" w:rsidRPr="009755F2" w:rsidRDefault="003F3DBD" w:rsidP="00483201">
      <w:pPr>
        <w:pStyle w:val="OFSCBullets"/>
        <w:numPr>
          <w:ilvl w:val="0"/>
          <w:numId w:val="33"/>
        </w:numPr>
        <w:ind w:left="709"/>
      </w:pPr>
      <w:r w:rsidRPr="009755F2">
        <w:t>lighting</w:t>
      </w:r>
    </w:p>
    <w:p w14:paraId="6DB54F20" w14:textId="77777777" w:rsidR="003F3DBD" w:rsidRPr="009755F2" w:rsidRDefault="003F3DBD" w:rsidP="00483201">
      <w:pPr>
        <w:pStyle w:val="OFSCBullets"/>
        <w:numPr>
          <w:ilvl w:val="0"/>
          <w:numId w:val="33"/>
        </w:numPr>
        <w:ind w:left="709"/>
      </w:pPr>
      <w:r w:rsidRPr="009755F2">
        <w:t>air-conditioning</w:t>
      </w:r>
    </w:p>
    <w:p w14:paraId="5FA96F04" w14:textId="77777777" w:rsidR="003F3DBD" w:rsidRPr="009755F2" w:rsidRDefault="003F3DBD" w:rsidP="00483201">
      <w:pPr>
        <w:pStyle w:val="OFSCBullets"/>
        <w:numPr>
          <w:ilvl w:val="0"/>
          <w:numId w:val="32"/>
        </w:numPr>
        <w:ind w:left="709"/>
      </w:pPr>
      <w:r w:rsidRPr="009755F2">
        <w:t>ventilation</w:t>
      </w:r>
    </w:p>
    <w:p w14:paraId="0214D7FB" w14:textId="77777777" w:rsidR="003F3DBD" w:rsidRPr="009755F2" w:rsidRDefault="003F3DBD" w:rsidP="00483201">
      <w:pPr>
        <w:pStyle w:val="OFSCBullets"/>
        <w:numPr>
          <w:ilvl w:val="0"/>
          <w:numId w:val="32"/>
        </w:numPr>
        <w:ind w:left="709"/>
      </w:pPr>
      <w:r w:rsidRPr="009755F2">
        <w:t>power supply</w:t>
      </w:r>
    </w:p>
    <w:p w14:paraId="74AE5E65" w14:textId="77777777" w:rsidR="003F3DBD" w:rsidRPr="009755F2" w:rsidRDefault="003F3DBD" w:rsidP="00483201">
      <w:pPr>
        <w:pStyle w:val="OFSCBullets"/>
        <w:numPr>
          <w:ilvl w:val="0"/>
          <w:numId w:val="32"/>
        </w:numPr>
        <w:ind w:left="709"/>
      </w:pPr>
      <w:r w:rsidRPr="009755F2">
        <w:t>drainage</w:t>
      </w:r>
    </w:p>
    <w:p w14:paraId="60683AF5" w14:textId="77777777" w:rsidR="003F3DBD" w:rsidRPr="009755F2" w:rsidRDefault="003F3DBD" w:rsidP="00483201">
      <w:pPr>
        <w:pStyle w:val="OFSCBullets"/>
        <w:numPr>
          <w:ilvl w:val="0"/>
          <w:numId w:val="32"/>
        </w:numPr>
        <w:ind w:left="709"/>
      </w:pPr>
      <w:r w:rsidRPr="009755F2">
        <w:t>sanitation</w:t>
      </w:r>
    </w:p>
    <w:p w14:paraId="19AAB9EC" w14:textId="77777777" w:rsidR="003F3DBD" w:rsidRPr="009755F2" w:rsidRDefault="003F3DBD" w:rsidP="00483201">
      <w:pPr>
        <w:pStyle w:val="OFSCBullets"/>
        <w:numPr>
          <w:ilvl w:val="0"/>
          <w:numId w:val="32"/>
        </w:numPr>
        <w:ind w:left="709"/>
      </w:pPr>
      <w:r w:rsidRPr="009755F2">
        <w:t>water supply</w:t>
      </w:r>
    </w:p>
    <w:p w14:paraId="45AB624F" w14:textId="77777777" w:rsidR="003F3DBD" w:rsidRPr="009755F2" w:rsidRDefault="003F3DBD" w:rsidP="00483201">
      <w:pPr>
        <w:pStyle w:val="OFSCBullets"/>
        <w:numPr>
          <w:ilvl w:val="0"/>
          <w:numId w:val="32"/>
        </w:numPr>
        <w:ind w:left="709"/>
      </w:pPr>
      <w:r w:rsidRPr="009755F2">
        <w:t>fire protection</w:t>
      </w:r>
    </w:p>
    <w:p w14:paraId="5AE746CA" w14:textId="0C55BD61" w:rsidR="003F3DBD" w:rsidRPr="009755F2" w:rsidRDefault="3A9205FD" w:rsidP="00483201">
      <w:pPr>
        <w:pStyle w:val="OFSCBullets"/>
        <w:numPr>
          <w:ilvl w:val="0"/>
          <w:numId w:val="32"/>
        </w:numPr>
        <w:ind w:left="709"/>
      </w:pPr>
      <w:r>
        <w:t>s</w:t>
      </w:r>
      <w:r w:rsidR="003F3DBD">
        <w:t>ecurity</w:t>
      </w:r>
      <w:r w:rsidR="24A22EB9">
        <w:t>, and</w:t>
      </w:r>
    </w:p>
    <w:p w14:paraId="7593A845" w14:textId="77777777" w:rsidR="003F3DBD" w:rsidRPr="009755F2" w:rsidRDefault="003F3DBD" w:rsidP="00483201">
      <w:pPr>
        <w:pStyle w:val="OFSCBullets"/>
        <w:numPr>
          <w:ilvl w:val="0"/>
          <w:numId w:val="32"/>
        </w:numPr>
        <w:ind w:left="709"/>
      </w:pPr>
      <w:r w:rsidRPr="009755F2">
        <w:t>communications systems</w:t>
      </w:r>
    </w:p>
    <w:p w14:paraId="3CAB46B1" w14:textId="77777777" w:rsidR="003F3DBD" w:rsidRPr="009755F2" w:rsidRDefault="003F3DBD" w:rsidP="007171EE">
      <w:pPr>
        <w:pStyle w:val="OFSCBullets"/>
      </w:pPr>
    </w:p>
    <w:p w14:paraId="11C3D63C" w14:textId="2D7BFD93" w:rsidR="003F3DBD" w:rsidRPr="009755F2" w:rsidRDefault="003F3DBD" w:rsidP="007171EE">
      <w:pPr>
        <w:pStyle w:val="OFSCBullets"/>
      </w:pPr>
      <w:r>
        <w:t xml:space="preserve">Finally, building work </w:t>
      </w:r>
      <w:r w:rsidR="58052BA5">
        <w:t>means any</w:t>
      </w:r>
      <w:r w:rsidR="007171EE">
        <w:t xml:space="preserve"> </w:t>
      </w:r>
      <w:r>
        <w:t xml:space="preserve">operation </w:t>
      </w:r>
      <w:r w:rsidR="00B525A3">
        <w:t>that is</w:t>
      </w:r>
      <w:r w:rsidR="00F2164F">
        <w:t xml:space="preserve"> </w:t>
      </w:r>
      <w:r w:rsidR="00B525A3">
        <w:t>part of,</w:t>
      </w:r>
      <w:r w:rsidR="00381314">
        <w:t xml:space="preserve"> </w:t>
      </w:r>
      <w:r>
        <w:t xml:space="preserve">to prepare, or to </w:t>
      </w:r>
      <w:r w:rsidR="6BC8AF5D">
        <w:t xml:space="preserve">render </w:t>
      </w:r>
      <w:r>
        <w:t>complete, any of the building activities listed above, including, for example:</w:t>
      </w:r>
    </w:p>
    <w:p w14:paraId="20FE7EC9" w14:textId="77777777" w:rsidR="003F3DBD" w:rsidRPr="009755F2" w:rsidRDefault="003F3DBD" w:rsidP="007171EE">
      <w:pPr>
        <w:pStyle w:val="OFSCBullets"/>
      </w:pPr>
    </w:p>
    <w:p w14:paraId="34E47A98" w14:textId="33395248" w:rsidR="003F3DBD" w:rsidRPr="009755F2" w:rsidRDefault="003F3DBD" w:rsidP="007171EE">
      <w:pPr>
        <w:pStyle w:val="OFSCBullets"/>
      </w:pPr>
      <w:r>
        <w:t>site clearance</w:t>
      </w:r>
      <w:r w:rsidR="6FE0F8A9">
        <w:t>,</w:t>
      </w:r>
      <w:r w:rsidR="78FDC4AA">
        <w:t xml:space="preserve"> </w:t>
      </w:r>
      <w:r>
        <w:t>earth-moving</w:t>
      </w:r>
      <w:r w:rsidR="4E8F429C">
        <w:t>,</w:t>
      </w:r>
      <w:r w:rsidR="6F7F9BBA">
        <w:t xml:space="preserve"> </w:t>
      </w:r>
      <w:r w:rsidR="37A47365">
        <w:t>e</w:t>
      </w:r>
      <w:r>
        <w:t>xcavation</w:t>
      </w:r>
      <w:r w:rsidR="002FF2E6">
        <w:t>,</w:t>
      </w:r>
      <w:r w:rsidR="007171EE">
        <w:t xml:space="preserve"> t</w:t>
      </w:r>
      <w:r>
        <w:t>unnelling</w:t>
      </w:r>
      <w:r w:rsidR="007171EE">
        <w:t>, b</w:t>
      </w:r>
      <w:r>
        <w:t>oring</w:t>
      </w:r>
      <w:r w:rsidR="007171EE">
        <w:t>,</w:t>
      </w:r>
    </w:p>
    <w:p w14:paraId="477FDEA2" w14:textId="7B63EB44" w:rsidR="003F3DBD" w:rsidRPr="009755F2" w:rsidRDefault="003F3DBD" w:rsidP="007171EE">
      <w:pPr>
        <w:pStyle w:val="OFSCBullets"/>
      </w:pPr>
      <w:r w:rsidRPr="009755F2">
        <w:t>laying of foundations</w:t>
      </w:r>
      <w:r w:rsidR="007171EE">
        <w:t xml:space="preserve">, the </w:t>
      </w:r>
      <w:r>
        <w:t xml:space="preserve">erection, maintenance </w:t>
      </w:r>
      <w:r w:rsidR="67412E6C">
        <w:t>or</w:t>
      </w:r>
      <w:r>
        <w:t xml:space="preserve"> dismantling of scaffolding</w:t>
      </w:r>
      <w:r w:rsidR="007171EE">
        <w:t xml:space="preserve">, </w:t>
      </w:r>
      <w:r>
        <w:t>prefabrication of made-to-order components to form part of any building, structure or works</w:t>
      </w:r>
      <w:r w:rsidR="74D62CF9">
        <w:t xml:space="preserve"> either at the main site or a </w:t>
      </w:r>
      <w:r w:rsidR="5856021D">
        <w:t>an auxiliary or holding site</w:t>
      </w:r>
      <w:r w:rsidR="007171EE">
        <w:t xml:space="preserve">, </w:t>
      </w:r>
      <w:r>
        <w:t>site restoration</w:t>
      </w:r>
      <w:r w:rsidR="529AE7EE">
        <w:t>,</w:t>
      </w:r>
      <w:r w:rsidR="007171EE">
        <w:t xml:space="preserve"> l</w:t>
      </w:r>
      <w:r>
        <w:t>andscaping</w:t>
      </w:r>
      <w:r w:rsidR="4070F053">
        <w:t xml:space="preserve"> and the provision of </w:t>
      </w:r>
      <w:r w:rsidR="7806EF69">
        <w:t>roadways</w:t>
      </w:r>
      <w:r w:rsidR="4070F053">
        <w:t xml:space="preserve"> and other access works.</w:t>
      </w:r>
    </w:p>
    <w:p w14:paraId="5111963A" w14:textId="77777777" w:rsidR="00FE50FE" w:rsidRPr="009755F2" w:rsidRDefault="00FE50FE" w:rsidP="007171EE">
      <w:pPr>
        <w:pStyle w:val="OFSCBullets"/>
      </w:pPr>
    </w:p>
    <w:p w14:paraId="005AA690" w14:textId="5E128137" w:rsidR="003F3DBD" w:rsidRPr="00CB57B7" w:rsidRDefault="003F3DBD" w:rsidP="00156EEB">
      <w:pPr>
        <w:pStyle w:val="Heading1"/>
        <w:ind w:right="-427"/>
        <w:rPr>
          <w:sz w:val="24"/>
          <w:szCs w:val="24"/>
        </w:rPr>
      </w:pPr>
      <w:r w:rsidRPr="00CB57B7">
        <w:rPr>
          <w:sz w:val="24"/>
          <w:szCs w:val="24"/>
        </w:rPr>
        <w:t>What is not included as ‘Building Work’?</w:t>
      </w:r>
    </w:p>
    <w:p w14:paraId="192FF9B0" w14:textId="08EB6F8F" w:rsidR="00FE50FE" w:rsidRPr="00551C8B" w:rsidRDefault="003F3DBD" w:rsidP="00156EEB">
      <w:pPr>
        <w:suppressAutoHyphens/>
        <w:autoSpaceDE w:val="0"/>
        <w:autoSpaceDN w:val="0"/>
        <w:adjustRightInd w:val="0"/>
        <w:spacing w:after="100" w:line="240" w:lineRule="auto"/>
        <w:ind w:right="-427"/>
        <w:textAlignment w:val="center"/>
        <w:rPr>
          <w:rFonts w:ascii="Calibri" w:eastAsia="Times New Roman" w:hAnsi="Calibri" w:cs="Calibri"/>
          <w:color w:val="000000"/>
          <w:szCs w:val="19"/>
          <w:lang w:val="en-GB" w:eastAsia="en-AU"/>
        </w:rPr>
      </w:pPr>
      <w:r w:rsidRPr="00551C8B">
        <w:rPr>
          <w:rFonts w:ascii="Calibri" w:eastAsia="Times New Roman" w:hAnsi="Calibri" w:cs="Calibri"/>
          <w:color w:val="000000"/>
          <w:szCs w:val="19"/>
          <w:lang w:val="en-GB" w:eastAsia="en-AU"/>
        </w:rPr>
        <w:t xml:space="preserve">The Act and </w:t>
      </w:r>
      <w:r w:rsidR="007171EE" w:rsidRPr="00551C8B">
        <w:rPr>
          <w:rFonts w:ascii="Calibri" w:eastAsia="Times New Roman" w:hAnsi="Calibri" w:cs="Calibri"/>
          <w:i/>
          <w:iCs/>
          <w:color w:val="000000"/>
          <w:szCs w:val="19"/>
          <w:lang w:val="en-GB" w:eastAsia="en-AU"/>
        </w:rPr>
        <w:t>Federal Safety Commissioner (Accreditation Scheme) Rules 2023</w:t>
      </w:r>
      <w:r w:rsidRPr="00551C8B">
        <w:rPr>
          <w:rFonts w:ascii="Calibri" w:eastAsia="Times New Roman" w:hAnsi="Calibri" w:cs="Calibri"/>
          <w:color w:val="000000"/>
          <w:szCs w:val="19"/>
          <w:lang w:val="en-GB" w:eastAsia="en-AU"/>
        </w:rPr>
        <w:t xml:space="preserve"> include provisions that exclude certain types of </w:t>
      </w:r>
      <w:r w:rsidR="00A165B4" w:rsidRPr="00551C8B">
        <w:rPr>
          <w:rFonts w:ascii="Calibri" w:eastAsia="Times New Roman" w:hAnsi="Calibri" w:cs="Calibri"/>
          <w:color w:val="000000"/>
          <w:szCs w:val="19"/>
          <w:lang w:val="en-GB" w:eastAsia="en-AU"/>
        </w:rPr>
        <w:t xml:space="preserve">building </w:t>
      </w:r>
      <w:r w:rsidRPr="00551C8B">
        <w:rPr>
          <w:rFonts w:ascii="Calibri" w:eastAsia="Times New Roman" w:hAnsi="Calibri" w:cs="Calibri"/>
          <w:color w:val="000000"/>
          <w:szCs w:val="19"/>
          <w:lang w:val="en-GB" w:eastAsia="en-AU"/>
        </w:rPr>
        <w:t xml:space="preserve">work from the </w:t>
      </w:r>
      <w:r w:rsidR="00745F21" w:rsidRPr="00551C8B">
        <w:rPr>
          <w:rFonts w:ascii="Calibri" w:eastAsia="Times New Roman" w:hAnsi="Calibri" w:cs="Calibri"/>
          <w:color w:val="000000"/>
          <w:szCs w:val="19"/>
          <w:lang w:val="en-GB" w:eastAsia="en-AU"/>
        </w:rPr>
        <w:t>Scheme</w:t>
      </w:r>
      <w:r w:rsidRPr="00551C8B">
        <w:rPr>
          <w:rFonts w:ascii="Calibri" w:eastAsia="Times New Roman" w:hAnsi="Calibri" w:cs="Calibri"/>
          <w:color w:val="000000"/>
          <w:szCs w:val="19"/>
          <w:lang w:val="en-GB" w:eastAsia="en-AU"/>
        </w:rPr>
        <w:t>. These works may be undertaken by an unaccredited builder. They include the following:</w:t>
      </w:r>
    </w:p>
    <w:p w14:paraId="4D6F1034" w14:textId="79B05B61" w:rsidR="00520756" w:rsidRPr="00551C8B" w:rsidRDefault="00520756" w:rsidP="00156EEB">
      <w:pPr>
        <w:suppressAutoHyphens/>
        <w:autoSpaceDE w:val="0"/>
        <w:autoSpaceDN w:val="0"/>
        <w:adjustRightInd w:val="0"/>
        <w:spacing w:after="100" w:line="240" w:lineRule="auto"/>
        <w:ind w:right="-427"/>
        <w:textAlignment w:val="center"/>
        <w:rPr>
          <w:rFonts w:ascii="Calibri" w:eastAsia="Times New Roman" w:hAnsi="Calibri" w:cs="Calibri"/>
          <w:b/>
          <w:bCs/>
          <w:color w:val="000000"/>
          <w:szCs w:val="19"/>
          <w:lang w:val="en-GB" w:eastAsia="en-AU"/>
        </w:rPr>
      </w:pPr>
      <w:r w:rsidRPr="00551C8B">
        <w:rPr>
          <w:rFonts w:ascii="Calibri" w:eastAsia="Times New Roman" w:hAnsi="Calibri" w:cs="Calibri"/>
          <w:b/>
          <w:bCs/>
          <w:color w:val="000000"/>
          <w:szCs w:val="19"/>
          <w:lang w:val="en-GB" w:eastAsia="en-AU"/>
        </w:rPr>
        <w:t>Building work</w:t>
      </w:r>
      <w:r w:rsidR="00D41B13" w:rsidRPr="00551C8B">
        <w:rPr>
          <w:rFonts w:ascii="Calibri" w:eastAsia="Times New Roman" w:hAnsi="Calibri" w:cs="Calibri"/>
          <w:b/>
          <w:bCs/>
          <w:color w:val="000000"/>
          <w:szCs w:val="19"/>
          <w:lang w:val="en-GB" w:eastAsia="en-AU"/>
        </w:rPr>
        <w:t xml:space="preserve"> </w:t>
      </w:r>
      <w:r w:rsidR="00D41B13" w:rsidRPr="00551C8B">
        <w:rPr>
          <w:b/>
          <w:bCs/>
        </w:rPr>
        <w:t>that is carried out under a head contract with a value of less than $4 million (GST inclusive)</w:t>
      </w:r>
    </w:p>
    <w:p w14:paraId="14E612EF" w14:textId="77777777" w:rsidR="00520756" w:rsidRPr="00551C8B" w:rsidRDefault="00520756" w:rsidP="00520756">
      <w:pPr>
        <w:spacing w:line="240" w:lineRule="auto"/>
        <w:ind w:right="-427"/>
      </w:pPr>
      <w:r w:rsidRPr="00551C8B">
        <w:t>Building work that is carried out under a head contract with a value of less than $4 million (GST inclusive) is not captured by the Scheme, regardless of whether the project is directly or indirectly funded by the Commonwealth or a corporate Commonwealth entity.</w:t>
      </w:r>
    </w:p>
    <w:p w14:paraId="5971205B" w14:textId="07ECB67E" w:rsidR="00520756" w:rsidRPr="00551C8B" w:rsidRDefault="00520756" w:rsidP="00520756">
      <w:pPr>
        <w:spacing w:line="240" w:lineRule="auto"/>
        <w:ind w:right="-427"/>
      </w:pPr>
      <w:r w:rsidRPr="00551C8B">
        <w:t>For indirectly funded projects, building work is also not captured by the Scheme where the Australian Government contribution to the project does not meet either of the following thresholds:</w:t>
      </w:r>
    </w:p>
    <w:p w14:paraId="63F3327A" w14:textId="77777777" w:rsidR="00520756" w:rsidRPr="00551C8B" w:rsidRDefault="00520756" w:rsidP="00520756">
      <w:pPr>
        <w:spacing w:line="240" w:lineRule="auto"/>
        <w:ind w:left="284" w:right="-427"/>
      </w:pPr>
      <w:r w:rsidRPr="00551C8B">
        <w:t>• at least $6 million (GST inclusive) and at least 50% of the total project funding; or</w:t>
      </w:r>
    </w:p>
    <w:p w14:paraId="03E44FFC" w14:textId="77777777" w:rsidR="00520756" w:rsidRPr="00551C8B" w:rsidRDefault="00520756" w:rsidP="00520756">
      <w:pPr>
        <w:spacing w:line="240" w:lineRule="auto"/>
        <w:ind w:left="284" w:right="-427"/>
      </w:pPr>
      <w:r w:rsidRPr="00551C8B">
        <w:t>• at least $10 million (GST inclusive).</w:t>
      </w:r>
    </w:p>
    <w:p w14:paraId="68DD2BF8" w14:textId="77777777" w:rsidR="00520756" w:rsidRPr="00551C8B" w:rsidRDefault="00520756" w:rsidP="00520756">
      <w:pPr>
        <w:spacing w:line="240" w:lineRule="auto"/>
        <w:ind w:right="-427"/>
      </w:pPr>
      <w:r w:rsidRPr="00551C8B">
        <w:t>More information on the application of the financial thresholds and when an accredited builder must be engaged is available in the fact sheets ‘</w:t>
      </w:r>
      <w:r w:rsidRPr="00551C8B">
        <w:rPr>
          <w:b/>
          <w:bCs/>
        </w:rPr>
        <w:t>Applying the Scheme to Indirectly funded building work</w:t>
      </w:r>
      <w:r w:rsidRPr="00551C8B">
        <w:t>’ and ‘</w:t>
      </w:r>
      <w:r w:rsidRPr="00551C8B">
        <w:rPr>
          <w:b/>
          <w:bCs/>
        </w:rPr>
        <w:t>Applying the Scheme to Directly funded building work</w:t>
      </w:r>
      <w:r w:rsidRPr="00551C8B">
        <w:t>’.</w:t>
      </w:r>
    </w:p>
    <w:p w14:paraId="1803702A" w14:textId="6A5F86E7" w:rsidR="003F3DBD" w:rsidRPr="00551C8B" w:rsidRDefault="003F3DBD" w:rsidP="321631E4">
      <w:pPr>
        <w:suppressAutoHyphens/>
        <w:autoSpaceDE w:val="0"/>
        <w:autoSpaceDN w:val="0"/>
        <w:adjustRightInd w:val="0"/>
        <w:spacing w:after="100" w:line="240" w:lineRule="auto"/>
        <w:ind w:right="-427"/>
        <w:textAlignment w:val="center"/>
        <w:rPr>
          <w:rFonts w:ascii="Calibri" w:eastAsia="Times New Roman" w:hAnsi="Calibri" w:cs="Calibri"/>
          <w:b/>
          <w:bCs/>
          <w:color w:val="000000"/>
          <w:lang w:val="en-GB" w:eastAsia="en-AU"/>
        </w:rPr>
      </w:pPr>
      <w:r w:rsidRPr="00551C8B">
        <w:rPr>
          <w:rFonts w:ascii="Calibri" w:eastAsia="Times New Roman" w:hAnsi="Calibri" w:cs="Calibri"/>
          <w:b/>
          <w:bCs/>
          <w:color w:val="000000" w:themeColor="text1"/>
          <w:lang w:val="en-GB" w:eastAsia="en-AU"/>
        </w:rPr>
        <w:t xml:space="preserve">Building work undertaken as part of a project </w:t>
      </w:r>
      <w:r w:rsidR="79124657" w:rsidRPr="00551C8B">
        <w:rPr>
          <w:rFonts w:ascii="Calibri" w:eastAsia="Times New Roman" w:hAnsi="Calibri" w:cs="Calibri"/>
          <w:b/>
          <w:bCs/>
          <w:color w:val="000000" w:themeColor="text1"/>
          <w:lang w:val="en-GB" w:eastAsia="en-AU"/>
        </w:rPr>
        <w:t>and</w:t>
      </w:r>
      <w:r w:rsidRPr="00551C8B">
        <w:rPr>
          <w:rFonts w:ascii="Calibri" w:eastAsia="Times New Roman" w:hAnsi="Calibri" w:cs="Calibri"/>
          <w:b/>
          <w:bCs/>
          <w:color w:val="000000" w:themeColor="text1"/>
          <w:lang w:val="en-GB" w:eastAsia="en-AU"/>
        </w:rPr>
        <w:t xml:space="preserve"> under a contract that is below the Scheme thresholds</w:t>
      </w:r>
    </w:p>
    <w:p w14:paraId="0231E78B" w14:textId="77777777" w:rsidR="00A44817" w:rsidRPr="00A44817" w:rsidRDefault="00A44817" w:rsidP="00A44817">
      <w:pPr>
        <w:spacing w:line="240" w:lineRule="auto"/>
        <w:ind w:right="-427"/>
      </w:pPr>
      <w:r w:rsidRPr="00551C8B">
        <w:t>Building work carried out under a contract valued at less than $4 million (GST inclusive) is not captured by the Scheme, even where that contract forms part of a larger project that is directly funded by the Commonwealth or a corporate Commonwealth entity.</w:t>
      </w:r>
    </w:p>
    <w:p w14:paraId="56F2A824" w14:textId="3A7B5B5A" w:rsidR="003F3DBD" w:rsidRPr="00CB57B7" w:rsidRDefault="003F3DBD" w:rsidP="001A71E8">
      <w:pPr>
        <w:suppressAutoHyphens/>
        <w:autoSpaceDE w:val="0"/>
        <w:autoSpaceDN w:val="0"/>
        <w:adjustRightInd w:val="0"/>
        <w:spacing w:after="100" w:line="240" w:lineRule="auto"/>
        <w:ind w:right="-427"/>
        <w:textAlignment w:val="center"/>
        <w:rPr>
          <w:rFonts w:ascii="Calibri" w:eastAsia="Times New Roman" w:hAnsi="Calibri" w:cs="Calibri"/>
          <w:b/>
          <w:color w:val="000000"/>
          <w:szCs w:val="20"/>
          <w:lang w:val="en-GB" w:eastAsia="en-AU"/>
        </w:rPr>
      </w:pPr>
      <w:r w:rsidRPr="00CB57B7">
        <w:rPr>
          <w:rFonts w:ascii="Calibri" w:eastAsia="Times New Roman" w:hAnsi="Calibri" w:cs="Calibri"/>
          <w:b/>
          <w:color w:val="000000"/>
          <w:szCs w:val="20"/>
          <w:lang w:val="en-GB" w:eastAsia="en-AU"/>
        </w:rPr>
        <w:t>Single-dwelling house construction</w:t>
      </w:r>
    </w:p>
    <w:p w14:paraId="6DF888F9" w14:textId="42DC4C08" w:rsidR="00500963" w:rsidRDefault="003F3DBD" w:rsidP="001A71E8">
      <w:pPr>
        <w:spacing w:line="240" w:lineRule="auto"/>
        <w:ind w:right="-427"/>
      </w:pPr>
      <w:r>
        <w:t xml:space="preserve">Building work does not include any work that is part of a project for the construction, repair or restoration of a </w:t>
      </w:r>
      <w:r w:rsidR="00B82C11">
        <w:t>‘</w:t>
      </w:r>
      <w:r>
        <w:t>single-dwelling house</w:t>
      </w:r>
      <w:r w:rsidR="00B82C11">
        <w:t>’</w:t>
      </w:r>
      <w:r>
        <w:t xml:space="preserve"> or any building, structure or work associated with a </w:t>
      </w:r>
      <w:r w:rsidR="00B82C11">
        <w:t>‘</w:t>
      </w:r>
      <w:r>
        <w:t>single-dwelling house</w:t>
      </w:r>
      <w:r w:rsidR="00B82C11">
        <w:t>’</w:t>
      </w:r>
      <w:r w:rsidR="3E267F71">
        <w:t xml:space="preserve"> (irrespective of the number of single dwelling houses to be constructed, repaired or restored)</w:t>
      </w:r>
      <w:r>
        <w:t>.</w:t>
      </w:r>
      <w:r w:rsidR="00435C47">
        <w:t xml:space="preserve"> You </w:t>
      </w:r>
      <w:r w:rsidR="3C87CFE9">
        <w:t xml:space="preserve">also </w:t>
      </w:r>
      <w:r w:rsidR="00435C47">
        <w:t xml:space="preserve">do not need to be accredited if your building work involves the alteration or extension of a dwelling provided it remains a </w:t>
      </w:r>
      <w:r w:rsidR="00D73CB8">
        <w:t>‘</w:t>
      </w:r>
      <w:r w:rsidR="00435C47">
        <w:t>single-dwelling house</w:t>
      </w:r>
      <w:r w:rsidR="00D73CB8">
        <w:t>’</w:t>
      </w:r>
      <w:r w:rsidR="00435C47">
        <w:t xml:space="preserve"> after the alteration or extension.</w:t>
      </w:r>
    </w:p>
    <w:p w14:paraId="6FE55F53" w14:textId="5E0073B4" w:rsidR="00500963" w:rsidRDefault="00500963" w:rsidP="001A71E8">
      <w:pPr>
        <w:spacing w:line="240" w:lineRule="auto"/>
        <w:ind w:right="-427"/>
      </w:pPr>
      <w:r>
        <w:t>For the purposes of the Scheme the definition of a ‘single dwelling house’ is taken from the National Construction Code and is</w:t>
      </w:r>
      <w:r w:rsidR="00675E7D">
        <w:t xml:space="preserve"> a Class 1a building being</w:t>
      </w:r>
      <w:r>
        <w:t xml:space="preserve">: </w:t>
      </w:r>
    </w:p>
    <w:p w14:paraId="4D86E8DD" w14:textId="77777777" w:rsidR="00500963" w:rsidRPr="0087562E" w:rsidRDefault="00500963" w:rsidP="001A71E8">
      <w:pPr>
        <w:pStyle w:val="ListParagraph"/>
        <w:numPr>
          <w:ilvl w:val="0"/>
          <w:numId w:val="25"/>
        </w:numPr>
        <w:ind w:right="-427"/>
      </w:pPr>
      <w:r w:rsidRPr="0087562E">
        <w:t xml:space="preserve">a detached house; or </w:t>
      </w:r>
    </w:p>
    <w:p w14:paraId="4BA04DE9" w14:textId="77777777" w:rsidR="00500963" w:rsidRPr="0087562E" w:rsidRDefault="00500963" w:rsidP="001A71E8">
      <w:pPr>
        <w:pStyle w:val="ListParagraph"/>
        <w:numPr>
          <w:ilvl w:val="0"/>
          <w:numId w:val="25"/>
        </w:numPr>
        <w:ind w:right="-427"/>
      </w:pPr>
      <w:r>
        <w:t>o</w:t>
      </w:r>
      <w:r w:rsidRPr="00A96FA5">
        <w:t>ne of a group of two or more attached dwellings, each being a building, separated by a fire-resisting wall, including a row house, terrace house, town house or villa unit</w:t>
      </w:r>
      <w:r>
        <w:t>.</w:t>
      </w:r>
    </w:p>
    <w:p w14:paraId="6770241A" w14:textId="71283CAB" w:rsidR="003F3DBD" w:rsidRPr="00CB57B7" w:rsidRDefault="003F3DBD" w:rsidP="001A71E8">
      <w:pPr>
        <w:suppressAutoHyphens/>
        <w:autoSpaceDE w:val="0"/>
        <w:autoSpaceDN w:val="0"/>
        <w:adjustRightInd w:val="0"/>
        <w:spacing w:after="100" w:line="240" w:lineRule="auto"/>
        <w:ind w:right="-427"/>
        <w:textAlignment w:val="center"/>
        <w:rPr>
          <w:rFonts w:ascii="Calibri" w:eastAsia="Times New Roman" w:hAnsi="Calibri" w:cs="Calibri"/>
          <w:b/>
          <w:color w:val="000000"/>
          <w:szCs w:val="20"/>
          <w:lang w:val="en-GB" w:eastAsia="en-AU"/>
        </w:rPr>
      </w:pPr>
      <w:r w:rsidRPr="00CB57B7">
        <w:rPr>
          <w:rFonts w:ascii="Calibri" w:eastAsia="Times New Roman" w:hAnsi="Calibri" w:cs="Calibri"/>
          <w:b/>
          <w:color w:val="000000"/>
          <w:szCs w:val="20"/>
          <w:lang w:val="en-GB" w:eastAsia="en-AU"/>
        </w:rPr>
        <w:t>Transportation or supply of goods</w:t>
      </w:r>
    </w:p>
    <w:p w14:paraId="5425F36D" w14:textId="18A890E1" w:rsidR="003F3DBD" w:rsidRPr="00794B48" w:rsidRDefault="003F3DBD" w:rsidP="001A71E8">
      <w:pPr>
        <w:spacing w:line="240" w:lineRule="auto"/>
        <w:ind w:right="-427"/>
      </w:pPr>
      <w:r w:rsidRPr="00794B48">
        <w:t>Building work does not include the transportation or supply of goods, to be used in building work, directly to building sites (including any resources platform) where that work is being or may be performed.</w:t>
      </w:r>
    </w:p>
    <w:p w14:paraId="30FAC949" w14:textId="5AAD24BE" w:rsidR="003F3DBD" w:rsidRPr="00CB57B7" w:rsidRDefault="003F3DBD" w:rsidP="003F3DBD">
      <w:pPr>
        <w:suppressAutoHyphens/>
        <w:autoSpaceDE w:val="0"/>
        <w:autoSpaceDN w:val="0"/>
        <w:adjustRightInd w:val="0"/>
        <w:spacing w:after="100" w:line="240" w:lineRule="auto"/>
        <w:textAlignment w:val="center"/>
        <w:rPr>
          <w:rFonts w:ascii="Calibri" w:eastAsia="Times New Roman" w:hAnsi="Calibri" w:cs="Calibri"/>
          <w:b/>
          <w:color w:val="000000"/>
          <w:szCs w:val="20"/>
          <w:lang w:val="en-GB" w:eastAsia="en-AU"/>
        </w:rPr>
      </w:pPr>
      <w:r w:rsidRPr="00CB57B7">
        <w:rPr>
          <w:rFonts w:ascii="Calibri" w:eastAsia="Times New Roman" w:hAnsi="Calibri" w:cs="Calibri"/>
          <w:b/>
          <w:color w:val="000000"/>
          <w:szCs w:val="20"/>
          <w:lang w:val="en-GB" w:eastAsia="en-AU"/>
        </w:rPr>
        <w:t>Prefabrication</w:t>
      </w:r>
    </w:p>
    <w:p w14:paraId="2008CB04" w14:textId="4D23BAC2" w:rsidR="003F3DBD" w:rsidRPr="00794B48" w:rsidRDefault="003F3DBD" w:rsidP="003F3DBD">
      <w:pPr>
        <w:spacing w:line="240" w:lineRule="auto"/>
      </w:pPr>
      <w:r w:rsidRPr="00794B48">
        <w:t>Building work does not include the prefabrication of made-to-order components to form part of any building, structure or works, that is carried out at a place that is not:</w:t>
      </w:r>
    </w:p>
    <w:p w14:paraId="0C611599" w14:textId="77777777" w:rsidR="003F3DBD" w:rsidRPr="00794B48" w:rsidRDefault="003F3DBD" w:rsidP="003F3DBD">
      <w:pPr>
        <w:pStyle w:val="ListParagraph"/>
        <w:numPr>
          <w:ilvl w:val="0"/>
          <w:numId w:val="24"/>
        </w:numPr>
        <w:spacing w:line="240" w:lineRule="auto"/>
      </w:pPr>
      <w:r w:rsidRPr="00794B48">
        <w:t>the site where the construction, alteration, extension, restoration, repair of, or the installation of fittings in, the building, structure or works occurs or is to occur; or</w:t>
      </w:r>
    </w:p>
    <w:p w14:paraId="03864A74" w14:textId="77777777" w:rsidR="003F3DBD" w:rsidRPr="00794B48" w:rsidRDefault="003F3DBD" w:rsidP="003F3DBD">
      <w:pPr>
        <w:pStyle w:val="ListParagraph"/>
        <w:numPr>
          <w:ilvl w:val="0"/>
          <w:numId w:val="24"/>
        </w:numPr>
        <w:spacing w:line="240" w:lineRule="auto"/>
      </w:pPr>
      <w:r w:rsidRPr="00794B48">
        <w:t>a site that is separate from the main site and is either merely auxiliary to the main site or merely a holding site for components of the building, structure or works.</w:t>
      </w:r>
    </w:p>
    <w:p w14:paraId="0E970EBB" w14:textId="211DA170" w:rsidR="00731937" w:rsidRPr="00CB57B7" w:rsidRDefault="00794B48" w:rsidP="00DA4855">
      <w:pPr>
        <w:pStyle w:val="Heading1"/>
        <w:rPr>
          <w:sz w:val="24"/>
          <w:szCs w:val="24"/>
        </w:rPr>
      </w:pPr>
      <w:r w:rsidRPr="00CB57B7">
        <w:rPr>
          <w:sz w:val="24"/>
          <w:szCs w:val="24"/>
        </w:rPr>
        <w:t>Subcontractors and a</w:t>
      </w:r>
      <w:r w:rsidR="00731937" w:rsidRPr="00CB57B7">
        <w:rPr>
          <w:sz w:val="24"/>
          <w:szCs w:val="24"/>
        </w:rPr>
        <w:t>ccreditation</w:t>
      </w:r>
    </w:p>
    <w:p w14:paraId="6E485818" w14:textId="32D868E7" w:rsidR="00DA4855" w:rsidRDefault="00804213" w:rsidP="00804213">
      <w:pPr>
        <w:spacing w:line="240" w:lineRule="auto"/>
        <w:ind w:right="-120"/>
      </w:pPr>
      <w:r>
        <w:rPr>
          <w:bCs/>
        </w:rPr>
        <w:t>S</w:t>
      </w:r>
      <w:r w:rsidR="00A30120" w:rsidRPr="00A30120">
        <w:rPr>
          <w:bCs/>
        </w:rPr>
        <w:t>ubcontractor</w:t>
      </w:r>
      <w:r>
        <w:rPr>
          <w:bCs/>
        </w:rPr>
        <w:t>s</w:t>
      </w:r>
      <w:r w:rsidR="00A30120" w:rsidRPr="00A30120">
        <w:rPr>
          <w:bCs/>
        </w:rPr>
        <w:t xml:space="preserve"> who carr</w:t>
      </w:r>
      <w:r>
        <w:rPr>
          <w:bCs/>
        </w:rPr>
        <w:t>y</w:t>
      </w:r>
      <w:r w:rsidR="00A30120" w:rsidRPr="00A30120">
        <w:rPr>
          <w:bCs/>
        </w:rPr>
        <w:t xml:space="preserve"> out building work under a contract with a builder</w:t>
      </w:r>
      <w:r w:rsidR="009755F2">
        <w:t xml:space="preserve"> do not require accreditation for work covered by the Scheme</w:t>
      </w:r>
      <w:r w:rsidR="00461ABC">
        <w:t>.</w:t>
      </w:r>
      <w:r w:rsidR="009755F2">
        <w:t xml:space="preserve"> </w:t>
      </w:r>
    </w:p>
    <w:p w14:paraId="0AA9EC3B" w14:textId="2871890C" w:rsidR="00C51EE8" w:rsidRPr="00CB57B7" w:rsidRDefault="00794B48" w:rsidP="00C51EE8">
      <w:pPr>
        <w:pStyle w:val="Heading1"/>
        <w:rPr>
          <w:sz w:val="24"/>
          <w:szCs w:val="24"/>
        </w:rPr>
      </w:pPr>
      <w:r w:rsidRPr="00CB57B7">
        <w:rPr>
          <w:sz w:val="24"/>
          <w:szCs w:val="24"/>
        </w:rPr>
        <w:t>Joint venture r</w:t>
      </w:r>
      <w:r w:rsidR="00731937" w:rsidRPr="00CB57B7">
        <w:rPr>
          <w:sz w:val="24"/>
          <w:szCs w:val="24"/>
        </w:rPr>
        <w:t>equirements</w:t>
      </w:r>
    </w:p>
    <w:p w14:paraId="33D853DF" w14:textId="77777777" w:rsidR="00731937" w:rsidRDefault="00731937" w:rsidP="0053067D">
      <w:pPr>
        <w:spacing w:after="240" w:line="240" w:lineRule="auto"/>
      </w:pPr>
      <w:r w:rsidRPr="004168C6">
        <w:t>In joint venture arrangements only the person</w:t>
      </w:r>
      <w:r w:rsidR="009755F2">
        <w:t>/s</w:t>
      </w:r>
      <w:r w:rsidRPr="004168C6">
        <w:t xml:space="preserve"> conducting ‘building work’ (that is, the builder</w:t>
      </w:r>
      <w:r w:rsidR="009755F2">
        <w:t xml:space="preserve">) </w:t>
      </w:r>
      <w:r w:rsidRPr="004168C6">
        <w:t xml:space="preserve">will require Scheme accreditation. </w:t>
      </w:r>
    </w:p>
    <w:p w14:paraId="0D1673F2" w14:textId="25A837BD" w:rsidR="008532BF" w:rsidRDefault="2BE3FB76" w:rsidP="0053067D">
      <w:pPr>
        <w:spacing w:after="240" w:line="240" w:lineRule="auto"/>
      </w:pPr>
      <w:r>
        <w:t xml:space="preserve">However, </w:t>
      </w:r>
      <w:r w:rsidR="7D874CC9">
        <w:t>p</w:t>
      </w:r>
      <w:r w:rsidR="0053067D">
        <w:t xml:space="preserve">rovisions for joint venture arrangements </w:t>
      </w:r>
      <w:r w:rsidR="29D34016">
        <w:t>which permit</w:t>
      </w:r>
      <w:r w:rsidR="0053067D">
        <w:t xml:space="preserve"> both accredited and unaccredited builders to undertake Australian Government funded building work</w:t>
      </w:r>
      <w:r w:rsidR="3C82D120">
        <w:t xml:space="preserve"> may apply</w:t>
      </w:r>
      <w:r w:rsidR="0053067D">
        <w:t xml:space="preserve">. For further information refer to the </w:t>
      </w:r>
      <w:r w:rsidR="008532BF">
        <w:t>f</w:t>
      </w:r>
      <w:r w:rsidR="0053067D">
        <w:t xml:space="preserve">act </w:t>
      </w:r>
      <w:r w:rsidR="008532BF">
        <w:t>s</w:t>
      </w:r>
      <w:r w:rsidR="0053067D">
        <w:t>heet ‘</w:t>
      </w:r>
      <w:r w:rsidR="0053067D" w:rsidRPr="321631E4">
        <w:rPr>
          <w:b/>
          <w:bCs/>
        </w:rPr>
        <w:t>Joint Venture Arrangements</w:t>
      </w:r>
      <w:r w:rsidR="0053067D">
        <w:t>’.</w:t>
      </w:r>
    </w:p>
    <w:p w14:paraId="1EED1DBA" w14:textId="23746D06" w:rsidR="0053067D" w:rsidRDefault="001A71E8" w:rsidP="004752A6">
      <w:r>
        <w:rPr>
          <w:rFonts w:cstheme="minorHAnsi"/>
          <w:noProof/>
          <w:lang w:eastAsia="en-AU"/>
        </w:rPr>
        <mc:AlternateContent>
          <mc:Choice Requires="wps">
            <w:drawing>
              <wp:anchor distT="0" distB="0" distL="114300" distR="114300" simplePos="0" relativeHeight="251658241" behindDoc="1" locked="0" layoutInCell="1" allowOverlap="1" wp14:anchorId="58F1EF5A" wp14:editId="39C3CECF">
                <wp:simplePos x="0" y="0"/>
                <wp:positionH relativeFrom="column">
                  <wp:align>left</wp:align>
                </wp:positionH>
                <wp:positionV relativeFrom="paragraph">
                  <wp:posOffset>10795</wp:posOffset>
                </wp:positionV>
                <wp:extent cx="2914650" cy="9810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2914650" cy="981075"/>
                        </a:xfrm>
                        <a:prstGeom prst="rect">
                          <a:avLst/>
                        </a:prstGeom>
                        <a:solidFill>
                          <a:schemeClr val="bg1">
                            <a:lumMod val="40000"/>
                            <a:lumOff val="60000"/>
                          </a:schemeClr>
                        </a:solidFill>
                        <a:ln w="6350">
                          <a:noFill/>
                        </a:ln>
                      </wps:spPr>
                      <wps:txbx>
                        <w:txbxContent>
                          <w:p w14:paraId="6D3A171E" w14:textId="77777777" w:rsidR="008532BF" w:rsidRPr="001A71E8" w:rsidRDefault="008532BF" w:rsidP="001A71E8">
                            <w:pPr>
                              <w:shd w:val="clear" w:color="auto" w:fill="CBCBCB" w:themeFill="background1" w:themeFillTint="66"/>
                              <w:spacing w:after="0"/>
                              <w:rPr>
                                <w:rFonts w:ascii="Calibri" w:eastAsiaTheme="majorEastAsia" w:hAnsi="Calibri" w:cstheme="majorBidi"/>
                                <w:b/>
                                <w:bCs/>
                                <w:sz w:val="28"/>
                                <w:szCs w:val="28"/>
                              </w:rPr>
                            </w:pPr>
                            <w:r w:rsidRPr="001A71E8">
                              <w:rPr>
                                <w:rFonts w:ascii="Calibri" w:eastAsiaTheme="majorEastAsia" w:hAnsi="Calibri" w:cstheme="majorBidi"/>
                                <w:b/>
                                <w:bCs/>
                                <w:sz w:val="28"/>
                                <w:szCs w:val="28"/>
                              </w:rPr>
                              <w:t>For further information:</w:t>
                            </w:r>
                          </w:p>
                          <w:p w14:paraId="6895C6B1" w14:textId="77777777" w:rsidR="008532BF" w:rsidRPr="001A71E8" w:rsidRDefault="008532BF" w:rsidP="008532BF">
                            <w:pPr>
                              <w:pStyle w:val="ListParagraph"/>
                              <w:numPr>
                                <w:ilvl w:val="0"/>
                                <w:numId w:val="22"/>
                              </w:numPr>
                              <w:shd w:val="clear" w:color="auto" w:fill="CBCBCB" w:themeFill="background1" w:themeFillTint="66"/>
                              <w:spacing w:after="0" w:line="240" w:lineRule="auto"/>
                              <w:ind w:left="284" w:hanging="284"/>
                              <w:rPr>
                                <w:szCs w:val="20"/>
                              </w:rPr>
                            </w:pPr>
                            <w:r w:rsidRPr="001A71E8">
                              <w:rPr>
                                <w:szCs w:val="20"/>
                              </w:rPr>
                              <w:t xml:space="preserve">Visit the FSC website at </w:t>
                            </w:r>
                            <w:r w:rsidRPr="001A71E8">
                              <w:rPr>
                                <w:b/>
                                <w:szCs w:val="20"/>
                              </w:rPr>
                              <w:t>www.fsc.gov.au</w:t>
                            </w:r>
                          </w:p>
                          <w:p w14:paraId="54F46A9D" w14:textId="77777777" w:rsidR="008532BF" w:rsidRPr="001A71E8" w:rsidRDefault="008532BF" w:rsidP="008532BF">
                            <w:pPr>
                              <w:pStyle w:val="ListParagraph"/>
                              <w:numPr>
                                <w:ilvl w:val="0"/>
                                <w:numId w:val="22"/>
                              </w:numPr>
                              <w:shd w:val="clear" w:color="auto" w:fill="CBCBCB" w:themeFill="background1" w:themeFillTint="66"/>
                              <w:spacing w:after="0" w:line="240" w:lineRule="auto"/>
                              <w:ind w:left="284" w:hanging="284"/>
                              <w:rPr>
                                <w:szCs w:val="20"/>
                              </w:rPr>
                            </w:pPr>
                            <w:r w:rsidRPr="001A71E8">
                              <w:rPr>
                                <w:szCs w:val="20"/>
                              </w:rPr>
                              <w:t xml:space="preserve">Contact the FSC Assist Line on </w:t>
                            </w:r>
                            <w:r w:rsidRPr="001A71E8">
                              <w:rPr>
                                <w:b/>
                                <w:szCs w:val="20"/>
                              </w:rPr>
                              <w:t>1800 652 500</w:t>
                            </w:r>
                          </w:p>
                          <w:p w14:paraId="3FAADB9B" w14:textId="3548DB99" w:rsidR="008532BF" w:rsidRPr="001A71E8" w:rsidRDefault="008532BF" w:rsidP="008532BF">
                            <w:pPr>
                              <w:pStyle w:val="ListParagraph"/>
                              <w:numPr>
                                <w:ilvl w:val="0"/>
                                <w:numId w:val="22"/>
                              </w:numPr>
                              <w:shd w:val="clear" w:color="auto" w:fill="CBCBCB" w:themeFill="background1" w:themeFillTint="66"/>
                              <w:spacing w:after="0" w:line="240" w:lineRule="auto"/>
                              <w:ind w:left="284" w:hanging="284"/>
                              <w:rPr>
                                <w:szCs w:val="20"/>
                              </w:rPr>
                            </w:pPr>
                            <w:r w:rsidRPr="001A71E8">
                              <w:rPr>
                                <w:szCs w:val="20"/>
                              </w:rPr>
                              <w:t xml:space="preserve">Contact the OFSC via email at </w:t>
                            </w:r>
                            <w:r w:rsidRPr="001A71E8">
                              <w:rPr>
                                <w:b/>
                                <w:szCs w:val="20"/>
                              </w:rPr>
                              <w:t>ofsc@</w:t>
                            </w:r>
                            <w:r w:rsidR="002F651D" w:rsidRPr="001A71E8">
                              <w:rPr>
                                <w:b/>
                                <w:szCs w:val="20"/>
                              </w:rPr>
                              <w:t>dewr.gov.au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1EF5A" id="_x0000_t202" coordsize="21600,21600" o:spt="202" path="m,l,21600r21600,l21600,xe">
                <v:stroke joinstyle="miter"/>
                <v:path gradientshapeok="t" o:connecttype="rect"/>
              </v:shapetype>
              <v:shape id="Text Box 1" o:spid="_x0000_s1026" type="#_x0000_t202" style="position:absolute;margin-left:0;margin-top:.85pt;width:229.5pt;height:77.25pt;z-index:-251658239;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" fillcolor="#cbcbcb [1308]" stroked="f" strokeweight=".5pt">
                <v:textbox>
                  <w:txbxContent>
                    <w:p w14:paraId="6D3A171E" w14:textId="77777777" w:rsidR="008532BF" w:rsidRPr="001A71E8" w:rsidRDefault="008532BF" w:rsidP="001A71E8">
                      <w:pPr>
                        <w:shd w:val="clear" w:color="auto" w:fill="CBCBCB" w:themeFill="background1" w:themeFillTint="66"/>
                        <w:spacing w:after="0"/>
                        <w:rPr>
                          <w:rFonts w:ascii="Calibri" w:eastAsiaTheme="majorEastAsia" w:hAnsi="Calibri" w:cstheme="majorBidi"/>
                          <w:b/>
                          <w:bCs/>
                          <w:sz w:val="28"/>
                          <w:szCs w:val="28"/>
                        </w:rPr>
                      </w:pPr>
                      <w:r w:rsidRPr="001A71E8">
                        <w:rPr>
                          <w:rFonts w:ascii="Calibri" w:eastAsiaTheme="majorEastAsia" w:hAnsi="Calibri" w:cstheme="majorBidi"/>
                          <w:b/>
                          <w:bCs/>
                          <w:sz w:val="28"/>
                          <w:szCs w:val="28"/>
                        </w:rPr>
                        <w:t>For further information:</w:t>
                      </w:r>
                    </w:p>
                    <w:p w14:paraId="6895C6B1" w14:textId="77777777" w:rsidR="008532BF" w:rsidRPr="001A71E8" w:rsidRDefault="008532BF" w:rsidP="008532BF">
                      <w:pPr>
                        <w:pStyle w:val="ListParagraph"/>
                        <w:numPr>
                          <w:ilvl w:val="0"/>
                          <w:numId w:val="22"/>
                        </w:numPr>
                        <w:shd w:val="clear" w:color="auto" w:fill="CBCBCB" w:themeFill="background1" w:themeFillTint="66"/>
                        <w:spacing w:after="0" w:line="240" w:lineRule="auto"/>
                        <w:ind w:left="284" w:hanging="284"/>
                        <w:rPr>
                          <w:szCs w:val="20"/>
                        </w:rPr>
                      </w:pPr>
                      <w:r w:rsidRPr="001A71E8">
                        <w:rPr>
                          <w:szCs w:val="20"/>
                        </w:rPr>
                        <w:t xml:space="preserve">Visit the FSC website at </w:t>
                      </w:r>
                      <w:r w:rsidRPr="001A71E8">
                        <w:rPr>
                          <w:b/>
                          <w:szCs w:val="20"/>
                        </w:rPr>
                        <w:t>www.fsc.gov.au</w:t>
                      </w:r>
                    </w:p>
                    <w:p w14:paraId="54F46A9D" w14:textId="77777777" w:rsidR="008532BF" w:rsidRPr="001A71E8" w:rsidRDefault="008532BF" w:rsidP="008532BF">
                      <w:pPr>
                        <w:pStyle w:val="ListParagraph"/>
                        <w:numPr>
                          <w:ilvl w:val="0"/>
                          <w:numId w:val="22"/>
                        </w:numPr>
                        <w:shd w:val="clear" w:color="auto" w:fill="CBCBCB" w:themeFill="background1" w:themeFillTint="66"/>
                        <w:spacing w:after="0" w:line="240" w:lineRule="auto"/>
                        <w:ind w:left="284" w:hanging="284"/>
                        <w:rPr>
                          <w:szCs w:val="20"/>
                        </w:rPr>
                      </w:pPr>
                      <w:r w:rsidRPr="001A71E8">
                        <w:rPr>
                          <w:szCs w:val="20"/>
                        </w:rPr>
                        <w:t xml:space="preserve">Contact the FSC Assist Line on </w:t>
                      </w:r>
                      <w:r w:rsidRPr="001A71E8">
                        <w:rPr>
                          <w:b/>
                          <w:szCs w:val="20"/>
                        </w:rPr>
                        <w:t>1800 652 500</w:t>
                      </w:r>
                    </w:p>
                    <w:p w14:paraId="3FAADB9B" w14:textId="3548DB99" w:rsidR="008532BF" w:rsidRPr="001A71E8" w:rsidRDefault="008532BF" w:rsidP="008532BF">
                      <w:pPr>
                        <w:pStyle w:val="ListParagraph"/>
                        <w:numPr>
                          <w:ilvl w:val="0"/>
                          <w:numId w:val="22"/>
                        </w:numPr>
                        <w:shd w:val="clear" w:color="auto" w:fill="CBCBCB" w:themeFill="background1" w:themeFillTint="66"/>
                        <w:spacing w:after="0" w:line="240" w:lineRule="auto"/>
                        <w:ind w:left="284" w:hanging="284"/>
                        <w:rPr>
                          <w:szCs w:val="20"/>
                        </w:rPr>
                      </w:pPr>
                      <w:r w:rsidRPr="001A71E8">
                        <w:rPr>
                          <w:szCs w:val="20"/>
                        </w:rPr>
                        <w:t xml:space="preserve">Contact the OFSC via email at </w:t>
                      </w:r>
                      <w:r w:rsidRPr="001A71E8">
                        <w:rPr>
                          <w:b/>
                          <w:szCs w:val="20"/>
                        </w:rPr>
                        <w:t>ofsc@</w:t>
                      </w:r>
                      <w:r w:rsidR="002F651D" w:rsidRPr="001A71E8">
                        <w:rPr>
                          <w:b/>
                          <w:szCs w:val="20"/>
                        </w:rPr>
                        <w:t>dewr.gov.au</w:t>
                      </w:r>
                    </w:p>
                  </w:txbxContent>
                </v:textbox>
              </v:shape>
            </w:pict>
          </mc:Fallback>
        </mc:AlternateContent>
      </w:r>
    </w:p>
    <w:p w14:paraId="4F2B9721" w14:textId="3919A0F4" w:rsidR="00DD192D" w:rsidRDefault="00DD192D" w:rsidP="00731937">
      <w:pPr>
        <w:pStyle w:val="Heading1"/>
        <w:rPr>
          <w:sz w:val="28"/>
        </w:rPr>
      </w:pPr>
    </w:p>
    <w:p w14:paraId="78011C91" w14:textId="081AE31F" w:rsidR="009755F2" w:rsidRDefault="009755F2" w:rsidP="00731937">
      <w:pPr>
        <w:spacing w:after="0"/>
        <w:rPr>
          <w:lang w:val="en-GB" w:eastAsia="en-AU"/>
        </w:rPr>
      </w:pPr>
    </w:p>
    <w:p w14:paraId="5DB1CE26" w14:textId="3CD90C21" w:rsidR="009755F2" w:rsidRDefault="009755F2" w:rsidP="00731937">
      <w:pPr>
        <w:spacing w:after="0"/>
        <w:rPr>
          <w:lang w:val="en-GB" w:eastAsia="en-AU"/>
        </w:rPr>
      </w:pPr>
    </w:p>
    <w:p w14:paraId="093E822B" w14:textId="5DCFDDF3" w:rsidR="009755F2" w:rsidRDefault="009755F2" w:rsidP="00731937">
      <w:pPr>
        <w:spacing w:after="0"/>
        <w:rPr>
          <w:lang w:val="en-GB" w:eastAsia="en-AU"/>
        </w:rPr>
      </w:pPr>
    </w:p>
    <w:p w14:paraId="3E14507C" w14:textId="383D23C8" w:rsidR="009755F2" w:rsidRDefault="00483201" w:rsidP="00731937">
      <w:pPr>
        <w:spacing w:after="0"/>
        <w:rPr>
          <w:lang w:val="en-GB" w:eastAsia="en-AU"/>
        </w:rPr>
      </w:pPr>
      <w:r>
        <w:rPr>
          <w:noProof/>
          <w:lang w:eastAsia="en-AU"/>
        </w:rPr>
        <mc:AlternateContent>
          <mc:Choice Requires="wps">
            <w:drawing>
              <wp:anchor distT="0" distB="0" distL="114300" distR="114300" simplePos="0" relativeHeight="251658240" behindDoc="1" locked="0" layoutInCell="1" allowOverlap="1" wp14:anchorId="191EF25A" wp14:editId="4FC4A004">
                <wp:simplePos x="0" y="0"/>
                <wp:positionH relativeFrom="column">
                  <wp:align>left</wp:align>
                </wp:positionH>
                <wp:positionV relativeFrom="paragraph">
                  <wp:posOffset>53340</wp:posOffset>
                </wp:positionV>
                <wp:extent cx="2905125" cy="315277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2905125" cy="3152775"/>
                        </a:xfrm>
                        <a:prstGeom prst="rect">
                          <a:avLst/>
                        </a:prstGeom>
                        <a:noFill/>
                        <a:ln w="6350">
                          <a:solidFill>
                            <a:srgbClr val="C00000"/>
                          </a:solidFill>
                        </a:ln>
                      </wps:spPr>
                      <wps:txbx>
                        <w:txbxContent>
                          <w:p w14:paraId="39B85392" w14:textId="72AEDCF3" w:rsidR="000821A3" w:rsidRPr="009C1375" w:rsidRDefault="000821A3" w:rsidP="000821A3">
                            <w:pPr>
                              <w:rPr>
                                <w:szCs w:val="20"/>
                              </w:rPr>
                            </w:pPr>
                            <w:r w:rsidRPr="009C1375">
                              <w:rPr>
                                <w:szCs w:val="20"/>
                              </w:rPr>
                              <w:t xml:space="preserve">This fact sheet was last updated </w:t>
                            </w:r>
                            <w:r w:rsidR="00B63238">
                              <w:rPr>
                                <w:szCs w:val="20"/>
                              </w:rPr>
                              <w:t>7</w:t>
                            </w:r>
                            <w:r w:rsidR="00370FCD">
                              <w:rPr>
                                <w:szCs w:val="20"/>
                              </w:rPr>
                              <w:t xml:space="preserve"> July</w:t>
                            </w:r>
                            <w:r w:rsidR="00D73CB8">
                              <w:rPr>
                                <w:szCs w:val="20"/>
                              </w:rPr>
                              <w:t xml:space="preserve"> </w:t>
                            </w:r>
                            <w:r w:rsidR="00E842E5">
                              <w:rPr>
                                <w:szCs w:val="20"/>
                              </w:rPr>
                              <w:t>202</w:t>
                            </w:r>
                            <w:r w:rsidR="00370FCD">
                              <w:rPr>
                                <w:szCs w:val="20"/>
                              </w:rPr>
                              <w:t>6</w:t>
                            </w:r>
                            <w:r w:rsidRPr="009C1375">
                              <w:rPr>
                                <w:szCs w:val="20"/>
                              </w:rPr>
                              <w:t>. 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EF25A" id="Text Box 56" o:spid="_x0000_s1027" type="#_x0000_t202" style="position:absolute;margin-left:0;margin-top:4.2pt;width:228.75pt;height:248.2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" filled="f" strokecolor="#c00000" strokeweight=".5pt">
                <v:textbox>
                  <w:txbxContent>
                    <w:p w14:paraId="39B85392" w14:textId="72AEDCF3" w:rsidR="000821A3" w:rsidRPr="009C1375" w:rsidRDefault="000821A3" w:rsidP="000821A3">
                      <w:pPr>
                        <w:rPr>
                          <w:szCs w:val="20"/>
                        </w:rPr>
                      </w:pPr>
                      <w:r w:rsidRPr="009C1375">
                        <w:rPr>
                          <w:szCs w:val="20"/>
                        </w:rPr>
                        <w:t xml:space="preserve">This fact sheet was last updated </w:t>
                      </w:r>
                      <w:r w:rsidR="00B63238">
                        <w:rPr>
                          <w:szCs w:val="20"/>
                        </w:rPr>
                        <w:t>7</w:t>
                      </w:r>
                      <w:r w:rsidR="00370FCD">
                        <w:rPr>
                          <w:szCs w:val="20"/>
                        </w:rPr>
                        <w:t xml:space="preserve"> July</w:t>
                      </w:r>
                      <w:r w:rsidR="00D73CB8">
                        <w:rPr>
                          <w:szCs w:val="20"/>
                        </w:rPr>
                        <w:t xml:space="preserve"> </w:t>
                      </w:r>
                      <w:r w:rsidR="00E842E5">
                        <w:rPr>
                          <w:szCs w:val="20"/>
                        </w:rPr>
                        <w:t>202</w:t>
                      </w:r>
                      <w:r w:rsidR="00370FCD">
                        <w:rPr>
                          <w:szCs w:val="20"/>
                        </w:rPr>
                        <w:t>6</w:t>
                      </w:r>
                      <w:r w:rsidRPr="009C1375">
                        <w:rPr>
                          <w:szCs w:val="20"/>
                        </w:rPr>
                        <w:t>. The Office of the Federal Safety Commissioner (OFSC) has prepared this fact sheet for general information only, and it does not replace professional advice. This fact sheet is derived from a variety of sources and has been prepared without taking into account your individual objectives, situations or needs. You should consider your personal circumstances, and if appropriate, seek independent legal, financial or other professional advice before acting. The OFSC has endeavoured to ensure the currency and completeness of the information in this fact sheet at the time of publication; however, this information may change over time. The OFSC expressly disclaims any liability caused, whether directly or indirectly, to any person in respect of any action taken on the basis of the content of this fact sheet.</w:t>
                      </w:r>
                    </w:p>
                  </w:txbxContent>
                </v:textbox>
              </v:shape>
            </w:pict>
          </mc:Fallback>
        </mc:AlternateContent>
      </w:r>
    </w:p>
    <w:p w14:paraId="2C608CF9" w14:textId="7DF4ED36" w:rsidR="00731937" w:rsidRDefault="00731937" w:rsidP="00731937">
      <w:pPr>
        <w:spacing w:after="0"/>
        <w:rPr>
          <w:lang w:val="en-GB" w:eastAsia="en-AU"/>
        </w:rPr>
      </w:pPr>
    </w:p>
    <w:p w14:paraId="0F0D03D4" w14:textId="53F8EF0E" w:rsidR="00731937" w:rsidRDefault="00731937" w:rsidP="00731937">
      <w:pPr>
        <w:rPr>
          <w:lang w:val="en-GB" w:eastAsia="en-AU"/>
        </w:rPr>
      </w:pPr>
    </w:p>
    <w:p w14:paraId="0158878E" w14:textId="42C7E0F9" w:rsidR="00731937" w:rsidRDefault="00731937" w:rsidP="00731937">
      <w:pPr>
        <w:rPr>
          <w:lang w:val="en-GB" w:eastAsia="en-AU"/>
        </w:rPr>
      </w:pPr>
    </w:p>
    <w:p w14:paraId="3C54F428" w14:textId="0A2CA5DF" w:rsidR="00731937" w:rsidRDefault="00731937" w:rsidP="00731937">
      <w:pPr>
        <w:pStyle w:val="Caption"/>
        <w:keepNext/>
        <w:tabs>
          <w:tab w:val="right" w:pos="9146"/>
        </w:tabs>
        <w:ind w:right="-120"/>
      </w:pPr>
    </w:p>
    <w:p w14:paraId="22276466" w14:textId="14991A83" w:rsidR="00C10C19" w:rsidRPr="00731937" w:rsidRDefault="00C10C19" w:rsidP="00731937"/>
    <w:sectPr w:rsidR="00C10C19" w:rsidRPr="00731937" w:rsidSect="003134C2">
      <w:headerReference w:type="default" r:id="rId14"/>
      <w:type w:val="continuous"/>
      <w:pgSz w:w="11906" w:h="16838"/>
      <w:pgMar w:top="1560" w:right="849" w:bottom="1440" w:left="1276" w:header="708" w:footer="0" w:gutter="0"/>
      <w:cols w:num="2" w:space="99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8A62B" w14:textId="77777777" w:rsidR="004B3643" w:rsidRDefault="004B3643" w:rsidP="00130923">
      <w:pPr>
        <w:spacing w:after="0" w:line="240" w:lineRule="auto"/>
      </w:pPr>
      <w:r>
        <w:separator/>
      </w:r>
    </w:p>
  </w:endnote>
  <w:endnote w:type="continuationSeparator" w:id="0">
    <w:p w14:paraId="06A4CAC5" w14:textId="77777777" w:rsidR="004B3643" w:rsidRDefault="004B3643" w:rsidP="00130923">
      <w:pPr>
        <w:spacing w:after="0" w:line="240" w:lineRule="auto"/>
      </w:pPr>
      <w:r>
        <w:continuationSeparator/>
      </w:r>
    </w:p>
  </w:endnote>
  <w:endnote w:type="continuationNotice" w:id="1">
    <w:p w14:paraId="531AF548" w14:textId="77777777" w:rsidR="004B3643" w:rsidRDefault="004B3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FCDE" w14:textId="77777777" w:rsidR="003242B9" w:rsidRPr="000B1D63" w:rsidRDefault="00731937" w:rsidP="00923C84">
    <w:pPr>
      <w:pStyle w:val="Footer"/>
      <w:tabs>
        <w:tab w:val="clear" w:pos="9026"/>
        <w:tab w:val="left" w:pos="2349"/>
        <w:tab w:val="left" w:pos="5931"/>
        <w:tab w:val="right" w:pos="8647"/>
        <w:tab w:val="right" w:pos="10228"/>
      </w:tabs>
      <w:ind w:left="-238"/>
      <w:rPr>
        <w:noProof/>
        <w:color w:val="FFFFFF" w:themeColor="background2"/>
      </w:rPr>
    </w:pPr>
    <w:r>
      <w:rPr>
        <w:noProof/>
        <w:lang w:eastAsia="en-AU"/>
      </w:rPr>
      <w:drawing>
        <wp:anchor distT="0" distB="0" distL="114300" distR="114300" simplePos="0" relativeHeight="251658240" behindDoc="1" locked="0" layoutInCell="1" allowOverlap="1" wp14:anchorId="73C34638" wp14:editId="2569B94C">
          <wp:simplePos x="0" y="0"/>
          <wp:positionH relativeFrom="page">
            <wp:align>center</wp:align>
          </wp:positionH>
          <wp:positionV relativeFrom="paragraph">
            <wp:posOffset>-287655</wp:posOffset>
          </wp:positionV>
          <wp:extent cx="7663180" cy="753745"/>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663180" cy="753745"/>
                  </a:xfrm>
                  <a:prstGeom prst="rect">
                    <a:avLst/>
                  </a:prstGeom>
                </pic:spPr>
              </pic:pic>
            </a:graphicData>
          </a:graphic>
          <wp14:sizeRelH relativeFrom="page">
            <wp14:pctWidth>0</wp14:pctWidth>
          </wp14:sizeRelH>
          <wp14:sizeRelV relativeFrom="page">
            <wp14:pctHeight>0</wp14:pctHeight>
          </wp14:sizeRelV>
        </wp:anchor>
      </w:drawing>
    </w:r>
    <w:r w:rsidR="000B1D63">
      <w:tab/>
    </w:r>
    <w:r w:rsidR="000B1D63">
      <w:tab/>
    </w:r>
    <w:r w:rsidR="000B1D63">
      <w:tab/>
    </w:r>
    <w:r w:rsidR="00923C84">
      <w:tab/>
    </w:r>
    <w:r w:rsidR="000B1D63">
      <w:tab/>
    </w:r>
  </w:p>
  <w:p w14:paraId="02A6A28D" w14:textId="77777777" w:rsidR="00836D01" w:rsidRDefault="00836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5E1D4" w14:textId="77777777" w:rsidR="004B3643" w:rsidRDefault="004B3643" w:rsidP="00130923">
      <w:pPr>
        <w:spacing w:after="0" w:line="240" w:lineRule="auto"/>
      </w:pPr>
      <w:r>
        <w:separator/>
      </w:r>
    </w:p>
  </w:footnote>
  <w:footnote w:type="continuationSeparator" w:id="0">
    <w:p w14:paraId="2799A3CE" w14:textId="77777777" w:rsidR="004B3643" w:rsidRDefault="004B3643" w:rsidP="00130923">
      <w:pPr>
        <w:spacing w:after="0" w:line="240" w:lineRule="auto"/>
      </w:pPr>
      <w:r>
        <w:continuationSeparator/>
      </w:r>
    </w:p>
  </w:footnote>
  <w:footnote w:type="continuationNotice" w:id="1">
    <w:p w14:paraId="160097AC" w14:textId="77777777" w:rsidR="004B3643" w:rsidRDefault="004B36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AD4C0FE" w14:paraId="0FAD9027" w14:textId="77777777" w:rsidTr="4AD4C0FE">
      <w:trPr>
        <w:trHeight w:val="300"/>
      </w:trPr>
      <w:tc>
        <w:tcPr>
          <w:tcW w:w="3405" w:type="dxa"/>
        </w:tcPr>
        <w:p w14:paraId="1693FE5D" w14:textId="2FDA8052" w:rsidR="4AD4C0FE" w:rsidRDefault="4AD4C0FE" w:rsidP="4AD4C0FE">
          <w:pPr>
            <w:pStyle w:val="Header"/>
            <w:ind w:left="-115"/>
          </w:pPr>
        </w:p>
      </w:tc>
      <w:tc>
        <w:tcPr>
          <w:tcW w:w="3405" w:type="dxa"/>
        </w:tcPr>
        <w:p w14:paraId="1FE699A9" w14:textId="3B084B93" w:rsidR="4AD4C0FE" w:rsidRDefault="4AD4C0FE" w:rsidP="4AD4C0FE">
          <w:pPr>
            <w:pStyle w:val="Header"/>
            <w:jc w:val="center"/>
          </w:pPr>
        </w:p>
      </w:tc>
      <w:tc>
        <w:tcPr>
          <w:tcW w:w="3405" w:type="dxa"/>
        </w:tcPr>
        <w:p w14:paraId="204BD4FB" w14:textId="49803FFD" w:rsidR="4AD4C0FE" w:rsidRDefault="4AD4C0FE" w:rsidP="4AD4C0FE">
          <w:pPr>
            <w:pStyle w:val="Header"/>
            <w:ind w:right="-115"/>
            <w:jc w:val="right"/>
          </w:pPr>
        </w:p>
      </w:tc>
    </w:tr>
  </w:tbl>
  <w:p w14:paraId="129DA7EB" w14:textId="075CD94B" w:rsidR="4AD4C0FE" w:rsidRDefault="4AD4C0FE" w:rsidP="4AD4C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D99C" w14:textId="5160C841" w:rsidR="00560CA0" w:rsidRDefault="4AD4C0FE" w:rsidP="00560CA0">
    <w:pPr>
      <w:pStyle w:val="Header"/>
      <w:jc w:val="right"/>
    </w:pPr>
    <w:r>
      <w:t>Fact Sheet – Definitions of ‘Builder’ and ‘Building Work’</w:t>
    </w:r>
  </w:p>
  <w:p w14:paraId="1C0E198E" w14:textId="77777777" w:rsidR="002503C4" w:rsidRDefault="002503C4" w:rsidP="002503C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D0ABB8"/>
    <w:lvl w:ilvl="0">
      <w:start w:val="1"/>
      <w:numFmt w:val="decimal"/>
      <w:lvlText w:val="%1."/>
      <w:lvlJc w:val="left"/>
      <w:pPr>
        <w:tabs>
          <w:tab w:val="num" w:pos="772"/>
        </w:tabs>
        <w:ind w:left="77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D693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439232E"/>
    <w:multiLevelType w:val="hybridMultilevel"/>
    <w:tmpl w:val="C6286B40"/>
    <w:lvl w:ilvl="0" w:tplc="F6804E18">
      <w:start w:val="1"/>
      <w:numFmt w:val="bullet"/>
      <w:lvlText w:val=""/>
      <w:lvlJc w:val="left"/>
      <w:pPr>
        <w:ind w:left="786"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0"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236615"/>
    <w:multiLevelType w:val="hybridMultilevel"/>
    <w:tmpl w:val="4B4E4960"/>
    <w:lvl w:ilvl="0" w:tplc="6DB88792">
      <w:start w:val="1"/>
      <w:numFmt w:val="bullet"/>
      <w:lvlText w:val=""/>
      <w:lvlJc w:val="left"/>
      <w:pPr>
        <w:ind w:left="1506" w:hanging="360"/>
      </w:pPr>
      <w:rPr>
        <w:rFonts w:ascii="Symbol" w:hAnsi="Symbol" w:hint="default"/>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12" w15:restartNumberingAfterBreak="0">
    <w:nsid w:val="14AB2AB2"/>
    <w:multiLevelType w:val="hybridMultilevel"/>
    <w:tmpl w:val="3B2A2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15:restartNumberingAfterBreak="0">
    <w:nsid w:val="19F201DE"/>
    <w:multiLevelType w:val="hybridMultilevel"/>
    <w:tmpl w:val="B5C83646"/>
    <w:lvl w:ilvl="0" w:tplc="6F64C732">
      <w:start w:val="1"/>
      <w:numFmt w:val="bullet"/>
      <w:lvlText w:val=""/>
      <w:lvlJc w:val="left"/>
      <w:pPr>
        <w:ind w:left="2073"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1F930DB4"/>
    <w:multiLevelType w:val="hybridMultilevel"/>
    <w:tmpl w:val="AD5EA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2C63445"/>
    <w:multiLevelType w:val="hybridMultilevel"/>
    <w:tmpl w:val="DEAAC9F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28DF23EA"/>
    <w:multiLevelType w:val="hybridMultilevel"/>
    <w:tmpl w:val="A030FD0A"/>
    <w:lvl w:ilvl="0" w:tplc="1DB06256">
      <w:start w:val="1"/>
      <w:numFmt w:val="bullet"/>
      <w:lvlText w:val=""/>
      <w:lvlJc w:val="left"/>
      <w:pPr>
        <w:ind w:left="1648"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0" w15:restartNumberingAfterBreak="0">
    <w:nsid w:val="30334FD4"/>
    <w:multiLevelType w:val="hybridMultilevel"/>
    <w:tmpl w:val="71E60FA8"/>
    <w:lvl w:ilvl="0" w:tplc="1564DBEC">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15:restartNumberingAfterBreak="0">
    <w:nsid w:val="3FED18EC"/>
    <w:multiLevelType w:val="hybridMultilevel"/>
    <w:tmpl w:val="B00A00F2"/>
    <w:lvl w:ilvl="0" w:tplc="C3BE093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6D79FD"/>
    <w:multiLevelType w:val="hybridMultilevel"/>
    <w:tmpl w:val="7A407A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3E538F"/>
    <w:multiLevelType w:val="hybridMultilevel"/>
    <w:tmpl w:val="64684FC4"/>
    <w:lvl w:ilvl="0" w:tplc="0C090001">
      <w:start w:val="1"/>
      <w:numFmt w:val="bullet"/>
      <w:lvlText w:val=""/>
      <w:lvlJc w:val="left"/>
      <w:pPr>
        <w:ind w:left="720" w:hanging="360"/>
      </w:pPr>
      <w:rPr>
        <w:rFonts w:ascii="Symbol" w:hAnsi="Symbol"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127B43"/>
    <w:multiLevelType w:val="hybridMultilevel"/>
    <w:tmpl w:val="0DBE7D7C"/>
    <w:lvl w:ilvl="0" w:tplc="6DB88792">
      <w:start w:val="1"/>
      <w:numFmt w:val="bullet"/>
      <w:lvlText w:val=""/>
      <w:lvlJc w:val="left"/>
      <w:pPr>
        <w:ind w:left="1648"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49EE7D36"/>
    <w:multiLevelType w:val="hybridMultilevel"/>
    <w:tmpl w:val="8F3C95D4"/>
    <w:lvl w:ilvl="0" w:tplc="92D80AB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6A271E7B"/>
    <w:multiLevelType w:val="hybridMultilevel"/>
    <w:tmpl w:val="27D4375E"/>
    <w:lvl w:ilvl="0" w:tplc="6DB88792">
      <w:start w:val="1"/>
      <w:numFmt w:val="bullet"/>
      <w:lvlText w:val=""/>
      <w:lvlJc w:val="left"/>
      <w:pPr>
        <w:ind w:left="1648"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9"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94E659D"/>
    <w:multiLevelType w:val="hybridMultilevel"/>
    <w:tmpl w:val="1026F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3891622">
    <w:abstractNumId w:val="27"/>
  </w:num>
  <w:num w:numId="2" w16cid:durableId="1168905677">
    <w:abstractNumId w:val="7"/>
  </w:num>
  <w:num w:numId="3" w16cid:durableId="905140727">
    <w:abstractNumId w:val="6"/>
  </w:num>
  <w:num w:numId="4" w16cid:durableId="1761290778">
    <w:abstractNumId w:val="5"/>
  </w:num>
  <w:num w:numId="5" w16cid:durableId="1240093803">
    <w:abstractNumId w:val="4"/>
  </w:num>
  <w:num w:numId="6" w16cid:durableId="1573930309">
    <w:abstractNumId w:val="8"/>
  </w:num>
  <w:num w:numId="7" w16cid:durableId="1088424186">
    <w:abstractNumId w:val="3"/>
  </w:num>
  <w:num w:numId="8" w16cid:durableId="40594045">
    <w:abstractNumId w:val="2"/>
  </w:num>
  <w:num w:numId="9" w16cid:durableId="224924487">
    <w:abstractNumId w:val="1"/>
  </w:num>
  <w:num w:numId="10" w16cid:durableId="1709254735">
    <w:abstractNumId w:val="0"/>
  </w:num>
  <w:num w:numId="11" w16cid:durableId="144124349">
    <w:abstractNumId w:val="17"/>
  </w:num>
  <w:num w:numId="12" w16cid:durableId="12052912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9001187">
    <w:abstractNumId w:val="10"/>
  </w:num>
  <w:num w:numId="14" w16cid:durableId="1028798051">
    <w:abstractNumId w:val="29"/>
  </w:num>
  <w:num w:numId="15" w16cid:durableId="950552202">
    <w:abstractNumId w:val="13"/>
  </w:num>
  <w:num w:numId="16" w16cid:durableId="1809739815">
    <w:abstractNumId w:val="26"/>
  </w:num>
  <w:num w:numId="17" w16cid:durableId="14745621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0610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2811909">
    <w:abstractNumId w:val="23"/>
  </w:num>
  <w:num w:numId="20" w16cid:durableId="282464657">
    <w:abstractNumId w:val="14"/>
  </w:num>
  <w:num w:numId="21" w16cid:durableId="78840986">
    <w:abstractNumId w:val="25"/>
  </w:num>
  <w:num w:numId="22" w16cid:durableId="403066953">
    <w:abstractNumId w:val="22"/>
  </w:num>
  <w:num w:numId="23" w16cid:durableId="294913222">
    <w:abstractNumId w:val="18"/>
  </w:num>
  <w:num w:numId="24" w16cid:durableId="835537171">
    <w:abstractNumId w:val="30"/>
  </w:num>
  <w:num w:numId="25" w16cid:durableId="350685403">
    <w:abstractNumId w:val="12"/>
  </w:num>
  <w:num w:numId="26" w16cid:durableId="1641037331">
    <w:abstractNumId w:val="16"/>
  </w:num>
  <w:num w:numId="27" w16cid:durableId="1770349839">
    <w:abstractNumId w:val="21"/>
  </w:num>
  <w:num w:numId="28" w16cid:durableId="1695036262">
    <w:abstractNumId w:val="9"/>
  </w:num>
  <w:num w:numId="29" w16cid:durableId="1265378734">
    <w:abstractNumId w:val="20"/>
  </w:num>
  <w:num w:numId="30" w16cid:durableId="394596112">
    <w:abstractNumId w:val="11"/>
  </w:num>
  <w:num w:numId="31" w16cid:durableId="455220442">
    <w:abstractNumId w:val="15"/>
  </w:num>
  <w:num w:numId="32" w16cid:durableId="63725899">
    <w:abstractNumId w:val="24"/>
  </w:num>
  <w:num w:numId="33" w16cid:durableId="466550799">
    <w:abstractNumId w:val="28"/>
  </w:num>
  <w:num w:numId="34" w16cid:durableId="20458589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C10C19"/>
    <w:rsid w:val="00002721"/>
    <w:rsid w:val="000117DD"/>
    <w:rsid w:val="00024E24"/>
    <w:rsid w:val="00034EAA"/>
    <w:rsid w:val="00037E9C"/>
    <w:rsid w:val="0004522D"/>
    <w:rsid w:val="00051F84"/>
    <w:rsid w:val="0007002A"/>
    <w:rsid w:val="000821A3"/>
    <w:rsid w:val="000861A6"/>
    <w:rsid w:val="000A05E4"/>
    <w:rsid w:val="000A1DE2"/>
    <w:rsid w:val="000A2815"/>
    <w:rsid w:val="000A341D"/>
    <w:rsid w:val="000A3D4F"/>
    <w:rsid w:val="000A4037"/>
    <w:rsid w:val="000B1C46"/>
    <w:rsid w:val="000B1D63"/>
    <w:rsid w:val="000C5729"/>
    <w:rsid w:val="000D5DD1"/>
    <w:rsid w:val="000E6FBB"/>
    <w:rsid w:val="000E6FCE"/>
    <w:rsid w:val="000F3BA2"/>
    <w:rsid w:val="00104DF1"/>
    <w:rsid w:val="001175BF"/>
    <w:rsid w:val="00130923"/>
    <w:rsid w:val="001414F3"/>
    <w:rsid w:val="00142C95"/>
    <w:rsid w:val="00143FCD"/>
    <w:rsid w:val="00152D1D"/>
    <w:rsid w:val="00156EEB"/>
    <w:rsid w:val="00176589"/>
    <w:rsid w:val="001A71E8"/>
    <w:rsid w:val="001B6467"/>
    <w:rsid w:val="001B745D"/>
    <w:rsid w:val="001D1DD6"/>
    <w:rsid w:val="00200F60"/>
    <w:rsid w:val="00223EB1"/>
    <w:rsid w:val="0023561A"/>
    <w:rsid w:val="00236917"/>
    <w:rsid w:val="002400B2"/>
    <w:rsid w:val="00243D6B"/>
    <w:rsid w:val="002503C4"/>
    <w:rsid w:val="00281543"/>
    <w:rsid w:val="002854D6"/>
    <w:rsid w:val="00287C43"/>
    <w:rsid w:val="002A2B6A"/>
    <w:rsid w:val="002B06E6"/>
    <w:rsid w:val="002B4FA6"/>
    <w:rsid w:val="002D271F"/>
    <w:rsid w:val="002D6386"/>
    <w:rsid w:val="002F651D"/>
    <w:rsid w:val="002FF2E6"/>
    <w:rsid w:val="003026C3"/>
    <w:rsid w:val="00305B35"/>
    <w:rsid w:val="003134C2"/>
    <w:rsid w:val="003242B9"/>
    <w:rsid w:val="0034313B"/>
    <w:rsid w:val="003542EE"/>
    <w:rsid w:val="00367BAD"/>
    <w:rsid w:val="00370FCD"/>
    <w:rsid w:val="00381314"/>
    <w:rsid w:val="003A62DE"/>
    <w:rsid w:val="003B616C"/>
    <w:rsid w:val="003D0111"/>
    <w:rsid w:val="003D5848"/>
    <w:rsid w:val="003D67FC"/>
    <w:rsid w:val="003F16BD"/>
    <w:rsid w:val="003F3DBD"/>
    <w:rsid w:val="004006F1"/>
    <w:rsid w:val="00406E5A"/>
    <w:rsid w:val="00414DAB"/>
    <w:rsid w:val="00435C47"/>
    <w:rsid w:val="00455B34"/>
    <w:rsid w:val="00461ABC"/>
    <w:rsid w:val="004752A6"/>
    <w:rsid w:val="00483201"/>
    <w:rsid w:val="0048762C"/>
    <w:rsid w:val="004A528B"/>
    <w:rsid w:val="004B256F"/>
    <w:rsid w:val="004B3643"/>
    <w:rsid w:val="004C5911"/>
    <w:rsid w:val="004C5CD0"/>
    <w:rsid w:val="004D54E7"/>
    <w:rsid w:val="004E515E"/>
    <w:rsid w:val="004E7F12"/>
    <w:rsid w:val="00500963"/>
    <w:rsid w:val="005105EF"/>
    <w:rsid w:val="005113B6"/>
    <w:rsid w:val="00520756"/>
    <w:rsid w:val="0053067D"/>
    <w:rsid w:val="00531817"/>
    <w:rsid w:val="00533907"/>
    <w:rsid w:val="005362DE"/>
    <w:rsid w:val="00551AC2"/>
    <w:rsid w:val="00551C8B"/>
    <w:rsid w:val="005564CF"/>
    <w:rsid w:val="00560CA0"/>
    <w:rsid w:val="005624F3"/>
    <w:rsid w:val="005658D6"/>
    <w:rsid w:val="005811EF"/>
    <w:rsid w:val="005B0878"/>
    <w:rsid w:val="005C15C0"/>
    <w:rsid w:val="005D20E4"/>
    <w:rsid w:val="005E05CC"/>
    <w:rsid w:val="005E75BE"/>
    <w:rsid w:val="006005F1"/>
    <w:rsid w:val="006045DE"/>
    <w:rsid w:val="00610654"/>
    <w:rsid w:val="006158C8"/>
    <w:rsid w:val="00617348"/>
    <w:rsid w:val="0067026C"/>
    <w:rsid w:val="00675E7D"/>
    <w:rsid w:val="00681656"/>
    <w:rsid w:val="006A5BDD"/>
    <w:rsid w:val="006D5F63"/>
    <w:rsid w:val="006E2D49"/>
    <w:rsid w:val="006F1F4D"/>
    <w:rsid w:val="00701506"/>
    <w:rsid w:val="007171EE"/>
    <w:rsid w:val="00731937"/>
    <w:rsid w:val="00745F21"/>
    <w:rsid w:val="007468FC"/>
    <w:rsid w:val="00765ABB"/>
    <w:rsid w:val="00773CD0"/>
    <w:rsid w:val="00774FB0"/>
    <w:rsid w:val="00775002"/>
    <w:rsid w:val="007766CA"/>
    <w:rsid w:val="00792CA3"/>
    <w:rsid w:val="00794B48"/>
    <w:rsid w:val="007B2FDD"/>
    <w:rsid w:val="007E003C"/>
    <w:rsid w:val="007E6B38"/>
    <w:rsid w:val="007F7F1E"/>
    <w:rsid w:val="00804213"/>
    <w:rsid w:val="0080754E"/>
    <w:rsid w:val="00807D08"/>
    <w:rsid w:val="008226AC"/>
    <w:rsid w:val="00825121"/>
    <w:rsid w:val="0083468A"/>
    <w:rsid w:val="00836D01"/>
    <w:rsid w:val="0084292A"/>
    <w:rsid w:val="00842D43"/>
    <w:rsid w:val="00844C30"/>
    <w:rsid w:val="008532BF"/>
    <w:rsid w:val="00854CA2"/>
    <w:rsid w:val="00856D1C"/>
    <w:rsid w:val="00857757"/>
    <w:rsid w:val="00863A98"/>
    <w:rsid w:val="00876AC0"/>
    <w:rsid w:val="008775B1"/>
    <w:rsid w:val="00883175"/>
    <w:rsid w:val="008865D0"/>
    <w:rsid w:val="008A447A"/>
    <w:rsid w:val="008A67D5"/>
    <w:rsid w:val="009116EA"/>
    <w:rsid w:val="00923C84"/>
    <w:rsid w:val="00933671"/>
    <w:rsid w:val="00972DD5"/>
    <w:rsid w:val="009755F2"/>
    <w:rsid w:val="00977B21"/>
    <w:rsid w:val="00984879"/>
    <w:rsid w:val="00985632"/>
    <w:rsid w:val="00991B63"/>
    <w:rsid w:val="00992452"/>
    <w:rsid w:val="009A3DCC"/>
    <w:rsid w:val="009B2428"/>
    <w:rsid w:val="009B5CB7"/>
    <w:rsid w:val="009C4EE4"/>
    <w:rsid w:val="009D1533"/>
    <w:rsid w:val="009D611E"/>
    <w:rsid w:val="009F67EF"/>
    <w:rsid w:val="009F7078"/>
    <w:rsid w:val="00A047FD"/>
    <w:rsid w:val="00A165B4"/>
    <w:rsid w:val="00A253BB"/>
    <w:rsid w:val="00A25763"/>
    <w:rsid w:val="00A30120"/>
    <w:rsid w:val="00A31242"/>
    <w:rsid w:val="00A446AD"/>
    <w:rsid w:val="00A44817"/>
    <w:rsid w:val="00A52530"/>
    <w:rsid w:val="00A551BF"/>
    <w:rsid w:val="00A6162C"/>
    <w:rsid w:val="00A70524"/>
    <w:rsid w:val="00A73406"/>
    <w:rsid w:val="00A82B7F"/>
    <w:rsid w:val="00A904EC"/>
    <w:rsid w:val="00AB26B0"/>
    <w:rsid w:val="00AC65DA"/>
    <w:rsid w:val="00AD5F00"/>
    <w:rsid w:val="00B056CB"/>
    <w:rsid w:val="00B2722A"/>
    <w:rsid w:val="00B30078"/>
    <w:rsid w:val="00B525A3"/>
    <w:rsid w:val="00B57874"/>
    <w:rsid w:val="00B618BA"/>
    <w:rsid w:val="00B63238"/>
    <w:rsid w:val="00B66AA8"/>
    <w:rsid w:val="00B73CA6"/>
    <w:rsid w:val="00B82C11"/>
    <w:rsid w:val="00B92A94"/>
    <w:rsid w:val="00BB1EDD"/>
    <w:rsid w:val="00BC626E"/>
    <w:rsid w:val="00BD24FF"/>
    <w:rsid w:val="00BE4693"/>
    <w:rsid w:val="00BF5159"/>
    <w:rsid w:val="00C05E74"/>
    <w:rsid w:val="00C10C19"/>
    <w:rsid w:val="00C11196"/>
    <w:rsid w:val="00C11DAE"/>
    <w:rsid w:val="00C51EE8"/>
    <w:rsid w:val="00C5245D"/>
    <w:rsid w:val="00C5649C"/>
    <w:rsid w:val="00C6146A"/>
    <w:rsid w:val="00C6664F"/>
    <w:rsid w:val="00C75486"/>
    <w:rsid w:val="00C8202C"/>
    <w:rsid w:val="00C830BA"/>
    <w:rsid w:val="00C92A5B"/>
    <w:rsid w:val="00CA33D5"/>
    <w:rsid w:val="00CA46EC"/>
    <w:rsid w:val="00CB4B06"/>
    <w:rsid w:val="00CB57B7"/>
    <w:rsid w:val="00CB7652"/>
    <w:rsid w:val="00CC2A8D"/>
    <w:rsid w:val="00CE13CE"/>
    <w:rsid w:val="00CE17B1"/>
    <w:rsid w:val="00CE7898"/>
    <w:rsid w:val="00D00CAD"/>
    <w:rsid w:val="00D00F41"/>
    <w:rsid w:val="00D1394D"/>
    <w:rsid w:val="00D20849"/>
    <w:rsid w:val="00D41B13"/>
    <w:rsid w:val="00D63E4F"/>
    <w:rsid w:val="00D64BD8"/>
    <w:rsid w:val="00D73CB8"/>
    <w:rsid w:val="00D7578A"/>
    <w:rsid w:val="00D75A94"/>
    <w:rsid w:val="00D903FD"/>
    <w:rsid w:val="00D94BC5"/>
    <w:rsid w:val="00D96C08"/>
    <w:rsid w:val="00DA4855"/>
    <w:rsid w:val="00DA516E"/>
    <w:rsid w:val="00DD192D"/>
    <w:rsid w:val="00DF2B98"/>
    <w:rsid w:val="00E037C3"/>
    <w:rsid w:val="00E73C81"/>
    <w:rsid w:val="00E824CD"/>
    <w:rsid w:val="00E842E5"/>
    <w:rsid w:val="00E92F4D"/>
    <w:rsid w:val="00EA11F7"/>
    <w:rsid w:val="00EB24C0"/>
    <w:rsid w:val="00EC7E72"/>
    <w:rsid w:val="00ED43D2"/>
    <w:rsid w:val="00EE3B8C"/>
    <w:rsid w:val="00EF4A38"/>
    <w:rsid w:val="00F2164F"/>
    <w:rsid w:val="00F266CE"/>
    <w:rsid w:val="00F33A68"/>
    <w:rsid w:val="00F5755C"/>
    <w:rsid w:val="00F81A79"/>
    <w:rsid w:val="00F84149"/>
    <w:rsid w:val="00F9607D"/>
    <w:rsid w:val="00FA63E4"/>
    <w:rsid w:val="00FB0AEA"/>
    <w:rsid w:val="00FB10CB"/>
    <w:rsid w:val="00FB5D93"/>
    <w:rsid w:val="00FB7D7B"/>
    <w:rsid w:val="00FB7DF5"/>
    <w:rsid w:val="00FE50FE"/>
    <w:rsid w:val="027C1A8F"/>
    <w:rsid w:val="028C9D5B"/>
    <w:rsid w:val="085CFC71"/>
    <w:rsid w:val="08876FA3"/>
    <w:rsid w:val="0B97CE5E"/>
    <w:rsid w:val="0C1B104A"/>
    <w:rsid w:val="0C34AFC9"/>
    <w:rsid w:val="0DE6898E"/>
    <w:rsid w:val="10FFDFD5"/>
    <w:rsid w:val="12D4FFA1"/>
    <w:rsid w:val="136283EC"/>
    <w:rsid w:val="1411E768"/>
    <w:rsid w:val="143E5FB0"/>
    <w:rsid w:val="14513D86"/>
    <w:rsid w:val="14BEED04"/>
    <w:rsid w:val="15ADB7C9"/>
    <w:rsid w:val="165ABD65"/>
    <w:rsid w:val="1669AC9A"/>
    <w:rsid w:val="16AE9DCF"/>
    <w:rsid w:val="1749882A"/>
    <w:rsid w:val="1789F62A"/>
    <w:rsid w:val="1EA0DCF4"/>
    <w:rsid w:val="219B77CE"/>
    <w:rsid w:val="23088EDD"/>
    <w:rsid w:val="24A22EB9"/>
    <w:rsid w:val="2672225D"/>
    <w:rsid w:val="27F190F5"/>
    <w:rsid w:val="29D34016"/>
    <w:rsid w:val="2A922D4A"/>
    <w:rsid w:val="2ADFA83C"/>
    <w:rsid w:val="2BE3FB76"/>
    <w:rsid w:val="2DD6B2C5"/>
    <w:rsid w:val="30F25E0B"/>
    <w:rsid w:val="321631E4"/>
    <w:rsid w:val="341FE733"/>
    <w:rsid w:val="3428068F"/>
    <w:rsid w:val="37646CAE"/>
    <w:rsid w:val="37A47365"/>
    <w:rsid w:val="3A6E7876"/>
    <w:rsid w:val="3A9205FD"/>
    <w:rsid w:val="3C82D120"/>
    <w:rsid w:val="3C87CFE9"/>
    <w:rsid w:val="3E267F71"/>
    <w:rsid w:val="3EE2CF29"/>
    <w:rsid w:val="4070F053"/>
    <w:rsid w:val="46C5D027"/>
    <w:rsid w:val="4AD4C0FE"/>
    <w:rsid w:val="4B8CF409"/>
    <w:rsid w:val="4C39F9A5"/>
    <w:rsid w:val="4C75878E"/>
    <w:rsid w:val="4E8F429C"/>
    <w:rsid w:val="5227545B"/>
    <w:rsid w:val="529AE7EE"/>
    <w:rsid w:val="53445CDE"/>
    <w:rsid w:val="57860CD6"/>
    <w:rsid w:val="57C9454E"/>
    <w:rsid w:val="58052BA5"/>
    <w:rsid w:val="5856021D"/>
    <w:rsid w:val="5FEBB137"/>
    <w:rsid w:val="66E8CA6A"/>
    <w:rsid w:val="67412E6C"/>
    <w:rsid w:val="675FDE47"/>
    <w:rsid w:val="6B9AF3D4"/>
    <w:rsid w:val="6BC8AF5D"/>
    <w:rsid w:val="6E7A713D"/>
    <w:rsid w:val="6F7F9BBA"/>
    <w:rsid w:val="6FE0F8A9"/>
    <w:rsid w:val="74D62CF9"/>
    <w:rsid w:val="7502B20F"/>
    <w:rsid w:val="76011067"/>
    <w:rsid w:val="760ABC89"/>
    <w:rsid w:val="77913F82"/>
    <w:rsid w:val="77AE62F3"/>
    <w:rsid w:val="7806EF69"/>
    <w:rsid w:val="78FDC4AA"/>
    <w:rsid w:val="790AB9CD"/>
    <w:rsid w:val="79124657"/>
    <w:rsid w:val="7ACD19BB"/>
    <w:rsid w:val="7D874CC9"/>
    <w:rsid w:val="7F7F4D8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C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1E"/>
    <w:rPr>
      <w:sz w:val="20"/>
    </w:rPr>
  </w:style>
  <w:style w:type="paragraph" w:styleId="Heading1">
    <w:name w:val="heading 1"/>
    <w:basedOn w:val="Normal"/>
    <w:next w:val="Normal"/>
    <w:link w:val="Heading1Char"/>
    <w:uiPriority w:val="9"/>
    <w:qFormat/>
    <w:rsid w:val="00C51EE8"/>
    <w:pPr>
      <w:spacing w:after="0" w:line="240" w:lineRule="auto"/>
      <w:contextualSpacing/>
      <w:outlineLvl w:val="0"/>
    </w:pPr>
    <w:rPr>
      <w:rFonts w:ascii="Calibri" w:eastAsiaTheme="majorEastAsia" w:hAnsi="Calibri" w:cstheme="majorBidi"/>
      <w:b/>
      <w:bCs/>
      <w:color w:val="000000" w:themeColor="text1"/>
      <w:sz w:val="32"/>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C51EE8"/>
    <w:rPr>
      <w:rFonts w:ascii="Calibri" w:eastAsiaTheme="majorEastAsia" w:hAnsi="Calibri" w:cstheme="majorBidi"/>
      <w:b/>
      <w:bCs/>
      <w:color w:val="000000" w:themeColor="text1"/>
      <w:sz w:val="32"/>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542EE"/>
    <w:pPr>
      <w:spacing w:after="120" w:line="240" w:lineRule="auto"/>
      <w:contextualSpacing/>
    </w:pPr>
    <w:rPr>
      <w:rFonts w:ascii="Calibri" w:eastAsiaTheme="majorEastAsia" w:hAnsi="Calibri" w:cstheme="majorBidi"/>
      <w:b/>
      <w:color w:val="C00000"/>
      <w:spacing w:val="5"/>
      <w:sz w:val="40"/>
      <w:szCs w:val="52"/>
    </w:rPr>
  </w:style>
  <w:style w:type="character" w:customStyle="1" w:styleId="TitleChar">
    <w:name w:val="Title Char"/>
    <w:basedOn w:val="DefaultParagraphFont"/>
    <w:link w:val="Title"/>
    <w:uiPriority w:val="10"/>
    <w:rsid w:val="003542EE"/>
    <w:rPr>
      <w:rFonts w:ascii="Calibri" w:eastAsiaTheme="majorEastAsia" w:hAnsi="Calibri" w:cstheme="majorBidi"/>
      <w:b/>
      <w:color w:val="C00000"/>
      <w:spacing w:val="5"/>
      <w:sz w:val="40"/>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icTable">
    <w:name w:val="Generic Table"/>
    <w:basedOn w:val="TableNormal"/>
    <w:uiPriority w:val="99"/>
    <w:rsid w:val="00F5755C"/>
    <w:pPr>
      <w:spacing w:after="0" w:line="240" w:lineRule="auto"/>
    </w:pPr>
    <w:rPr>
      <w:sz w:val="20"/>
    </w:rPr>
    <w:tblPr>
      <w:tblStyleRowBandSize w:val="1"/>
      <w:tblBorders>
        <w:bottom w:val="single" w:sz="4" w:space="0" w:color="auto"/>
      </w:tblBorders>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paragraph" w:customStyle="1" w:styleId="OFSCBullets">
    <w:name w:val="OFSC Bullets"/>
    <w:basedOn w:val="Normal"/>
    <w:autoRedefine/>
    <w:rsid w:val="007171EE"/>
    <w:pPr>
      <w:suppressAutoHyphens/>
      <w:autoSpaceDE w:val="0"/>
      <w:autoSpaceDN w:val="0"/>
      <w:adjustRightInd w:val="0"/>
      <w:spacing w:after="0" w:line="240" w:lineRule="auto"/>
      <w:ind w:right="-427"/>
      <w:textAlignment w:val="center"/>
    </w:pPr>
    <w:rPr>
      <w:rFonts w:eastAsia="Times New Roman" w:cstheme="minorHAnsi"/>
      <w:color w:val="000000"/>
      <w:sz w:val="19"/>
      <w:szCs w:val="19"/>
      <w:lang w:val="en-GB" w:eastAsia="en-AU"/>
    </w:rPr>
  </w:style>
  <w:style w:type="paragraph" w:styleId="CommentText">
    <w:name w:val="annotation text"/>
    <w:basedOn w:val="Normal"/>
    <w:link w:val="CommentTextChar"/>
    <w:uiPriority w:val="99"/>
    <w:unhideWhenUsed/>
    <w:rsid w:val="00731937"/>
    <w:pPr>
      <w:spacing w:line="240" w:lineRule="auto"/>
    </w:pPr>
    <w:rPr>
      <w:szCs w:val="20"/>
    </w:rPr>
  </w:style>
  <w:style w:type="character" w:customStyle="1" w:styleId="CommentTextChar">
    <w:name w:val="Comment Text Char"/>
    <w:basedOn w:val="DefaultParagraphFont"/>
    <w:link w:val="CommentText"/>
    <w:uiPriority w:val="99"/>
    <w:rsid w:val="00731937"/>
    <w:rPr>
      <w:sz w:val="20"/>
      <w:szCs w:val="20"/>
    </w:rPr>
  </w:style>
  <w:style w:type="paragraph" w:styleId="CommentSubject">
    <w:name w:val="annotation subject"/>
    <w:basedOn w:val="CommentText"/>
    <w:next w:val="CommentText"/>
    <w:link w:val="CommentSubjectChar"/>
    <w:rsid w:val="00731937"/>
    <w:pPr>
      <w:suppressAutoHyphens/>
      <w:autoSpaceDE w:val="0"/>
      <w:autoSpaceDN w:val="0"/>
      <w:adjustRightInd w:val="0"/>
      <w:spacing w:after="100"/>
      <w:textAlignment w:val="center"/>
    </w:pPr>
    <w:rPr>
      <w:rFonts w:eastAsia="Times New Roman" w:cstheme="minorHAnsi"/>
      <w:b/>
      <w:bCs/>
      <w:color w:val="000000"/>
      <w:lang w:val="en-GB" w:eastAsia="en-AU"/>
    </w:rPr>
  </w:style>
  <w:style w:type="character" w:customStyle="1" w:styleId="CommentSubjectChar">
    <w:name w:val="Comment Subject Char"/>
    <w:basedOn w:val="CommentTextChar"/>
    <w:link w:val="CommentSubject"/>
    <w:rsid w:val="00731937"/>
    <w:rPr>
      <w:rFonts w:eastAsia="Times New Roman" w:cstheme="minorHAnsi"/>
      <w:b/>
      <w:bCs/>
      <w:color w:val="000000"/>
      <w:sz w:val="20"/>
      <w:szCs w:val="20"/>
      <w:lang w:val="en-GB" w:eastAsia="en-AU"/>
    </w:rPr>
  </w:style>
  <w:style w:type="character" w:customStyle="1" w:styleId="bold">
    <w:name w:val="bold"/>
    <w:rsid w:val="00731937"/>
    <w:rPr>
      <w:b/>
      <w:bCs/>
    </w:rPr>
  </w:style>
  <w:style w:type="paragraph" w:customStyle="1" w:styleId="OFSCShadedBoxHeader">
    <w:name w:val="OFSC Shaded Box Header"/>
    <w:basedOn w:val="Normal"/>
    <w:link w:val="OFSCShadedBoxHeaderChar"/>
    <w:qFormat/>
    <w:rsid w:val="00731937"/>
    <w:pPr>
      <w:pBdr>
        <w:top w:val="single" w:sz="12" w:space="8" w:color="6C6C6C" w:themeColor="background1" w:themeShade="D9"/>
        <w:left w:val="single" w:sz="24" w:space="4" w:color="6C6C6C" w:themeColor="background1" w:themeShade="D9"/>
        <w:bottom w:val="single" w:sz="18" w:space="1" w:color="6C6C6C" w:themeColor="background1" w:themeShade="D9"/>
        <w:right w:val="single" w:sz="24" w:space="4" w:color="6C6C6C" w:themeColor="background1" w:themeShade="D9"/>
      </w:pBdr>
      <w:shd w:val="clear" w:color="auto" w:fill="6C6C6C" w:themeFill="background1" w:themeFillShade="D9"/>
      <w:spacing w:before="120" w:after="0" w:line="240" w:lineRule="auto"/>
    </w:pPr>
    <w:rPr>
      <w:rFonts w:ascii="Calibri" w:eastAsia="Times New Roman" w:hAnsi="Calibri" w:cs="Times New Roman"/>
      <w:color w:val="C00000"/>
      <w:sz w:val="24"/>
      <w:szCs w:val="24"/>
      <w:lang w:eastAsia="en-AU"/>
    </w:rPr>
  </w:style>
  <w:style w:type="character" w:customStyle="1" w:styleId="OFSCShadedBoxHeaderChar">
    <w:name w:val="OFSC Shaded Box Header Char"/>
    <w:basedOn w:val="DefaultParagraphFont"/>
    <w:link w:val="OFSCShadedBoxHeader"/>
    <w:rsid w:val="00731937"/>
    <w:rPr>
      <w:rFonts w:ascii="Calibri" w:eastAsia="Times New Roman" w:hAnsi="Calibri" w:cs="Times New Roman"/>
      <w:color w:val="C00000"/>
      <w:sz w:val="24"/>
      <w:szCs w:val="24"/>
      <w:shd w:val="clear" w:color="auto" w:fill="6C6C6C" w:themeFill="background1" w:themeFillShade="D9"/>
      <w:lang w:eastAsia="en-AU"/>
    </w:rPr>
  </w:style>
  <w:style w:type="paragraph" w:customStyle="1" w:styleId="OFSCShadedBoxBullets">
    <w:name w:val="OFSC Shaded Box Bullets"/>
    <w:basedOn w:val="OFSCBullets"/>
    <w:qFormat/>
    <w:rsid w:val="00731937"/>
    <w:pPr>
      <w:pBdr>
        <w:top w:val="single" w:sz="18" w:space="1" w:color="6C6C6C" w:themeColor="background1" w:themeShade="D9"/>
        <w:left w:val="single" w:sz="18" w:space="4" w:color="6C6C6C" w:themeColor="background1" w:themeShade="D9"/>
        <w:bottom w:val="single" w:sz="18" w:space="1" w:color="6C6C6C" w:themeColor="background1" w:themeShade="D9"/>
        <w:right w:val="single" w:sz="18" w:space="4" w:color="6C6C6C" w:themeColor="background1" w:themeShade="D9"/>
      </w:pBdr>
      <w:shd w:val="clear" w:color="auto" w:fill="6C6C6C" w:themeFill="background1" w:themeFillShade="D9"/>
    </w:pPr>
  </w:style>
  <w:style w:type="paragraph" w:styleId="Revision">
    <w:name w:val="Revision"/>
    <w:hidden/>
    <w:uiPriority w:val="99"/>
    <w:semiHidden/>
    <w:rsid w:val="00500963"/>
    <w:pPr>
      <w:spacing w:after="0" w:line="240" w:lineRule="auto"/>
    </w:pPr>
    <w:rPr>
      <w:sz w:val="20"/>
    </w:rPr>
  </w:style>
  <w:style w:type="character" w:styleId="CommentReference">
    <w:name w:val="annotation reference"/>
    <w:basedOn w:val="DefaultParagraphFont"/>
    <w:uiPriority w:val="99"/>
    <w:semiHidden/>
    <w:unhideWhenUsed/>
    <w:rsid w:val="00B525A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52820058969E49A582BE6D73958046" ma:contentTypeVersion="13" ma:contentTypeDescription="Create a new document." ma:contentTypeScope="" ma:versionID="ee08a6689f76b3ba821845794c116b9e">
  <xsd:schema xmlns:xsd="http://www.w3.org/2001/XMLSchema" xmlns:xs="http://www.w3.org/2001/XMLSchema" xmlns:p="http://schemas.microsoft.com/office/2006/metadata/properties" xmlns:ns2="39aef1c0-9a42-4d9f-81f8-f203b0daf60a" xmlns:ns3="ec4de651-a667-4cf9-b7d6-22ee33441174" targetNamespace="http://schemas.microsoft.com/office/2006/metadata/properties" ma:root="true" ma:fieldsID="22cff475b1a5c17c0fef284e53d80cc3" ns2:_="" ns3:_="">
    <xsd:import namespace="39aef1c0-9a42-4d9f-81f8-f203b0daf60a"/>
    <xsd:import namespace="ec4de651-a667-4cf9-b7d6-22ee33441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ef1c0-9a42-4d9f-81f8-f203b0daf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4de651-a667-4cf9-b7d6-22ee334411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5dd8f2-a1bf-4806-9659-156c59ab68ff}" ma:internalName="TaxCatchAll" ma:showField="CatchAllData" ma:web="ec4de651-a667-4cf9-b7d6-22ee33441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aef1c0-9a42-4d9f-81f8-f203b0daf60a">
      <Terms xmlns="http://schemas.microsoft.com/office/infopath/2007/PartnerControls"/>
    </lcf76f155ced4ddcb4097134ff3c332f>
    <TaxCatchAll xmlns="ec4de651-a667-4cf9-b7d6-22ee33441174" xsi:nil="true"/>
  </documentManagement>
</p:properties>
</file>

<file path=customXml/itemProps1.xml><?xml version="1.0" encoding="utf-8"?>
<ds:datastoreItem xmlns:ds="http://schemas.openxmlformats.org/officeDocument/2006/customXml" ds:itemID="{1906B434-3606-4AD0-B05E-F07CB5413A55}">
  <ds:schemaRefs>
    <ds:schemaRef ds:uri="http://schemas.openxmlformats.org/officeDocument/2006/bibliography"/>
  </ds:schemaRefs>
</ds:datastoreItem>
</file>

<file path=customXml/itemProps2.xml><?xml version="1.0" encoding="utf-8"?>
<ds:datastoreItem xmlns:ds="http://schemas.openxmlformats.org/officeDocument/2006/customXml" ds:itemID="{BE163DA3-82F4-4505-B4B7-DE653A2B12B0}">
  <ds:schemaRefs>
    <ds:schemaRef ds:uri="http://schemas.microsoft.com/sharepoint/v3/contenttype/forms"/>
  </ds:schemaRefs>
</ds:datastoreItem>
</file>

<file path=customXml/itemProps3.xml><?xml version="1.0" encoding="utf-8"?>
<ds:datastoreItem xmlns:ds="http://schemas.openxmlformats.org/officeDocument/2006/customXml" ds:itemID="{9E719CA4-9D60-4312-90C1-09E79B51C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ef1c0-9a42-4d9f-81f8-f203b0daf60a"/>
    <ds:schemaRef ds:uri="ec4de651-a667-4cf9-b7d6-22ee33441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71CD4-3351-41F5-BC5E-9F6BF32F06BB}">
  <ds:schemaRefs>
    <ds:schemaRef ds:uri="http://schemas.microsoft.com/office/2006/metadata/properties"/>
    <ds:schemaRef ds:uri="http://schemas.microsoft.com/office/infopath/2007/PartnerControls"/>
    <ds:schemaRef ds:uri="39aef1c0-9a42-4d9f-81f8-f203b0daf60a"/>
    <ds:schemaRef ds:uri="ec4de651-a667-4cf9-b7d6-22ee334411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947</Words>
  <Characters>5404</Characters>
  <Application>Microsoft Office Word</Application>
  <DocSecurity>4</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Definitions of ‘Builder’ and ‘Building Work’</dc:title>
  <dc:subject/>
  <dc:creator/>
  <cp:keywords/>
  <cp:lastModifiedBy/>
  <cp:revision>2</cp:revision>
  <dcterms:created xsi:type="dcterms:W3CDTF">2026-07-07T18:07:00Z</dcterms:created>
  <dcterms:modified xsi:type="dcterms:W3CDTF">2026-07-07T23:05:00Z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2026-07-07T01:07:55Z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c17ecd19-1158-4a9a-be56-bb8c52c60fb1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0x0101007E52820058969E49A582BE6D73958046</vt:lpwstr>
  </property>
</Properties>
</file>