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6AE50" w14:textId="77777777" w:rsidR="00067075" w:rsidRDefault="00732FCD" w:rsidP="00E14881">
      <w:r>
        <w:rPr>
          <w:noProof/>
        </w:rPr>
        <w:drawing>
          <wp:anchor distT="0" distB="0" distL="114300" distR="114300" simplePos="0" relativeHeight="251658243" behindDoc="1" locked="0" layoutInCell="1" allowOverlap="1" wp14:anchorId="34C3B2CC" wp14:editId="52AF18DF">
            <wp:simplePos x="0" y="0"/>
            <wp:positionH relativeFrom="column">
              <wp:posOffset>-1258570</wp:posOffset>
            </wp:positionH>
            <wp:positionV relativeFrom="paragraph">
              <wp:posOffset>-442595</wp:posOffset>
            </wp:positionV>
            <wp:extent cx="8166834" cy="1593849"/>
            <wp:effectExtent l="0" t="0" r="5715" b="6985"/>
            <wp:wrapNone/>
            <wp:docPr id="716659681" name="Picture 1">
              <a:extLst xmlns:a="http://schemas.openxmlformats.org/drawingml/2006/main">
                <a:ext uri="{FF2B5EF4-FFF2-40B4-BE49-F238E27FC236}">
                  <a16:creationId xmlns:a16="http://schemas.microsoft.com/office/drawing/2014/main" id="{98EB624A-0855-4805-99FA-1148A22FA4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59681" name="Picture 1"/>
                    <pic:cNvPicPr/>
                  </pic:nvPicPr>
                  <pic:blipFill>
                    <a:blip r:embed="rId7"/>
                    <a:stretch>
                      <a:fillRect/>
                    </a:stretch>
                  </pic:blipFill>
                  <pic:spPr>
                    <a:xfrm>
                      <a:off x="0" y="0"/>
                      <a:ext cx="8166834" cy="1593849"/>
                    </a:xfrm>
                    <a:prstGeom prst="rect">
                      <a:avLst/>
                    </a:prstGeom>
                  </pic:spPr>
                </pic:pic>
              </a:graphicData>
            </a:graphic>
            <wp14:sizeRelH relativeFrom="page">
              <wp14:pctWidth>0</wp14:pctWidth>
            </wp14:sizeRelH>
            <wp14:sizeRelV relativeFrom="page">
              <wp14:pctHeight>0</wp14:pctHeight>
            </wp14:sizeRelV>
          </wp:anchor>
        </w:drawing>
      </w:r>
      <w:r w:rsidR="003A2EFF">
        <w:rPr>
          <w:noProof/>
        </w:rPr>
        <w:drawing>
          <wp:inline distT="0" distB="0" distL="0" distR="0" wp14:anchorId="2259F7E8" wp14:editId="70885166">
            <wp:extent cx="3787502" cy="863600"/>
            <wp:effectExtent l="0" t="0" r="3810" b="0"/>
            <wp:docPr id="1" name="Picture 3">
              <a:extLst xmlns:a="http://schemas.openxmlformats.org/drawingml/2006/main">
                <a:ext uri="{FF2B5EF4-FFF2-40B4-BE49-F238E27FC236}">
                  <a16:creationId xmlns:a16="http://schemas.microsoft.com/office/drawing/2014/main" id="{8016E9C5-5B8B-446C-87DB-E1C6DEDCA0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8">
                      <a:extLst>
                        <a:ext uri="{96DAC541-7B7A-43D3-8B79-37D633B846F1}">
                          <asvg:svgBlip xmlns:asvg="http://schemas.microsoft.com/office/drawing/2016/SVG/main" r:embed="rId9"/>
                        </a:ext>
                      </a:extLst>
                    </a:blip>
                    <a:stretch>
                      <a:fillRect/>
                    </a:stretch>
                  </pic:blipFill>
                  <pic:spPr>
                    <a:xfrm>
                      <a:off x="0" y="0"/>
                      <a:ext cx="3787502" cy="863600"/>
                    </a:xfrm>
                    <a:prstGeom prst="rect">
                      <a:avLst/>
                    </a:prstGeom>
                  </pic:spPr>
                </pic:pic>
              </a:graphicData>
            </a:graphic>
          </wp:inline>
        </w:drawing>
      </w:r>
    </w:p>
    <w:p w14:paraId="056A1A05" w14:textId="77777777" w:rsidR="00EC6A53" w:rsidRDefault="00996EF9" w:rsidP="00996EF9">
      <w:pPr>
        <w:tabs>
          <w:tab w:val="left" w:pos="6850"/>
        </w:tabs>
        <w:spacing w:before="100" w:beforeAutospacing="1" w:after="0"/>
        <w:sectPr w:rsidR="00EC6A53" w:rsidSect="00732FCD">
          <w:footerReference w:type="default" r:id="rId10"/>
          <w:footerReference w:type="first" r:id="rId11"/>
          <w:type w:val="continuous"/>
          <w:pgSz w:w="11906" w:h="16838"/>
          <w:pgMar w:top="709" w:right="1418" w:bottom="1418" w:left="1418" w:header="0" w:footer="709" w:gutter="0"/>
          <w:cols w:space="708"/>
          <w:titlePg/>
          <w:docGrid w:linePitch="360"/>
        </w:sectPr>
      </w:pPr>
      <w:r>
        <w:tab/>
      </w:r>
    </w:p>
    <w:p w14:paraId="745E557E" w14:textId="77777777" w:rsidR="00A62A22" w:rsidRDefault="00A62A22" w:rsidP="00A62A22">
      <w:pPr>
        <w:pStyle w:val="Subtitle"/>
      </w:pPr>
    </w:p>
    <w:p w14:paraId="59428EF2" w14:textId="52618C57" w:rsidR="00A56FC7" w:rsidRDefault="34591BBD" w:rsidP="0084316F">
      <w:pPr>
        <w:pStyle w:val="Title"/>
        <w:spacing w:before="0" w:after="240"/>
        <w:ind w:right="139"/>
      </w:pPr>
      <w:r>
        <w:t>WHS Accreditation Scheme – health surveillance and exposure monitoring (WH14)</w:t>
      </w:r>
    </w:p>
    <w:p w14:paraId="6FBE81B6" w14:textId="0AB852FE" w:rsidR="00A62A22" w:rsidRDefault="00A62A22" w:rsidP="000910BB">
      <w:pPr>
        <w:pStyle w:val="Subtitle"/>
      </w:pPr>
      <w:r w:rsidRPr="000910BB">
        <w:t>Safe Work Month 202</w:t>
      </w:r>
      <w:r w:rsidR="00C66D43">
        <w:t>6</w:t>
      </w:r>
    </w:p>
    <w:p w14:paraId="1A2A99A2" w14:textId="24D31DE4" w:rsidR="004F56E7" w:rsidRDefault="004F56E7" w:rsidP="004F56E7">
      <w:r>
        <w:rPr>
          <w:noProof/>
        </w:rPr>
        <mc:AlternateContent>
          <mc:Choice Requires="wps">
            <w:drawing>
              <wp:anchor distT="0" distB="0" distL="114300" distR="114300" simplePos="0" relativeHeight="251658241" behindDoc="0" locked="0" layoutInCell="1" allowOverlap="1" wp14:anchorId="7EF9F6E3" wp14:editId="3715A76D">
                <wp:simplePos x="0" y="0"/>
                <wp:positionH relativeFrom="margin">
                  <wp:align>left</wp:align>
                </wp:positionH>
                <wp:positionV relativeFrom="paragraph">
                  <wp:posOffset>106045</wp:posOffset>
                </wp:positionV>
                <wp:extent cx="5695950" cy="2276475"/>
                <wp:effectExtent l="0" t="0" r="0" b="9525"/>
                <wp:wrapNone/>
                <wp:docPr id="2062403296" name="Rectangle 1">
                  <a:extLst xmlns:a="http://schemas.openxmlformats.org/drawingml/2006/main">
                    <a:ext uri="{FF2B5EF4-FFF2-40B4-BE49-F238E27FC236}">
                      <a16:creationId xmlns:a16="http://schemas.microsoft.com/office/drawing/2014/main" id="{EDC9A0CF-AF21-486A-AF6A-E6F90167B474}"/>
                    </a:ext>
                  </a:extLst>
                </wp:docPr>
                <wp:cNvGraphicFramePr/>
                <a:graphic xmlns:a="http://schemas.openxmlformats.org/drawingml/2006/main">
                  <a:graphicData uri="http://schemas.microsoft.com/office/word/2010/wordprocessingShape">
                    <wps:wsp>
                      <wps:cNvSpPr/>
                      <wps:spPr>
                        <a:xfrm>
                          <a:off x="0" y="0"/>
                          <a:ext cx="5695950" cy="2276475"/>
                        </a:xfrm>
                        <a:prstGeom prst="rect">
                          <a:avLst/>
                        </a:prstGeom>
                        <a:solidFill>
                          <a:schemeClr val="tx2">
                            <a:lumMod val="25000"/>
                            <a:lumOff val="75000"/>
                          </a:schemeClr>
                        </a:solidFill>
                        <a:ln>
                          <a:noFill/>
                        </a:ln>
                      </wps:spPr>
                      <wps:style>
                        <a:lnRef idx="2">
                          <a:schemeClr val="accent3">
                            <a:shade val="15000"/>
                          </a:schemeClr>
                        </a:lnRef>
                        <a:fillRef idx="1">
                          <a:schemeClr val="accent3"/>
                        </a:fillRef>
                        <a:effectRef idx="0">
                          <a:schemeClr val="accent3"/>
                        </a:effectRef>
                        <a:fontRef idx="minor">
                          <a:schemeClr val="lt1"/>
                        </a:fontRef>
                      </wps:style>
                      <wps:txbx>
                        <w:txbxContent>
                          <w:p w14:paraId="0643B70D" w14:textId="00B0C93F" w:rsidR="00D51429" w:rsidRPr="00AC3C45" w:rsidRDefault="00D51429" w:rsidP="00D51429">
                            <w:pPr>
                              <w:jc w:val="center"/>
                              <w:rPr>
                                <w:rFonts w:ascii="Aptos" w:hAnsi="Aptos"/>
                                <w:color w:val="0D0D0D" w:themeColor="text1" w:themeTint="F2"/>
                              </w:rPr>
                            </w:pPr>
                            <w:r w:rsidRPr="00AC3C45">
                              <w:rPr>
                                <w:rFonts w:ascii="Aptos" w:hAnsi="Aptos"/>
                                <w:color w:val="0D0D0D" w:themeColor="text1" w:themeTint="F2"/>
                              </w:rPr>
                              <w:t xml:space="preserve">WH14 is focused on the documented processes a company has developed to support </w:t>
                            </w:r>
                            <w:r w:rsidR="005A3CB0">
                              <w:rPr>
                                <w:rFonts w:ascii="Aptos" w:hAnsi="Aptos"/>
                                <w:color w:val="0D0D0D" w:themeColor="text1" w:themeTint="F2"/>
                              </w:rPr>
                              <w:t>workers</w:t>
                            </w:r>
                            <w:r w:rsidRPr="00AC3C45">
                              <w:rPr>
                                <w:rFonts w:ascii="Aptos" w:hAnsi="Aptos"/>
                                <w:color w:val="0D0D0D" w:themeColor="text1" w:themeTint="F2"/>
                              </w:rPr>
                              <w:t xml:space="preserve"> who may be exposed to health hazards on site. This guidance refers to common issues typically found by Federal Safety Officers in audits relating to WH14.1 to WH14.3</w:t>
                            </w:r>
                            <w:r w:rsidR="001F438B">
                              <w:rPr>
                                <w:rFonts w:ascii="Aptos" w:hAnsi="Aptos"/>
                                <w:color w:val="0D0D0D" w:themeColor="text1" w:themeTint="F2"/>
                              </w:rPr>
                              <w:t>,</w:t>
                            </w:r>
                            <w:r w:rsidRPr="00AC3C45">
                              <w:rPr>
                                <w:rFonts w:ascii="Aptos" w:hAnsi="Aptos"/>
                                <w:color w:val="0D0D0D" w:themeColor="text1" w:themeTint="F2"/>
                              </w:rPr>
                              <w:t xml:space="preserve"> outlines best-practice processes and includes high level examples of improvements that may assist companies to improve their practices. A detailed flowchart on the best practice steps is available at our </w:t>
                            </w:r>
                            <w:hyperlink r:id="rId12" w:history="1">
                              <w:r w:rsidRPr="00AA4784">
                                <w:rPr>
                                  <w:rStyle w:val="Hyperlink"/>
                                  <w:rFonts w:ascii="Aptos" w:hAnsi="Aptos"/>
                                </w:rPr>
                                <w:t>website</w:t>
                              </w:r>
                            </w:hyperlink>
                            <w:r w:rsidRPr="00AA4784">
                              <w:rPr>
                                <w:rFonts w:ascii="Aptos" w:hAnsi="Aptos"/>
                                <w:color w:val="0D0D0D" w:themeColor="text1" w:themeTint="F2"/>
                              </w:rPr>
                              <w:t>.</w:t>
                            </w:r>
                          </w:p>
                          <w:p w14:paraId="61D63776" w14:textId="13C268F1" w:rsidR="00BE2426" w:rsidRPr="00AC3C45" w:rsidRDefault="00D51429" w:rsidP="00D51429">
                            <w:pPr>
                              <w:jc w:val="center"/>
                              <w:rPr>
                                <w:rFonts w:ascii="Aptos" w:hAnsi="Aptos"/>
                                <w:color w:val="000000" w:themeColor="text1"/>
                              </w:rPr>
                            </w:pPr>
                            <w:r w:rsidRPr="00AC3C45">
                              <w:rPr>
                                <w:rFonts w:ascii="Aptos" w:hAnsi="Aptos"/>
                                <w:color w:val="0D0D0D" w:themeColor="text1" w:themeTint="F2"/>
                              </w:rPr>
                              <w:t>This document is for information only and does not prescribe one-size-fits-all requirements for meeting WH14. Other solutions may be more appropriate depending on a company’s specific operating environment – refer to the</w:t>
                            </w:r>
                            <w:r w:rsidR="00284332" w:rsidRPr="00AC3C45">
                              <w:rPr>
                                <w:rFonts w:ascii="Aptos" w:hAnsi="Aptos"/>
                                <w:color w:val="000000" w:themeColor="text1"/>
                              </w:rPr>
                              <w:t xml:space="preserve"> </w:t>
                            </w:r>
                            <w:hyperlink r:id="rId13" w:anchor="s" w:history="1">
                              <w:r w:rsidR="00284332" w:rsidRPr="00AC3C45">
                                <w:rPr>
                                  <w:rStyle w:val="Hyperlink"/>
                                  <w:rFonts w:ascii="Aptos" w:hAnsi="Aptos"/>
                                  <w:u w:val="none"/>
                                </w:rPr>
                                <w:t>Audit Crit</w:t>
                              </w:r>
                              <w:r w:rsidR="00284332" w:rsidRPr="00AC3C45">
                                <w:rPr>
                                  <w:rStyle w:val="Hyperlink"/>
                                  <w:rFonts w:ascii="Aptos" w:hAnsi="Aptos"/>
                                  <w:u w:val="none"/>
                                </w:rPr>
                                <w:t>e</w:t>
                              </w:r>
                              <w:r w:rsidR="00284332" w:rsidRPr="00AC3C45">
                                <w:rPr>
                                  <w:rStyle w:val="Hyperlink"/>
                                  <w:rFonts w:ascii="Aptos" w:hAnsi="Aptos"/>
                                  <w:u w:val="none"/>
                                </w:rPr>
                                <w:t>ria Guidelines</w:t>
                              </w:r>
                            </w:hyperlink>
                            <w:r w:rsidR="00284332" w:rsidRPr="00AC3C45">
                              <w:rPr>
                                <w:rFonts w:ascii="Aptos" w:hAnsi="Aptos"/>
                                <w:color w:val="000000" w:themeColor="text1"/>
                              </w:rPr>
                              <w:t xml:space="preserve"> for more detail.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F9F6E3" id="Rectangle 1" o:spid="_x0000_s1026" style="position:absolute;margin-left:0;margin-top:8.35pt;width:448.5pt;height:179.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" fillcolor="#cfd1c5 [831]" stroked="f" strokeweight="1pt">
                <v:textbox>
                  <w:txbxContent>
                    <w:p w14:paraId="0643B70D" w14:textId="00B0C93F" w:rsidR="00D51429" w:rsidRPr="00AC3C45" w:rsidRDefault="00D51429" w:rsidP="00D51429">
                      <w:pPr>
                        <w:jc w:val="center"/>
                        <w:rPr>
                          <w:rFonts w:ascii="Aptos" w:hAnsi="Aptos"/>
                          <w:color w:val="0D0D0D" w:themeColor="text1" w:themeTint="F2"/>
                        </w:rPr>
                      </w:pPr>
                      <w:r w:rsidRPr="00AC3C45">
                        <w:rPr>
                          <w:rFonts w:ascii="Aptos" w:hAnsi="Aptos"/>
                          <w:color w:val="0D0D0D" w:themeColor="text1" w:themeTint="F2"/>
                        </w:rPr>
                        <w:t xml:space="preserve">WH14 is focused on the documented processes a company has developed to support </w:t>
                      </w:r>
                      <w:r w:rsidR="005A3CB0">
                        <w:rPr>
                          <w:rFonts w:ascii="Aptos" w:hAnsi="Aptos"/>
                          <w:color w:val="0D0D0D" w:themeColor="text1" w:themeTint="F2"/>
                        </w:rPr>
                        <w:t>workers</w:t>
                      </w:r>
                      <w:r w:rsidRPr="00AC3C45">
                        <w:rPr>
                          <w:rFonts w:ascii="Aptos" w:hAnsi="Aptos"/>
                          <w:color w:val="0D0D0D" w:themeColor="text1" w:themeTint="F2"/>
                        </w:rPr>
                        <w:t xml:space="preserve"> who may be exposed to health hazards on site. This guidance refers to common issues typically found by Federal Safety Officers in audits relating to WH14.1 to WH14.3</w:t>
                      </w:r>
                      <w:r w:rsidR="001F438B">
                        <w:rPr>
                          <w:rFonts w:ascii="Aptos" w:hAnsi="Aptos"/>
                          <w:color w:val="0D0D0D" w:themeColor="text1" w:themeTint="F2"/>
                        </w:rPr>
                        <w:t>,</w:t>
                      </w:r>
                      <w:r w:rsidRPr="00AC3C45">
                        <w:rPr>
                          <w:rFonts w:ascii="Aptos" w:hAnsi="Aptos"/>
                          <w:color w:val="0D0D0D" w:themeColor="text1" w:themeTint="F2"/>
                        </w:rPr>
                        <w:t xml:space="preserve"> outlines best-practice processes and includes high level examples of improvements that may assist companies to improve their practices. A detailed flowchart on the best practice steps is available at our </w:t>
                      </w:r>
                      <w:hyperlink r:id="rId14" w:history="1">
                        <w:r w:rsidRPr="00AA4784">
                          <w:rPr>
                            <w:rStyle w:val="Hyperlink"/>
                            <w:rFonts w:ascii="Aptos" w:hAnsi="Aptos"/>
                          </w:rPr>
                          <w:t>website</w:t>
                        </w:r>
                      </w:hyperlink>
                      <w:r w:rsidRPr="00AA4784">
                        <w:rPr>
                          <w:rFonts w:ascii="Aptos" w:hAnsi="Aptos"/>
                          <w:color w:val="0D0D0D" w:themeColor="text1" w:themeTint="F2"/>
                        </w:rPr>
                        <w:t>.</w:t>
                      </w:r>
                    </w:p>
                    <w:p w14:paraId="61D63776" w14:textId="13C268F1" w:rsidR="00BE2426" w:rsidRPr="00AC3C45" w:rsidRDefault="00D51429" w:rsidP="00D51429">
                      <w:pPr>
                        <w:jc w:val="center"/>
                        <w:rPr>
                          <w:rFonts w:ascii="Aptos" w:hAnsi="Aptos"/>
                          <w:color w:val="000000" w:themeColor="text1"/>
                        </w:rPr>
                      </w:pPr>
                      <w:r w:rsidRPr="00AC3C45">
                        <w:rPr>
                          <w:rFonts w:ascii="Aptos" w:hAnsi="Aptos"/>
                          <w:color w:val="0D0D0D" w:themeColor="text1" w:themeTint="F2"/>
                        </w:rPr>
                        <w:t>This document is for information only and does not prescribe one-size-fits-all requirements for meeting WH14. Other solutions may be more appropriate depending on a company’s specific operating environment – refer to the</w:t>
                      </w:r>
                      <w:r w:rsidR="00284332" w:rsidRPr="00AC3C45">
                        <w:rPr>
                          <w:rFonts w:ascii="Aptos" w:hAnsi="Aptos"/>
                          <w:color w:val="000000" w:themeColor="text1"/>
                        </w:rPr>
                        <w:t xml:space="preserve"> </w:t>
                      </w:r>
                      <w:hyperlink r:id="rId15" w:anchor="s" w:history="1">
                        <w:r w:rsidR="00284332" w:rsidRPr="00AC3C45">
                          <w:rPr>
                            <w:rStyle w:val="Hyperlink"/>
                            <w:rFonts w:ascii="Aptos" w:hAnsi="Aptos"/>
                            <w:u w:val="none"/>
                          </w:rPr>
                          <w:t>Audit Crit</w:t>
                        </w:r>
                        <w:r w:rsidR="00284332" w:rsidRPr="00AC3C45">
                          <w:rPr>
                            <w:rStyle w:val="Hyperlink"/>
                            <w:rFonts w:ascii="Aptos" w:hAnsi="Aptos"/>
                            <w:u w:val="none"/>
                          </w:rPr>
                          <w:t>e</w:t>
                        </w:r>
                        <w:r w:rsidR="00284332" w:rsidRPr="00AC3C45">
                          <w:rPr>
                            <w:rStyle w:val="Hyperlink"/>
                            <w:rFonts w:ascii="Aptos" w:hAnsi="Aptos"/>
                            <w:u w:val="none"/>
                          </w:rPr>
                          <w:t>ria Guidelines</w:t>
                        </w:r>
                      </w:hyperlink>
                      <w:r w:rsidR="00284332" w:rsidRPr="00AC3C45">
                        <w:rPr>
                          <w:rFonts w:ascii="Aptos" w:hAnsi="Aptos"/>
                          <w:color w:val="000000" w:themeColor="text1"/>
                        </w:rPr>
                        <w:t xml:space="preserve"> for more detail.</w:t>
                      </w:r>
                    </w:p>
                  </w:txbxContent>
                </v:textbox>
                <w10:wrap anchorx="margin"/>
              </v:rect>
            </w:pict>
          </mc:Fallback>
        </mc:AlternateContent>
      </w:r>
    </w:p>
    <w:p w14:paraId="1CDCDABB" w14:textId="618A9AF6" w:rsidR="004F56E7" w:rsidRDefault="004F56E7" w:rsidP="004F56E7"/>
    <w:p w14:paraId="60DF2B01" w14:textId="11C29B09" w:rsidR="004F56E7" w:rsidRDefault="004F56E7" w:rsidP="004F56E7"/>
    <w:p w14:paraId="468E3F7D" w14:textId="77777777" w:rsidR="004F56E7" w:rsidRDefault="004F56E7" w:rsidP="004F56E7"/>
    <w:p w14:paraId="12E569A5" w14:textId="2910AC6D" w:rsidR="004F56E7" w:rsidRDefault="004F56E7" w:rsidP="004F56E7"/>
    <w:p w14:paraId="1547F95A" w14:textId="77777777" w:rsidR="004F56E7" w:rsidRDefault="004F56E7" w:rsidP="004F56E7"/>
    <w:p w14:paraId="76A4346C" w14:textId="77777777" w:rsidR="00284332" w:rsidRPr="009A2AC1" w:rsidRDefault="00284332" w:rsidP="00C62083">
      <w:pPr>
        <w:pStyle w:val="Subtitle"/>
        <w:rPr>
          <w:b/>
          <w:bCs/>
          <w:sz w:val="22"/>
          <w:szCs w:val="12"/>
        </w:rPr>
      </w:pPr>
    </w:p>
    <w:p w14:paraId="5824269D" w14:textId="77777777" w:rsidR="001E74B4" w:rsidRDefault="001E74B4" w:rsidP="00C62083">
      <w:pPr>
        <w:pStyle w:val="Subtitle"/>
        <w:rPr>
          <w:b/>
          <w:bCs/>
        </w:rPr>
      </w:pPr>
    </w:p>
    <w:p w14:paraId="5FD37592" w14:textId="4AC0D35C" w:rsidR="007C3FC0" w:rsidRDefault="007C3FC0" w:rsidP="54575447">
      <w:pPr>
        <w:pStyle w:val="Subtitle"/>
        <w:rPr>
          <w:b/>
          <w:bCs/>
        </w:rPr>
      </w:pPr>
    </w:p>
    <w:p w14:paraId="2C2FD3F4" w14:textId="33E99462" w:rsidR="007C3FC0" w:rsidRDefault="00BD45DD" w:rsidP="54575447">
      <w:r>
        <w:br w:type="page"/>
      </w:r>
    </w:p>
    <w:p w14:paraId="5BED3989" w14:textId="36D3672F" w:rsidR="007C3FC0" w:rsidRDefault="001E74B4" w:rsidP="54575447">
      <w:pPr>
        <w:pStyle w:val="Subtitle"/>
        <w:rPr>
          <w:b/>
          <w:bCs/>
        </w:rPr>
      </w:pPr>
      <w:r w:rsidRPr="3DFE7FD9">
        <w:rPr>
          <w:b/>
          <w:bCs/>
        </w:rPr>
        <w:lastRenderedPageBreak/>
        <w:t>Summary Overview of the Occupational Hygiene Lifecycle</w:t>
      </w:r>
      <w:r w:rsidR="00822BE1" w:rsidRPr="3DFE7FD9">
        <w:rPr>
          <w:b/>
          <w:bCs/>
        </w:rPr>
        <w:t xml:space="preserve"> (WH14.1 – WH14.3)</w:t>
      </w:r>
    </w:p>
    <w:p w14:paraId="2F24F9E7" w14:textId="06E003D2" w:rsidR="007C3FC0" w:rsidRDefault="00E01D82" w:rsidP="54575447">
      <w:pPr>
        <w:pStyle w:val="Subtitle"/>
        <w:spacing w:before="240"/>
        <w:rPr>
          <w:b/>
          <w:bCs/>
        </w:rPr>
      </w:pPr>
      <w:r>
        <w:rPr>
          <w:noProof/>
        </w:rPr>
        <w:drawing>
          <wp:anchor distT="0" distB="0" distL="114300" distR="114300" simplePos="0" relativeHeight="251658240" behindDoc="0" locked="0" layoutInCell="1" allowOverlap="1" wp14:anchorId="1827D093" wp14:editId="708DFF8E">
            <wp:simplePos x="0" y="0"/>
            <wp:positionH relativeFrom="column">
              <wp:posOffset>-632134</wp:posOffset>
            </wp:positionH>
            <wp:positionV relativeFrom="paragraph">
              <wp:posOffset>89329</wp:posOffset>
            </wp:positionV>
            <wp:extent cx="6923273" cy="2951267"/>
            <wp:effectExtent l="0" t="0" r="0" b="0"/>
            <wp:wrapNone/>
            <wp:docPr id="518660467" name="drawing">
              <a:extLst xmlns:a="http://schemas.openxmlformats.org/drawingml/2006/main">
                <a:ext uri="{FF2B5EF4-FFF2-40B4-BE49-F238E27FC236}">
                  <a16:creationId xmlns:a16="http://schemas.microsoft.com/office/drawing/2014/main" id="{E4BE85C3-6048-4490-92F3-8C25A5B51E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60467" name="Picture 518660467"/>
                    <pic:cNvPicPr/>
                  </pic:nvPicPr>
                  <pic:blipFill>
                    <a:blip r:embed="rId16">
                      <a:extLst>
                        <a:ext uri="{28A0092B-C50C-407E-A947-70E740481C1C}">
                          <a14:useLocalDpi xmlns:a14="http://schemas.microsoft.com/office/drawing/2010/main"/>
                        </a:ext>
                      </a:extLst>
                    </a:blip>
                    <a:stretch>
                      <a:fillRect/>
                    </a:stretch>
                  </pic:blipFill>
                  <pic:spPr>
                    <a:xfrm>
                      <a:off x="0" y="0"/>
                      <a:ext cx="6957147" cy="2965707"/>
                    </a:xfrm>
                    <a:prstGeom prst="rect">
                      <a:avLst/>
                    </a:prstGeom>
                  </pic:spPr>
                </pic:pic>
              </a:graphicData>
            </a:graphic>
            <wp14:sizeRelH relativeFrom="page">
              <wp14:pctWidth>0</wp14:pctWidth>
            </wp14:sizeRelH>
            <wp14:sizeRelV relativeFrom="page">
              <wp14:pctHeight>0</wp14:pctHeight>
            </wp14:sizeRelV>
          </wp:anchor>
        </w:drawing>
      </w:r>
    </w:p>
    <w:p w14:paraId="546D07BB" w14:textId="431CBC23" w:rsidR="007C3FC0" w:rsidRDefault="007C3FC0" w:rsidP="54575447">
      <w:pPr>
        <w:pStyle w:val="Subtitle"/>
        <w:spacing w:before="240"/>
        <w:rPr>
          <w:b/>
          <w:bCs/>
        </w:rPr>
      </w:pPr>
    </w:p>
    <w:p w14:paraId="6849AF9F" w14:textId="2DED910C" w:rsidR="00EC10BC" w:rsidRDefault="00EC10BC" w:rsidP="54575447">
      <w:pPr>
        <w:pStyle w:val="Subtitle"/>
        <w:spacing w:before="240"/>
        <w:rPr>
          <w:b/>
          <w:bCs/>
        </w:rPr>
      </w:pPr>
    </w:p>
    <w:p w14:paraId="00126DE9" w14:textId="2BBEC5B9" w:rsidR="21C5CCBC" w:rsidRDefault="21C5CCBC" w:rsidP="21C5CCBC">
      <w:pPr>
        <w:pStyle w:val="Subtitle"/>
        <w:spacing w:before="240"/>
        <w:rPr>
          <w:b/>
          <w:bCs/>
        </w:rPr>
      </w:pPr>
    </w:p>
    <w:p w14:paraId="34AB9190" w14:textId="0593CDD9" w:rsidR="21C5CCBC" w:rsidRDefault="21C5CCBC" w:rsidP="21C5CCBC">
      <w:pPr>
        <w:pStyle w:val="Subtitle"/>
        <w:spacing w:before="240"/>
        <w:rPr>
          <w:b/>
          <w:bCs/>
        </w:rPr>
      </w:pPr>
    </w:p>
    <w:p w14:paraId="5E299F4E" w14:textId="21903940" w:rsidR="1F2F0DB8" w:rsidRDefault="1F2F0DB8" w:rsidP="1F2F0DB8">
      <w:pPr>
        <w:pStyle w:val="Subtitle"/>
        <w:spacing w:before="240"/>
        <w:rPr>
          <w:b/>
          <w:bCs/>
        </w:rPr>
      </w:pPr>
    </w:p>
    <w:p w14:paraId="0C4EB97A" w14:textId="3468FFD0" w:rsidR="00EC10BC" w:rsidRDefault="40263736" w:rsidP="1F2F0DB8">
      <w:pPr>
        <w:pStyle w:val="Subtitle"/>
        <w:spacing w:before="240"/>
      </w:pPr>
      <w:r w:rsidRPr="1F2F0DB8">
        <w:rPr>
          <w:b/>
          <w:bCs/>
        </w:rPr>
        <w:t>W</w:t>
      </w:r>
      <w:r w:rsidR="0FBA7A83" w:rsidRPr="1F2F0DB8">
        <w:rPr>
          <w:b/>
          <w:bCs/>
        </w:rPr>
        <w:t>H</w:t>
      </w:r>
      <w:r w:rsidR="0950A618" w:rsidRPr="1F2F0DB8">
        <w:rPr>
          <w:b/>
          <w:bCs/>
        </w:rPr>
        <w:t>1</w:t>
      </w:r>
      <w:r w:rsidR="25CE71DF" w:rsidRPr="1F2F0DB8">
        <w:rPr>
          <w:b/>
          <w:bCs/>
        </w:rPr>
        <w:t>4</w:t>
      </w:r>
      <w:r w:rsidR="3E6BE752" w:rsidRPr="1F2F0DB8">
        <w:rPr>
          <w:b/>
          <w:bCs/>
        </w:rPr>
        <w:t>.1</w:t>
      </w:r>
    </w:p>
    <w:p w14:paraId="10E96E6F" w14:textId="77777777" w:rsidR="00B15E18" w:rsidRPr="00B15E18" w:rsidRDefault="00B15E18" w:rsidP="00B15E18">
      <w:pPr>
        <w:pStyle w:val="Subtitle"/>
        <w:spacing w:after="240"/>
        <w:rPr>
          <w:sz w:val="32"/>
          <w:szCs w:val="18"/>
        </w:rPr>
      </w:pPr>
      <w:r w:rsidRPr="00B15E18">
        <w:rPr>
          <w:sz w:val="32"/>
          <w:szCs w:val="18"/>
        </w:rPr>
        <w:t>There is a documented process to ensure a competent person completes a site-specific assessment of potential health hazards, which may include:</w:t>
      </w:r>
    </w:p>
    <w:p w14:paraId="663E43EE" w14:textId="77777777" w:rsidR="00B15E18" w:rsidRPr="00B15E18" w:rsidRDefault="00B15E18" w:rsidP="00B15E18">
      <w:pPr>
        <w:pStyle w:val="Subtitle"/>
        <w:numPr>
          <w:ilvl w:val="0"/>
          <w:numId w:val="27"/>
        </w:numPr>
        <w:rPr>
          <w:sz w:val="32"/>
          <w:szCs w:val="18"/>
        </w:rPr>
      </w:pPr>
      <w:r w:rsidRPr="00B15E18">
        <w:rPr>
          <w:sz w:val="32"/>
          <w:szCs w:val="18"/>
        </w:rPr>
        <w:t>biological;</w:t>
      </w:r>
    </w:p>
    <w:p w14:paraId="7DC0F6B8" w14:textId="77777777" w:rsidR="00B15E18" w:rsidRPr="00B15E18" w:rsidRDefault="00B15E18" w:rsidP="00B15E18">
      <w:pPr>
        <w:pStyle w:val="Subtitle"/>
        <w:numPr>
          <w:ilvl w:val="0"/>
          <w:numId w:val="27"/>
        </w:numPr>
        <w:rPr>
          <w:sz w:val="32"/>
          <w:szCs w:val="18"/>
        </w:rPr>
      </w:pPr>
      <w:r w:rsidRPr="00B15E18">
        <w:rPr>
          <w:sz w:val="32"/>
          <w:szCs w:val="18"/>
        </w:rPr>
        <w:t>physical; and</w:t>
      </w:r>
    </w:p>
    <w:p w14:paraId="6EC5FB4F" w14:textId="77777777" w:rsidR="00B15E18" w:rsidRPr="00B15E18" w:rsidRDefault="08F8575B" w:rsidP="4E5603CD">
      <w:pPr>
        <w:pStyle w:val="Subtitle"/>
        <w:numPr>
          <w:ilvl w:val="0"/>
          <w:numId w:val="27"/>
        </w:numPr>
        <w:rPr>
          <w:sz w:val="32"/>
          <w:szCs w:val="32"/>
        </w:rPr>
      </w:pPr>
      <w:r w:rsidRPr="5FEFED48">
        <w:rPr>
          <w:sz w:val="32"/>
          <w:szCs w:val="32"/>
        </w:rPr>
        <w:t>chemical/atmospheric contaminants.</w:t>
      </w:r>
    </w:p>
    <w:p w14:paraId="7DF4A5C2" w14:textId="3A2515FF" w:rsidR="398A7796" w:rsidRDefault="398A7796" w:rsidP="009B7BA7">
      <w:pPr>
        <w:spacing w:after="120"/>
      </w:pPr>
    </w:p>
    <w:p w14:paraId="57FAA94C" w14:textId="3A7BEC10" w:rsidR="00575267" w:rsidRDefault="00AC5420" w:rsidP="6F87DC36">
      <w:pPr>
        <w:pStyle w:val="Heading1"/>
        <w:spacing w:before="0" w:after="240"/>
        <w:rPr>
          <w:sz w:val="24"/>
          <w:szCs w:val="24"/>
        </w:rPr>
      </w:pPr>
      <w:r w:rsidRPr="6F87DC36">
        <w:rPr>
          <w:sz w:val="24"/>
          <w:szCs w:val="24"/>
        </w:rPr>
        <w:t>Key steps</w:t>
      </w:r>
    </w:p>
    <w:p w14:paraId="6F0AFAC7" w14:textId="10EC6D39" w:rsidR="00731F74" w:rsidRDefault="006A6F51" w:rsidP="00C14A68">
      <w:pPr>
        <w:tabs>
          <w:tab w:val="num" w:pos="2552"/>
        </w:tabs>
      </w:pPr>
      <w:r>
        <w:t xml:space="preserve">The documented process needs to outline the approach for </w:t>
      </w:r>
      <w:proofErr w:type="gramStart"/>
      <w:r>
        <w:t>conducting an assessment of</w:t>
      </w:r>
      <w:proofErr w:type="gramEnd"/>
      <w:r>
        <w:t xml:space="preserve"> potential health hazards on site prior to project commencement. </w:t>
      </w:r>
      <w:r w:rsidR="0073641B">
        <w:t>The assessment should i</w:t>
      </w:r>
      <w:r w:rsidR="001934F9" w:rsidRPr="001934F9">
        <w:t xml:space="preserve">dentify potential health hazards as part of the project scope of works, including those that may affect contractors. </w:t>
      </w:r>
      <w:r w:rsidR="00663AAF">
        <w:t>It c</w:t>
      </w:r>
      <w:r w:rsidR="00731F74">
        <w:t>onsider</w:t>
      </w:r>
      <w:r w:rsidR="00663AAF">
        <w:t>s</w:t>
      </w:r>
      <w:r w:rsidR="00731F74">
        <w:t xml:space="preserve"> how work will be carried out and what health hazards may arise from equipment, plant, materials used, the work environment and activities.</w:t>
      </w:r>
    </w:p>
    <w:p w14:paraId="619FB506" w14:textId="0A30229A" w:rsidR="008F2E4E" w:rsidRDefault="00286A66" w:rsidP="00C14A68">
      <w:pPr>
        <w:tabs>
          <w:tab w:val="num" w:pos="2552"/>
        </w:tabs>
      </w:pPr>
      <w:r>
        <w:t>Because</w:t>
      </w:r>
      <w:r w:rsidR="006F1919" w:rsidDel="005D5E9D">
        <w:t xml:space="preserve"> </w:t>
      </w:r>
      <w:r w:rsidR="006F1919">
        <w:t>assessment</w:t>
      </w:r>
      <w:r w:rsidR="005D5E9D">
        <w:t>s</w:t>
      </w:r>
      <w:r w:rsidR="006F1919">
        <w:t xml:space="preserve"> under this subcriteria need to be site-specific</w:t>
      </w:r>
      <w:r w:rsidR="00E83B67">
        <w:t xml:space="preserve">, they are often </w:t>
      </w:r>
      <w:r w:rsidR="007856C7">
        <w:t xml:space="preserve">undertaken </w:t>
      </w:r>
      <w:r w:rsidR="00E83B67">
        <w:t>as part of a project risk assessment</w:t>
      </w:r>
      <w:r w:rsidR="00B46236">
        <w:t>, a health risk assessment, or a more specific hazard risk assessment for sites with more complex hazards.</w:t>
      </w:r>
    </w:p>
    <w:p w14:paraId="77FF9D86" w14:textId="32E3A0E1" w:rsidR="00FE2CE3" w:rsidRDefault="31ECF048" w:rsidP="00C14A68">
      <w:pPr>
        <w:tabs>
          <w:tab w:val="num" w:pos="2552"/>
        </w:tabs>
      </w:pPr>
      <w:r>
        <w:t xml:space="preserve">When undertaking </w:t>
      </w:r>
      <w:r w:rsidR="6ED23510">
        <w:t xml:space="preserve">an assessment process to meet this </w:t>
      </w:r>
      <w:r w:rsidR="45324EAB">
        <w:t>criterion</w:t>
      </w:r>
      <w:r w:rsidR="6ED23510">
        <w:t xml:space="preserve">, the ideal steps are: </w:t>
      </w:r>
    </w:p>
    <w:p w14:paraId="21519650" w14:textId="695FDB87" w:rsidR="00AC5420" w:rsidRDefault="21F50284" w:rsidP="00AC5420">
      <w:pPr>
        <w:pStyle w:val="ListParagraph"/>
        <w:numPr>
          <w:ilvl w:val="0"/>
          <w:numId w:val="47"/>
        </w:numPr>
        <w:tabs>
          <w:tab w:val="num" w:pos="2552"/>
        </w:tabs>
      </w:pPr>
      <w:r w:rsidRPr="1BBBCC69">
        <w:rPr>
          <w:b/>
          <w:bCs/>
        </w:rPr>
        <w:lastRenderedPageBreak/>
        <w:t>Step 1</w:t>
      </w:r>
      <w:r>
        <w:t xml:space="preserve"> </w:t>
      </w:r>
      <w:r w:rsidR="00F10B2C">
        <w:t>–</w:t>
      </w:r>
      <w:r>
        <w:t xml:space="preserve"> </w:t>
      </w:r>
      <w:r w:rsidR="00F10B2C">
        <w:t>Record in the assessment</w:t>
      </w:r>
      <w:r>
        <w:t xml:space="preserve"> </w:t>
      </w:r>
      <w:r w:rsidR="001E0B27">
        <w:t>who is identified in the WH</w:t>
      </w:r>
      <w:r w:rsidR="00AF3DF2">
        <w:t xml:space="preserve">S management system as </w:t>
      </w:r>
      <w:r>
        <w:t xml:space="preserve">a </w:t>
      </w:r>
      <w:r w:rsidR="009F1457">
        <w:t>‘</w:t>
      </w:r>
      <w:r>
        <w:t>competent</w:t>
      </w:r>
      <w:r w:rsidR="009F1457">
        <w:t>’</w:t>
      </w:r>
      <w:r>
        <w:t xml:space="preserve"> person (suitably skilled and knowledgeable) to either perform the assessment or create an assessment tool</w:t>
      </w:r>
      <w:r w:rsidR="6FD24B06">
        <w:t xml:space="preserve"> or </w:t>
      </w:r>
      <w:r>
        <w:t>process for others to use.</w:t>
      </w:r>
      <w:r w:rsidR="00C17502">
        <w:t xml:space="preserve"> </w:t>
      </w:r>
    </w:p>
    <w:p w14:paraId="52004085" w14:textId="027382E3" w:rsidR="00AC5420" w:rsidRDefault="21F50284" w:rsidP="00AC5420">
      <w:pPr>
        <w:pStyle w:val="ListParagraph"/>
        <w:numPr>
          <w:ilvl w:val="0"/>
          <w:numId w:val="47"/>
        </w:numPr>
        <w:tabs>
          <w:tab w:val="num" w:pos="2552"/>
        </w:tabs>
      </w:pPr>
      <w:r w:rsidRPr="398A7796">
        <w:rPr>
          <w:b/>
          <w:bCs/>
        </w:rPr>
        <w:t>Step 2</w:t>
      </w:r>
      <w:r>
        <w:t xml:space="preserve"> </w:t>
      </w:r>
      <w:r w:rsidR="00F10B2C">
        <w:t>–</w:t>
      </w:r>
      <w:r>
        <w:t xml:space="preserve"> </w:t>
      </w:r>
      <w:r w:rsidR="00F10B2C">
        <w:t>Record in the assessment</w:t>
      </w:r>
      <w:r>
        <w:t xml:space="preserve"> all potential health hazards and their causes </w:t>
      </w:r>
      <w:r w:rsidR="2B3E0470">
        <w:t xml:space="preserve">that are </w:t>
      </w:r>
      <w:r>
        <w:t>specific to the company's activities</w:t>
      </w:r>
      <w:r w:rsidR="005256B5">
        <w:t xml:space="preserve"> </w:t>
      </w:r>
      <w:r w:rsidR="00D5619E">
        <w:t xml:space="preserve">and work environments including </w:t>
      </w:r>
      <w:r>
        <w:t xml:space="preserve">biological, physical and chemical/atmospheric </w:t>
      </w:r>
      <w:r w:rsidR="00D5619E">
        <w:t>exposures</w:t>
      </w:r>
      <w:r>
        <w:t xml:space="preserve"> (</w:t>
      </w:r>
      <w:r w:rsidR="001C1ABC">
        <w:t>for example,</w:t>
      </w:r>
      <w:r>
        <w:t xml:space="preserve"> bloodborne viruses, noise-induced hearing loss, asbestos, respirable crystalline silica).</w:t>
      </w:r>
    </w:p>
    <w:p w14:paraId="6EB816C4" w14:textId="557C4AE1" w:rsidR="00AC5420" w:rsidRDefault="00AC5420" w:rsidP="00AC5420">
      <w:pPr>
        <w:pStyle w:val="ListParagraph"/>
        <w:numPr>
          <w:ilvl w:val="0"/>
          <w:numId w:val="47"/>
        </w:numPr>
        <w:tabs>
          <w:tab w:val="num" w:pos="2552"/>
        </w:tabs>
      </w:pPr>
      <w:r w:rsidRPr="00AC5420">
        <w:rPr>
          <w:b/>
          <w:bCs/>
        </w:rPr>
        <w:t>Step 3</w:t>
      </w:r>
      <w:r>
        <w:t xml:space="preserve"> </w:t>
      </w:r>
      <w:r w:rsidR="007E0AA2">
        <w:t>–</w:t>
      </w:r>
      <w:r>
        <w:t xml:space="preserve"> </w:t>
      </w:r>
      <w:r w:rsidR="007E0AA2">
        <w:t>Record in the assessment</w:t>
      </w:r>
      <w:r>
        <w:t xml:space="preserve"> which work group(s) each hazard affects, so broader or more targeted risk management strategies can be applied.</w:t>
      </w:r>
    </w:p>
    <w:p w14:paraId="28593ADC" w14:textId="2C49873D" w:rsidR="00AC5420" w:rsidRDefault="4A8C7EE3" w:rsidP="0099766B">
      <w:pPr>
        <w:pStyle w:val="ListParagraph"/>
        <w:numPr>
          <w:ilvl w:val="0"/>
          <w:numId w:val="47"/>
        </w:numPr>
        <w:spacing w:after="0" w:line="300" w:lineRule="auto"/>
        <w:ind w:left="714" w:hanging="357"/>
      </w:pPr>
      <w:r w:rsidRPr="01E2E9AD">
        <w:rPr>
          <w:b/>
          <w:bCs/>
        </w:rPr>
        <w:t>Step 4</w:t>
      </w:r>
      <w:r>
        <w:t xml:space="preserve"> - </w:t>
      </w:r>
      <w:r w:rsidR="007E0AA2">
        <w:t>Record in the assessment</w:t>
      </w:r>
      <w:r>
        <w:t xml:space="preserve"> </w:t>
      </w:r>
      <w:r w:rsidR="00C65133">
        <w:t xml:space="preserve">the </w:t>
      </w:r>
      <w:r>
        <w:t>controls to eliminate, or where not practicable, minimise the risk (</w:t>
      </w:r>
      <w:r w:rsidR="001A361E">
        <w:t>for example,</w:t>
      </w:r>
      <w:r>
        <w:t xml:space="preserve"> eliminating hazards through design choices, and hazard-specific control approaches for biological, manual handling, noise and airborne contaminant risks</w:t>
      </w:r>
      <w:r w:rsidRPr="00E1771F">
        <w:rPr>
          <w:rFonts w:ascii="Aptos" w:eastAsia="Aptos" w:hAnsi="Aptos" w:cs="Aptos"/>
        </w:rPr>
        <w:t>).</w:t>
      </w:r>
      <w:r w:rsidR="677DFAF9" w:rsidRPr="00E1771F">
        <w:rPr>
          <w:rFonts w:ascii="Aptos" w:eastAsia="Aptos" w:hAnsi="Aptos" w:cs="Aptos"/>
        </w:rPr>
        <w:t xml:space="preserve"> </w:t>
      </w:r>
    </w:p>
    <w:p w14:paraId="7FD32508" w14:textId="65BEC5A3" w:rsidR="00AC5420" w:rsidRDefault="4A8C7EE3" w:rsidP="0099766B">
      <w:pPr>
        <w:pStyle w:val="ListParagraph"/>
        <w:numPr>
          <w:ilvl w:val="0"/>
          <w:numId w:val="47"/>
        </w:numPr>
        <w:tabs>
          <w:tab w:val="num" w:pos="2552"/>
        </w:tabs>
        <w:ind w:left="714" w:hanging="357"/>
      </w:pPr>
      <w:r>
        <w:t xml:space="preserve"> </w:t>
      </w:r>
      <w:r w:rsidR="21F50284" w:rsidRPr="6F87DC36">
        <w:rPr>
          <w:b/>
          <w:bCs/>
        </w:rPr>
        <w:t>Step 5</w:t>
      </w:r>
      <w:r w:rsidR="21F50284">
        <w:t xml:space="preserve"> </w:t>
      </w:r>
      <w:r w:rsidR="009B7BA7">
        <w:t>–</w:t>
      </w:r>
      <w:r w:rsidR="21F50284">
        <w:t xml:space="preserve"> Confirm</w:t>
      </w:r>
      <w:r w:rsidR="009B7BA7">
        <w:t xml:space="preserve"> in the assessment</w:t>
      </w:r>
      <w:r w:rsidR="21F50284">
        <w:t xml:space="preserve"> the company and its subcontractors have controls in place for identified health hazards, covering site</w:t>
      </w:r>
      <w:r w:rsidR="1F43BCCE">
        <w:t>-wide</w:t>
      </w:r>
      <w:r w:rsidR="21F50284">
        <w:t xml:space="preserve"> controls (</w:t>
      </w:r>
      <w:r w:rsidR="007A003E">
        <w:t>for example,</w:t>
      </w:r>
      <w:r w:rsidR="21F50284">
        <w:t xml:space="preserve"> PPE, sunscreen), task-specific controls (</w:t>
      </w:r>
      <w:r w:rsidR="007A003E">
        <w:t>for example,</w:t>
      </w:r>
      <w:r w:rsidR="21F50284">
        <w:t xml:space="preserve"> manual handling), and evidence of exposure monitoring where relevant.</w:t>
      </w:r>
      <w:r w:rsidR="00C5630D">
        <w:t xml:space="preserve"> Include routine controls already in place and any additional site-based controls to be used.</w:t>
      </w:r>
      <w:r w:rsidR="00E909AE">
        <w:t xml:space="preserve"> </w:t>
      </w:r>
      <w:r w:rsidR="00E909AE" w:rsidRPr="00F06E3A">
        <w:t>During the subcontractor tender process, interview questions can be used to confirm subcontractors understand of the management of health hazards and that they have established safe systems of work to manage these hazards.</w:t>
      </w:r>
    </w:p>
    <w:p w14:paraId="62409BCA" w14:textId="572FB657" w:rsidR="00AC5420" w:rsidRDefault="00AC5420" w:rsidP="0099766B">
      <w:pPr>
        <w:pStyle w:val="ListParagraph"/>
        <w:numPr>
          <w:ilvl w:val="0"/>
          <w:numId w:val="47"/>
        </w:numPr>
        <w:tabs>
          <w:tab w:val="num" w:pos="2552"/>
        </w:tabs>
        <w:ind w:left="714" w:hanging="357"/>
      </w:pPr>
      <w:r w:rsidRPr="6F87DC36">
        <w:rPr>
          <w:b/>
          <w:bCs/>
        </w:rPr>
        <w:t>Step 6</w:t>
      </w:r>
      <w:r>
        <w:t xml:space="preserve"> </w:t>
      </w:r>
      <w:r w:rsidR="009B7BA7">
        <w:t>–</w:t>
      </w:r>
      <w:r>
        <w:t xml:space="preserve"> Determine</w:t>
      </w:r>
      <w:r w:rsidR="009B7BA7">
        <w:t xml:space="preserve"> and record in the assessment</w:t>
      </w:r>
      <w:r>
        <w:t xml:space="preserve"> training needs, </w:t>
      </w:r>
      <w:r w:rsidR="006856DE">
        <w:t xml:space="preserve">including any </w:t>
      </w:r>
      <w:r>
        <w:t>jurisdiction-specific mandatory courses (</w:t>
      </w:r>
      <w:r w:rsidR="007A003E">
        <w:t>for example,</w:t>
      </w:r>
      <w:r>
        <w:t xml:space="preserve"> 11084NAT Asbestos Awareness, 10830NAT Crystalline Silica Exposure Prevention).</w:t>
      </w:r>
    </w:p>
    <w:p w14:paraId="5AC9C6F7" w14:textId="12036289" w:rsidR="00FE2CE3" w:rsidRDefault="00AC5420" w:rsidP="0099766B">
      <w:pPr>
        <w:pStyle w:val="ListParagraph"/>
        <w:numPr>
          <w:ilvl w:val="0"/>
          <w:numId w:val="47"/>
        </w:numPr>
        <w:tabs>
          <w:tab w:val="num" w:pos="2552"/>
        </w:tabs>
        <w:ind w:left="714" w:hanging="357"/>
      </w:pPr>
      <w:r w:rsidRPr="00AC5420">
        <w:rPr>
          <w:b/>
          <w:bCs/>
        </w:rPr>
        <w:t>Final step</w:t>
      </w:r>
      <w:r>
        <w:t xml:space="preserve"> - Review control measures to confirm they remain effective and consistent with the documented safe system of work.</w:t>
      </w:r>
    </w:p>
    <w:p w14:paraId="779CF8A3" w14:textId="6DDFCAC6" w:rsidR="00D775A6" w:rsidRDefault="00D775A6" w:rsidP="00D775A6">
      <w:pPr>
        <w:pStyle w:val="Heading1"/>
        <w:spacing w:before="0" w:after="240"/>
        <w:rPr>
          <w:sz w:val="24"/>
          <w:szCs w:val="24"/>
        </w:rPr>
      </w:pPr>
      <w:r w:rsidRPr="5FEFED48">
        <w:rPr>
          <w:sz w:val="24"/>
          <w:szCs w:val="24"/>
        </w:rPr>
        <w:t>Common issues identified at audit</w:t>
      </w:r>
    </w:p>
    <w:p w14:paraId="0BF82E29" w14:textId="06EC4CAE" w:rsidR="008823E4" w:rsidRPr="00CB419E" w:rsidRDefault="00D775A6" w:rsidP="0089269C">
      <w:pPr>
        <w:pStyle w:val="ListParagraph"/>
        <w:numPr>
          <w:ilvl w:val="0"/>
          <w:numId w:val="47"/>
        </w:numPr>
        <w:tabs>
          <w:tab w:val="num" w:pos="2552"/>
        </w:tabs>
        <w:spacing w:after="0"/>
        <w:ind w:left="714" w:hanging="357"/>
        <w:rPr>
          <w:rFonts w:eastAsia="Calibri" w:cs="Arial"/>
        </w:rPr>
      </w:pPr>
      <w:r w:rsidRPr="5FEFED48">
        <w:rPr>
          <w:rFonts w:eastAsia="Calibri" w:cs="Arial"/>
        </w:rPr>
        <w:t>Training in a company's</w:t>
      </w:r>
      <w:r w:rsidR="0055251D">
        <w:rPr>
          <w:rFonts w:eastAsia="Calibri" w:cs="Arial"/>
        </w:rPr>
        <w:t xml:space="preserve"> hazard identification, risk assessment and control</w:t>
      </w:r>
      <w:r w:rsidRPr="5FEFED48">
        <w:rPr>
          <w:rFonts w:eastAsia="Calibri" w:cs="Arial"/>
        </w:rPr>
        <w:t xml:space="preserve"> </w:t>
      </w:r>
      <w:r w:rsidR="0055251D">
        <w:rPr>
          <w:rFonts w:eastAsia="Calibri" w:cs="Arial"/>
        </w:rPr>
        <w:t>(</w:t>
      </w:r>
      <w:r w:rsidRPr="5FEFED48">
        <w:rPr>
          <w:rFonts w:eastAsia="Calibri" w:cs="Arial"/>
        </w:rPr>
        <w:t>HIRAC</w:t>
      </w:r>
      <w:r w:rsidR="0055251D">
        <w:rPr>
          <w:rFonts w:eastAsia="Calibri" w:cs="Arial"/>
        </w:rPr>
        <w:t>)</w:t>
      </w:r>
      <w:r w:rsidRPr="5FEFED48">
        <w:rPr>
          <w:rFonts w:eastAsia="Calibri" w:cs="Arial"/>
        </w:rPr>
        <w:t xml:space="preserve"> process alone does not make a person competent to assess site-specific health hazards.</w:t>
      </w:r>
      <w:r w:rsidRPr="5FEFED48" w:rsidDel="008556B9">
        <w:rPr>
          <w:rFonts w:eastAsia="Calibri" w:cs="Arial"/>
        </w:rPr>
        <w:t xml:space="preserve"> </w:t>
      </w:r>
      <w:r w:rsidR="008823E4">
        <w:t>When nominating a ‘competent’ person, make sure they</w:t>
      </w:r>
      <w:r w:rsidR="00ED2179">
        <w:t xml:space="preserve"> </w:t>
      </w:r>
      <w:proofErr w:type="gramStart"/>
      <w:r w:rsidR="00ED2179">
        <w:t>are capable of producing</w:t>
      </w:r>
      <w:proofErr w:type="gramEnd"/>
      <w:r w:rsidR="00ED2179">
        <w:t xml:space="preserve"> a detailed assessment and</w:t>
      </w:r>
      <w:r w:rsidR="008823E4">
        <w:t xml:space="preserve"> understand potential health hazards in construction</w:t>
      </w:r>
      <w:r w:rsidR="00ED2179">
        <w:t xml:space="preserve"> associated with the company’s activities</w:t>
      </w:r>
      <w:r w:rsidR="008823E4">
        <w:t xml:space="preserve">. Consider who may have this knowledge in the context of your operations and whether you need to seek </w:t>
      </w:r>
      <w:r w:rsidR="008823E4" w:rsidRPr="00450C5A">
        <w:t>external specialist assistance</w:t>
      </w:r>
      <w:r w:rsidR="008823E4">
        <w:t>.</w:t>
      </w:r>
    </w:p>
    <w:p w14:paraId="5F57E8E1" w14:textId="6DED199C" w:rsidR="00450C5A" w:rsidRPr="00042B22" w:rsidRDefault="00D775A6" w:rsidP="0089269C">
      <w:pPr>
        <w:numPr>
          <w:ilvl w:val="0"/>
          <w:numId w:val="47"/>
        </w:numPr>
        <w:tabs>
          <w:tab w:val="num" w:pos="2552"/>
        </w:tabs>
        <w:spacing w:after="0"/>
        <w:ind w:left="714" w:hanging="357"/>
        <w:contextualSpacing/>
        <w:rPr>
          <w:sz w:val="24"/>
          <w:szCs w:val="24"/>
        </w:rPr>
      </w:pPr>
      <w:r w:rsidRPr="00042B22">
        <w:rPr>
          <w:rFonts w:eastAsia="Calibri" w:cs="Arial"/>
        </w:rPr>
        <w:t xml:space="preserve">Site-specific health hazard assessments are often generic </w:t>
      </w:r>
      <w:r w:rsidR="00CA781D" w:rsidRPr="5382EECE">
        <w:rPr>
          <w:rFonts w:eastAsia="Calibri" w:cs="Arial"/>
        </w:rPr>
        <w:t>or</w:t>
      </w:r>
      <w:r w:rsidRPr="00042B22">
        <w:rPr>
          <w:rFonts w:eastAsia="Calibri" w:cs="Arial"/>
        </w:rPr>
        <w:t xml:space="preserve"> broad and fail to identify the specific work groups exposed to those hazards.</w:t>
      </w:r>
      <w:r w:rsidR="00CA781D">
        <w:rPr>
          <w:rFonts w:eastAsia="Calibri" w:cs="Arial"/>
        </w:rPr>
        <w:t xml:space="preserve"> </w:t>
      </w:r>
    </w:p>
    <w:p w14:paraId="0511420F" w14:textId="77777777" w:rsidR="00606262" w:rsidRDefault="00606262">
      <w:pPr>
        <w:spacing w:after="160" w:line="259" w:lineRule="auto"/>
        <w:rPr>
          <w:rFonts w:eastAsiaTheme="minorEastAsia"/>
          <w:b/>
          <w:bCs/>
          <w:color w:val="9A1B27" w:themeColor="accent1"/>
          <w:spacing w:val="15"/>
          <w:sz w:val="40"/>
        </w:rPr>
      </w:pPr>
      <w:r>
        <w:rPr>
          <w:b/>
          <w:bCs/>
        </w:rPr>
        <w:br w:type="page"/>
      </w:r>
    </w:p>
    <w:p w14:paraId="4061CBAC" w14:textId="208763ED" w:rsidR="00EC10BC" w:rsidRDefault="49FE39C8" w:rsidP="0032574D">
      <w:pPr>
        <w:pStyle w:val="Subtitle"/>
        <w:rPr>
          <w:b/>
          <w:bCs/>
        </w:rPr>
      </w:pPr>
      <w:r w:rsidRPr="398A7796">
        <w:rPr>
          <w:b/>
          <w:bCs/>
        </w:rPr>
        <w:lastRenderedPageBreak/>
        <w:t>WH1</w:t>
      </w:r>
      <w:r w:rsidR="00B523A0" w:rsidRPr="398A7796">
        <w:rPr>
          <w:b/>
          <w:bCs/>
        </w:rPr>
        <w:t>4</w:t>
      </w:r>
      <w:r w:rsidRPr="398A7796">
        <w:rPr>
          <w:b/>
          <w:bCs/>
        </w:rPr>
        <w:t>.2</w:t>
      </w:r>
    </w:p>
    <w:p w14:paraId="0EAB279B" w14:textId="77777777" w:rsidR="00884A2C" w:rsidRDefault="00884A2C" w:rsidP="00F42C01">
      <w:pPr>
        <w:pStyle w:val="Heading1"/>
        <w:spacing w:before="0" w:after="240"/>
        <w:rPr>
          <w:rFonts w:eastAsiaTheme="minorEastAsia" w:cstheme="minorBidi"/>
          <w:b w:val="0"/>
          <w:spacing w:val="15"/>
          <w:sz w:val="32"/>
          <w:szCs w:val="18"/>
        </w:rPr>
      </w:pPr>
      <w:r w:rsidRPr="00884A2C">
        <w:rPr>
          <w:rFonts w:eastAsiaTheme="minorEastAsia" w:cstheme="minorBidi"/>
          <w:b w:val="0"/>
          <w:spacing w:val="15"/>
          <w:sz w:val="32"/>
          <w:szCs w:val="18"/>
        </w:rPr>
        <w:t>There is a documented process to ensure that, where identified as required, personal exposure to health hazards is measured and evaluated on the project by a formally trained person.</w:t>
      </w:r>
    </w:p>
    <w:p w14:paraId="791A0698" w14:textId="77777777" w:rsidR="00AC5420" w:rsidRDefault="00AC5420" w:rsidP="00AC5420">
      <w:pPr>
        <w:pStyle w:val="Heading1"/>
        <w:spacing w:before="0" w:after="240"/>
        <w:rPr>
          <w:sz w:val="24"/>
          <w:szCs w:val="14"/>
        </w:rPr>
      </w:pPr>
      <w:r>
        <w:rPr>
          <w:sz w:val="24"/>
          <w:szCs w:val="14"/>
        </w:rPr>
        <w:t>Key steps</w:t>
      </w:r>
    </w:p>
    <w:p w14:paraId="767BFD10" w14:textId="1AFD8899" w:rsidR="00AC5420" w:rsidRDefault="21F50284" w:rsidP="00AC5420">
      <w:pPr>
        <w:tabs>
          <w:tab w:val="num" w:pos="2552"/>
        </w:tabs>
      </w:pPr>
      <w:r>
        <w:t xml:space="preserve">When undertaking an assessment process to meet this </w:t>
      </w:r>
      <w:r w:rsidR="45324EAB">
        <w:t>criterion</w:t>
      </w:r>
      <w:r>
        <w:t xml:space="preserve">, the ideal steps are: </w:t>
      </w:r>
    </w:p>
    <w:p w14:paraId="7BF612D2" w14:textId="630BA93A" w:rsidR="005A30C8" w:rsidRPr="005A30C8" w:rsidRDefault="007D254B" w:rsidP="00FA63B4">
      <w:pPr>
        <w:pStyle w:val="ListParagraph"/>
        <w:numPr>
          <w:ilvl w:val="0"/>
          <w:numId w:val="47"/>
        </w:numPr>
        <w:tabs>
          <w:tab w:val="num" w:pos="2552"/>
        </w:tabs>
      </w:pPr>
      <w:r w:rsidRPr="1BBBCC69">
        <w:rPr>
          <w:b/>
          <w:bCs/>
        </w:rPr>
        <w:t xml:space="preserve">Step </w:t>
      </w:r>
      <w:r>
        <w:rPr>
          <w:b/>
          <w:bCs/>
        </w:rPr>
        <w:t>7</w:t>
      </w:r>
      <w:r>
        <w:t xml:space="preserve"> -</w:t>
      </w:r>
      <w:r w:rsidR="009A61E2">
        <w:t>Ensure there is a prompt that defines the trigger point for when personal exposure monitoring must be undertaken.</w:t>
      </w:r>
      <w:r w:rsidR="009A1E30">
        <w:t xml:space="preserve"> Examples include when residual risk is above a defined or tolerable level, where controls are unable to effectively reduce the risks, or </w:t>
      </w:r>
      <w:r w:rsidR="00EB4C6B">
        <w:t>where the level of exposure or health hazard is not properly understood.</w:t>
      </w:r>
    </w:p>
    <w:p w14:paraId="0D77FCA2" w14:textId="303352E8" w:rsidR="002112A6" w:rsidRDefault="002112A6" w:rsidP="00FA63B4">
      <w:pPr>
        <w:pStyle w:val="ListParagraph"/>
        <w:numPr>
          <w:ilvl w:val="0"/>
          <w:numId w:val="47"/>
        </w:numPr>
        <w:tabs>
          <w:tab w:val="num" w:pos="2552"/>
        </w:tabs>
      </w:pPr>
      <w:r w:rsidRPr="1BBBCC69">
        <w:rPr>
          <w:b/>
          <w:bCs/>
        </w:rPr>
        <w:t xml:space="preserve">Step </w:t>
      </w:r>
      <w:r w:rsidR="007D254B">
        <w:rPr>
          <w:b/>
          <w:bCs/>
        </w:rPr>
        <w:t>8</w:t>
      </w:r>
      <w:r>
        <w:t xml:space="preserve"> - Identify a formally trained person (</w:t>
      </w:r>
      <w:r w:rsidR="00884F3F">
        <w:t>for example,</w:t>
      </w:r>
      <w:r>
        <w:t xml:space="preserve"> a Certified Occupational Hygienist, or a person holding a relevant unit such as MSS025008A for noise or MSS403032 for manual handling) appropriate to the hazard type.</w:t>
      </w:r>
      <w:r w:rsidR="00566FBF">
        <w:t xml:space="preserve"> Where any health hazards or the risk to workers are not understood, engage a ‘formally trained person’ to measure and evaluate the health hazard.</w:t>
      </w:r>
    </w:p>
    <w:p w14:paraId="4F237910" w14:textId="6A28A7A3" w:rsidR="002112A6" w:rsidRDefault="7B19A658" w:rsidP="00FA63B4">
      <w:pPr>
        <w:pStyle w:val="ListParagraph"/>
        <w:numPr>
          <w:ilvl w:val="0"/>
          <w:numId w:val="47"/>
        </w:numPr>
        <w:tabs>
          <w:tab w:val="num" w:pos="2552"/>
        </w:tabs>
      </w:pPr>
      <w:r w:rsidRPr="398A7796">
        <w:rPr>
          <w:b/>
          <w:bCs/>
        </w:rPr>
        <w:t xml:space="preserve">Step </w:t>
      </w:r>
      <w:r w:rsidR="007D254B">
        <w:rPr>
          <w:b/>
          <w:bCs/>
        </w:rPr>
        <w:t>9</w:t>
      </w:r>
      <w:r>
        <w:t xml:space="preserve"> - Plan the evaluation/assessment </w:t>
      </w:r>
      <w:r w:rsidR="00CD5ED2">
        <w:t xml:space="preserve">by </w:t>
      </w:r>
      <w:r>
        <w:t>defin</w:t>
      </w:r>
      <w:r w:rsidR="00CD5ED2">
        <w:t>ing</w:t>
      </w:r>
      <w:r>
        <w:t xml:space="preserve"> what is being measured, the activities involved, whether it is project or task-specific, the controls to be tested, and ensur</w:t>
      </w:r>
      <w:r w:rsidR="00DD0DF7">
        <w:t>ing</w:t>
      </w:r>
      <w:r>
        <w:t xml:space="preserve"> the right people, records and photographic</w:t>
      </w:r>
      <w:r w:rsidR="5D9C5C4B">
        <w:t xml:space="preserve"> or </w:t>
      </w:r>
      <w:r>
        <w:t>video evidence are captured on the day.</w:t>
      </w:r>
    </w:p>
    <w:p w14:paraId="1EE84D15" w14:textId="4C7E3722" w:rsidR="002112A6" w:rsidRDefault="7B19A658" w:rsidP="00FA63B4">
      <w:pPr>
        <w:pStyle w:val="ListParagraph"/>
        <w:numPr>
          <w:ilvl w:val="0"/>
          <w:numId w:val="47"/>
        </w:numPr>
        <w:tabs>
          <w:tab w:val="num" w:pos="2552"/>
        </w:tabs>
      </w:pPr>
      <w:r w:rsidRPr="398A7796">
        <w:rPr>
          <w:b/>
          <w:bCs/>
        </w:rPr>
        <w:t xml:space="preserve">Step </w:t>
      </w:r>
      <w:r w:rsidR="007D254B">
        <w:rPr>
          <w:b/>
          <w:bCs/>
        </w:rPr>
        <w:t>10</w:t>
      </w:r>
      <w:r w:rsidR="3B9A6832">
        <w:t xml:space="preserve"> - </w:t>
      </w:r>
      <w:r>
        <w:t xml:space="preserve">Communicate the evaluation to affected work groups, including health and safety representatives, covering why, how and when monitoring will occur and how results will be reported. Samples are typically analysed by </w:t>
      </w:r>
      <w:r w:rsidR="285F078E">
        <w:t>a</w:t>
      </w:r>
      <w:r w:rsidR="62EDCA5E">
        <w:t xml:space="preserve"> National Association of Testing Authorities (</w:t>
      </w:r>
      <w:r>
        <w:t>NAT</w:t>
      </w:r>
      <w:r w:rsidRPr="398A7796">
        <w:t>A</w:t>
      </w:r>
      <w:r w:rsidR="35E95CF9" w:rsidRPr="398A7796">
        <w:t>)</w:t>
      </w:r>
      <w:r w:rsidR="2A3D49C5" w:rsidRPr="398A7796">
        <w:t xml:space="preserve"> </w:t>
      </w:r>
      <w:r w:rsidR="00583834">
        <w:t>accredited</w:t>
      </w:r>
      <w:r w:rsidRPr="008120A1">
        <w:t xml:space="preserve"> laboratory </w:t>
      </w:r>
      <w:r w:rsidR="00583834">
        <w:t xml:space="preserve">and assessed </w:t>
      </w:r>
      <w:r w:rsidRPr="008120A1">
        <w:t>against t</w:t>
      </w:r>
      <w:r w:rsidRPr="398A7796">
        <w:t xml:space="preserve">he </w:t>
      </w:r>
      <w:hyperlink r:id="rId17" w:history="1">
        <w:r w:rsidR="009F46E8" w:rsidRPr="6F87DC36">
          <w:rPr>
            <w:rStyle w:val="Hyperlink"/>
            <w:i/>
            <w:iCs/>
          </w:rPr>
          <w:t>W</w:t>
        </w:r>
        <w:r w:rsidRPr="6F87DC36">
          <w:rPr>
            <w:rStyle w:val="Hyperlink"/>
            <w:i/>
            <w:iCs/>
          </w:rPr>
          <w:t xml:space="preserve">orkplace </w:t>
        </w:r>
        <w:r w:rsidR="008805A7" w:rsidRPr="6F87DC36">
          <w:rPr>
            <w:rStyle w:val="Hyperlink"/>
            <w:i/>
            <w:iCs/>
          </w:rPr>
          <w:t>e</w:t>
        </w:r>
        <w:r w:rsidRPr="6F87DC36">
          <w:rPr>
            <w:rStyle w:val="Hyperlink"/>
            <w:i/>
            <w:iCs/>
          </w:rPr>
          <w:t xml:space="preserve">xposure </w:t>
        </w:r>
        <w:r w:rsidR="008805A7" w:rsidRPr="6F87DC36">
          <w:rPr>
            <w:rStyle w:val="Hyperlink"/>
            <w:i/>
            <w:iCs/>
          </w:rPr>
          <w:t>s</w:t>
        </w:r>
        <w:r w:rsidRPr="6F87DC36">
          <w:rPr>
            <w:rStyle w:val="Hyperlink"/>
            <w:i/>
            <w:iCs/>
          </w:rPr>
          <w:t>tandard</w:t>
        </w:r>
        <w:r w:rsidR="00930FBD" w:rsidRPr="6F87DC36">
          <w:rPr>
            <w:rStyle w:val="Hyperlink"/>
            <w:i/>
            <w:iCs/>
          </w:rPr>
          <w:t>s for airborne contaminants</w:t>
        </w:r>
      </w:hyperlink>
      <w:r>
        <w:t xml:space="preserve"> (WES)</w:t>
      </w:r>
      <w:r w:rsidR="00A305E1" w:rsidDel="005E1760">
        <w:t xml:space="preserve"> (</w:t>
      </w:r>
      <w:r w:rsidR="008805A7" w:rsidDel="005E1760">
        <w:t xml:space="preserve">note, from 1 December 2026 the </w:t>
      </w:r>
      <w:hyperlink r:id="rId18" w:history="1">
        <w:r w:rsidR="009F46E8" w:rsidRPr="6F87DC36" w:rsidDel="005E1760">
          <w:rPr>
            <w:rStyle w:val="Hyperlink"/>
            <w:i/>
            <w:iCs/>
          </w:rPr>
          <w:t>Workplace exposure limits for airborne contaminants</w:t>
        </w:r>
      </w:hyperlink>
      <w:r w:rsidR="009F46E8" w:rsidDel="005E1760">
        <w:t xml:space="preserve"> (WEL) will replace the WES</w:t>
      </w:r>
      <w:r w:rsidR="00D3347B" w:rsidDel="005E1760">
        <w:t>)</w:t>
      </w:r>
      <w:r w:rsidR="007C55F3">
        <w:t xml:space="preserve">. </w:t>
      </w:r>
      <w:r w:rsidR="00BE168C">
        <w:t>Ensure that w</w:t>
      </w:r>
      <w:r>
        <w:t xml:space="preserve">here exposure exceeds the limit, controls </w:t>
      </w:r>
      <w:r w:rsidR="00BE168C">
        <w:t>are</w:t>
      </w:r>
      <w:r>
        <w:t xml:space="preserve"> reviewed and monitoring </w:t>
      </w:r>
      <w:r w:rsidR="00BE168C">
        <w:t xml:space="preserve">is </w:t>
      </w:r>
      <w:r>
        <w:t>repeated</w:t>
      </w:r>
      <w:r w:rsidR="0081398E">
        <w:t xml:space="preserve"> to</w:t>
      </w:r>
      <w:r w:rsidR="001059E6">
        <w:t xml:space="preserve"> verify that</w:t>
      </w:r>
      <w:r w:rsidR="0081398E">
        <w:t xml:space="preserve"> exposures have been reduced</w:t>
      </w:r>
      <w:r w:rsidR="00785770">
        <w:t>. Where exposure cannot be</w:t>
      </w:r>
      <w:r w:rsidR="005051AC">
        <w:t xml:space="preserve"> </w:t>
      </w:r>
      <w:r w:rsidR="00930CC5">
        <w:t xml:space="preserve">further </w:t>
      </w:r>
      <w:r w:rsidR="005051AC">
        <w:t>reduced</w:t>
      </w:r>
      <w:r w:rsidR="00930CC5">
        <w:t xml:space="preserve">, </w:t>
      </w:r>
      <w:r w:rsidR="008D5281">
        <w:t xml:space="preserve">ensure </w:t>
      </w:r>
      <w:r w:rsidR="00930CC5">
        <w:t xml:space="preserve">appropriate </w:t>
      </w:r>
      <w:r>
        <w:t xml:space="preserve">PPE </w:t>
      </w:r>
      <w:r w:rsidR="00BE168C">
        <w:t>is</w:t>
      </w:r>
      <w:r w:rsidR="00930CC5">
        <w:t xml:space="preserve"> used and </w:t>
      </w:r>
      <w:r>
        <w:t xml:space="preserve">for crystalline silica </w:t>
      </w:r>
      <w:r w:rsidR="00C51DF3">
        <w:t xml:space="preserve">work workers </w:t>
      </w:r>
      <w:r w:rsidR="00832AD9">
        <w:t>are</w:t>
      </w:r>
      <w:r w:rsidR="00C51DF3">
        <w:t xml:space="preserve"> included on the</w:t>
      </w:r>
      <w:r>
        <w:t xml:space="preserve"> Silica Worker Register</w:t>
      </w:r>
      <w:r w:rsidR="00832AD9">
        <w:t>, where required in NSW</w:t>
      </w:r>
      <w:r>
        <w:t>.</w:t>
      </w:r>
    </w:p>
    <w:p w14:paraId="1A52E4A3" w14:textId="260E743D" w:rsidR="00AC5420" w:rsidRPr="00FA63B4" w:rsidRDefault="00FA63B4" w:rsidP="00FA63B4">
      <w:pPr>
        <w:pStyle w:val="ListParagraph"/>
        <w:numPr>
          <w:ilvl w:val="0"/>
          <w:numId w:val="47"/>
        </w:numPr>
        <w:tabs>
          <w:tab w:val="num" w:pos="2552"/>
        </w:tabs>
      </w:pPr>
      <w:r w:rsidRPr="6F87DC36">
        <w:rPr>
          <w:b/>
          <w:bCs/>
        </w:rPr>
        <w:t>Final step</w:t>
      </w:r>
      <w:r>
        <w:t xml:space="preserve"> - Review control measures to confirm they remain effective and consistent with the documented safe system of work.</w:t>
      </w:r>
      <w:r w:rsidR="00073762">
        <w:t xml:space="preserve"> Compare personal exposure monitoring results to the WES, where an applicable WES exists, or other recommended or regulated health standards.</w:t>
      </w:r>
    </w:p>
    <w:p w14:paraId="05DC249A" w14:textId="77777777" w:rsidR="00042B22" w:rsidRPr="00110D54" w:rsidRDefault="00042B22" w:rsidP="00042B22">
      <w:pPr>
        <w:pStyle w:val="Heading1"/>
        <w:spacing w:before="0" w:after="240"/>
        <w:rPr>
          <w:sz w:val="24"/>
          <w:szCs w:val="24"/>
        </w:rPr>
      </w:pPr>
      <w:r w:rsidRPr="1BBBCC69">
        <w:rPr>
          <w:sz w:val="24"/>
          <w:szCs w:val="24"/>
        </w:rPr>
        <w:lastRenderedPageBreak/>
        <w:t>Common issues identified at audit</w:t>
      </w:r>
    </w:p>
    <w:p w14:paraId="40656271" w14:textId="4216884F" w:rsidR="004414C0" w:rsidRPr="00B9599E" w:rsidRDefault="0028718A" w:rsidP="004414C0">
      <w:pPr>
        <w:pStyle w:val="ListParagraph"/>
        <w:numPr>
          <w:ilvl w:val="0"/>
          <w:numId w:val="47"/>
        </w:numPr>
        <w:tabs>
          <w:tab w:val="num" w:pos="2552"/>
        </w:tabs>
      </w:pPr>
      <w:r w:rsidRPr="0028718A">
        <w:t>Occupational hygiene monitoring is not organised to take place when hazards and work activities can be observed (for example, an air exposure monitoring sample is not taken in the breathing zones of workers during work).</w:t>
      </w:r>
    </w:p>
    <w:p w14:paraId="361115A7" w14:textId="059D4C7A" w:rsidR="002508DF" w:rsidRPr="00B9599E" w:rsidRDefault="00042B22" w:rsidP="00C820A1">
      <w:pPr>
        <w:pStyle w:val="ListParagraph"/>
        <w:numPr>
          <w:ilvl w:val="0"/>
          <w:numId w:val="47"/>
        </w:numPr>
        <w:tabs>
          <w:tab w:val="num" w:pos="2552"/>
        </w:tabs>
      </w:pPr>
      <w:r w:rsidRPr="00B9599E">
        <w:t>Evidence of calibrated equipment being used is not provided as part of a report.</w:t>
      </w:r>
    </w:p>
    <w:p w14:paraId="193A2991" w14:textId="079168B5" w:rsidR="00E136A3" w:rsidRPr="00B9599E" w:rsidRDefault="0000514E" w:rsidP="00644C91">
      <w:pPr>
        <w:pStyle w:val="ListParagraph"/>
        <w:numPr>
          <w:ilvl w:val="0"/>
          <w:numId w:val="16"/>
        </w:numPr>
      </w:pPr>
      <w:r>
        <w:t>P</w:t>
      </w:r>
      <w:r w:rsidR="39C8DC90" w:rsidRPr="00B9599E">
        <w:t xml:space="preserve">ersonal exposure monitoring is </w:t>
      </w:r>
      <w:r>
        <w:t xml:space="preserve">not </w:t>
      </w:r>
      <w:r w:rsidR="39C8DC90" w:rsidRPr="00B9599E">
        <w:t xml:space="preserve">undertaken using appropriate methods and calibrated equipment. </w:t>
      </w:r>
    </w:p>
    <w:p w14:paraId="0CA1F7AE" w14:textId="64038453" w:rsidR="007B1B4E" w:rsidRPr="00B9599E" w:rsidRDefault="00E136A3" w:rsidP="00E136A3">
      <w:pPr>
        <w:pStyle w:val="ListParagraph"/>
        <w:numPr>
          <w:ilvl w:val="0"/>
          <w:numId w:val="16"/>
        </w:numPr>
        <w:tabs>
          <w:tab w:val="num" w:pos="2552"/>
        </w:tabs>
      </w:pPr>
      <w:r w:rsidRPr="00B9599E">
        <w:t xml:space="preserve">A formally trained person is not engaged (this includes where a person is formally trained but the training is not relevant to the management and evaluation of personal exposure to health hazards). </w:t>
      </w:r>
      <w:r w:rsidR="77759FB3" w:rsidRPr="00B9599E">
        <w:t>Examples of formally trained persons for assessing potential health hazard</w:t>
      </w:r>
      <w:r w:rsidR="00CF57FF" w:rsidRPr="00B9599E">
        <w:t>s</w:t>
      </w:r>
      <w:r w:rsidR="77759FB3" w:rsidRPr="00B9599E">
        <w:t xml:space="preserve"> include</w:t>
      </w:r>
      <w:r w:rsidR="7FAFF4B4" w:rsidRPr="00B9599E">
        <w:t>,</w:t>
      </w:r>
      <w:r w:rsidR="77759FB3" w:rsidRPr="00B9599E">
        <w:t xml:space="preserve"> but are not limited to:</w:t>
      </w:r>
    </w:p>
    <w:tbl>
      <w:tblPr>
        <w:tblStyle w:val="GridTable2"/>
        <w:tblW w:w="9214" w:type="dxa"/>
        <w:tblLook w:val="04A0" w:firstRow="1" w:lastRow="0" w:firstColumn="1" w:lastColumn="0" w:noHBand="0" w:noVBand="1"/>
      </w:tblPr>
      <w:tblGrid>
        <w:gridCol w:w="2127"/>
        <w:gridCol w:w="4252"/>
        <w:gridCol w:w="2835"/>
      </w:tblGrid>
      <w:tr w:rsidR="001C10B5" w:rsidRPr="00AE04C6" w14:paraId="42697707" w14:textId="77777777" w:rsidTr="00EC2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F65A86D" w14:textId="77777777" w:rsidR="001C10B5" w:rsidRPr="00AE04C6" w:rsidRDefault="001C10B5" w:rsidP="00EC2A33">
            <w:pPr>
              <w:ind w:left="86"/>
              <w:rPr>
                <w:sz w:val="22"/>
                <w:szCs w:val="22"/>
              </w:rPr>
            </w:pPr>
            <w:r w:rsidRPr="00AE04C6">
              <w:rPr>
                <w:sz w:val="22"/>
                <w:szCs w:val="22"/>
              </w:rPr>
              <w:t>Health Hazard</w:t>
            </w:r>
          </w:p>
        </w:tc>
        <w:tc>
          <w:tcPr>
            <w:tcW w:w="4252" w:type="dxa"/>
          </w:tcPr>
          <w:p w14:paraId="09FB327F" w14:textId="77777777" w:rsidR="001C10B5" w:rsidRPr="00AE04C6" w:rsidRDefault="001C10B5" w:rsidP="00EC2A33">
            <w:pPr>
              <w:ind w:left="86"/>
              <w:cnfStyle w:val="100000000000" w:firstRow="1" w:lastRow="0" w:firstColumn="0" w:lastColumn="0" w:oddVBand="0" w:evenVBand="0" w:oddHBand="0" w:evenHBand="0" w:firstRowFirstColumn="0" w:firstRowLastColumn="0" w:lastRowFirstColumn="0" w:lastRowLastColumn="0"/>
              <w:rPr>
                <w:sz w:val="22"/>
                <w:szCs w:val="22"/>
              </w:rPr>
            </w:pPr>
            <w:r w:rsidRPr="00AE04C6">
              <w:rPr>
                <w:sz w:val="22"/>
                <w:szCs w:val="22"/>
              </w:rPr>
              <w:t xml:space="preserve">Evidence of Formal Training </w:t>
            </w:r>
          </w:p>
        </w:tc>
        <w:tc>
          <w:tcPr>
            <w:tcW w:w="2835" w:type="dxa"/>
          </w:tcPr>
          <w:p w14:paraId="04CCDDE6" w14:textId="0C5E69C1" w:rsidR="001C10B5" w:rsidRPr="00AE04C6" w:rsidRDefault="007025E9" w:rsidP="00EC2A33">
            <w:pPr>
              <w:ind w:left="86"/>
              <w:cnfStyle w:val="100000000000" w:firstRow="1" w:lastRow="0" w:firstColumn="0" w:lastColumn="0" w:oddVBand="0" w:evenVBand="0" w:oddHBand="0" w:evenHBand="0" w:firstRowFirstColumn="0" w:firstRowLastColumn="0" w:lastRowFirstColumn="0" w:lastRowLastColumn="0"/>
              <w:rPr>
                <w:sz w:val="22"/>
                <w:szCs w:val="22"/>
              </w:rPr>
            </w:pPr>
            <w:r w:rsidRPr="00AE04C6">
              <w:rPr>
                <w:sz w:val="22"/>
                <w:szCs w:val="22"/>
              </w:rPr>
              <w:t>Information</w:t>
            </w:r>
          </w:p>
        </w:tc>
      </w:tr>
      <w:tr w:rsidR="001C10B5" w:rsidRPr="00AE04C6" w14:paraId="143CE7FE" w14:textId="77777777" w:rsidTr="00EC2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3082367" w14:textId="77777777" w:rsidR="001C10B5" w:rsidRPr="00AE04C6" w:rsidRDefault="001C10B5" w:rsidP="00EC2A33">
            <w:pPr>
              <w:ind w:left="86"/>
              <w:rPr>
                <w:sz w:val="22"/>
                <w:szCs w:val="22"/>
              </w:rPr>
            </w:pPr>
            <w:r w:rsidRPr="00AE04C6">
              <w:rPr>
                <w:sz w:val="22"/>
                <w:szCs w:val="22"/>
              </w:rPr>
              <w:t>Biological</w:t>
            </w:r>
          </w:p>
        </w:tc>
        <w:tc>
          <w:tcPr>
            <w:tcW w:w="4252" w:type="dxa"/>
          </w:tcPr>
          <w:p w14:paraId="4A431AC8" w14:textId="77777777" w:rsidR="001C10B5" w:rsidRPr="00AE04C6" w:rsidRDefault="001C10B5" w:rsidP="00EC2A33">
            <w:pPr>
              <w:ind w:left="86"/>
              <w:cnfStyle w:val="000000100000" w:firstRow="0" w:lastRow="0" w:firstColumn="0" w:lastColumn="0" w:oddVBand="0" w:evenVBand="0" w:oddHBand="1" w:evenHBand="0" w:firstRowFirstColumn="0" w:firstRowLastColumn="0" w:lastRowFirstColumn="0" w:lastRowLastColumn="0"/>
              <w:rPr>
                <w:sz w:val="22"/>
                <w:szCs w:val="22"/>
              </w:rPr>
            </w:pPr>
            <w:r w:rsidRPr="00AE04C6">
              <w:rPr>
                <w:sz w:val="22"/>
                <w:szCs w:val="22"/>
              </w:rPr>
              <w:t xml:space="preserve">Certified Occupational Hygienist </w:t>
            </w:r>
          </w:p>
        </w:tc>
        <w:tc>
          <w:tcPr>
            <w:tcW w:w="2835" w:type="dxa"/>
          </w:tcPr>
          <w:p w14:paraId="0B6747DF" w14:textId="6E310DC5" w:rsidR="001C10B5" w:rsidRPr="00AE04C6" w:rsidRDefault="005F35BC" w:rsidP="00EC2A33">
            <w:pPr>
              <w:ind w:left="86"/>
              <w:cnfStyle w:val="000000100000" w:firstRow="0" w:lastRow="0" w:firstColumn="0" w:lastColumn="0" w:oddVBand="0" w:evenVBand="0" w:oddHBand="1" w:evenHBand="0" w:firstRowFirstColumn="0" w:firstRowLastColumn="0" w:lastRowFirstColumn="0" w:lastRowLastColumn="0"/>
              <w:rPr>
                <w:sz w:val="22"/>
                <w:szCs w:val="22"/>
              </w:rPr>
            </w:pPr>
            <w:hyperlink r:id="rId19" w:history="1">
              <w:r w:rsidRPr="00AE04C6">
                <w:rPr>
                  <w:rStyle w:val="Hyperlink"/>
                  <w:kern w:val="0"/>
                  <w:sz w:val="22"/>
                  <w:szCs w:val="22"/>
                  <w14:ligatures w14:val="none"/>
                </w:rPr>
                <w:t>Austr</w:t>
              </w:r>
              <w:r w:rsidRPr="00AE04C6">
                <w:rPr>
                  <w:rStyle w:val="Hyperlink"/>
                  <w:sz w:val="22"/>
                  <w:szCs w:val="22"/>
                </w:rPr>
                <w:t xml:space="preserve">alian Institute of </w:t>
              </w:r>
              <w:r w:rsidR="007D6151" w:rsidRPr="00AE04C6">
                <w:rPr>
                  <w:rStyle w:val="Hyperlink"/>
                  <w:sz w:val="22"/>
                  <w:szCs w:val="22"/>
                </w:rPr>
                <w:t>Occupational Hygienists</w:t>
              </w:r>
            </w:hyperlink>
            <w:r w:rsidR="007D6151" w:rsidRPr="00AE04C6" w:rsidDel="007D6151">
              <w:rPr>
                <w:sz w:val="22"/>
                <w:szCs w:val="22"/>
              </w:rPr>
              <w:t xml:space="preserve"> </w:t>
            </w:r>
          </w:p>
        </w:tc>
      </w:tr>
      <w:tr w:rsidR="001C10B5" w:rsidRPr="00AE04C6" w14:paraId="7319B290" w14:textId="77777777" w:rsidTr="00EC2A33">
        <w:tc>
          <w:tcPr>
            <w:cnfStyle w:val="001000000000" w:firstRow="0" w:lastRow="0" w:firstColumn="1" w:lastColumn="0" w:oddVBand="0" w:evenVBand="0" w:oddHBand="0" w:evenHBand="0" w:firstRowFirstColumn="0" w:firstRowLastColumn="0" w:lastRowFirstColumn="0" w:lastRowLastColumn="0"/>
            <w:tcW w:w="2127" w:type="dxa"/>
          </w:tcPr>
          <w:p w14:paraId="7F9CB4AA" w14:textId="77777777" w:rsidR="001C10B5" w:rsidRPr="00AE04C6" w:rsidRDefault="001C10B5" w:rsidP="00EC2A33">
            <w:pPr>
              <w:ind w:left="86"/>
              <w:rPr>
                <w:sz w:val="22"/>
                <w:szCs w:val="22"/>
              </w:rPr>
            </w:pPr>
            <w:r w:rsidRPr="00AE04C6">
              <w:rPr>
                <w:sz w:val="22"/>
                <w:szCs w:val="22"/>
              </w:rPr>
              <w:t>Physical - Noise</w:t>
            </w:r>
          </w:p>
        </w:tc>
        <w:tc>
          <w:tcPr>
            <w:tcW w:w="4252" w:type="dxa"/>
          </w:tcPr>
          <w:p w14:paraId="39CBE335" w14:textId="77777777" w:rsidR="001C10B5" w:rsidRPr="00AE04C6" w:rsidRDefault="001C10B5" w:rsidP="00EC2A33">
            <w:pPr>
              <w:ind w:left="86"/>
              <w:cnfStyle w:val="000000000000" w:firstRow="0" w:lastRow="0" w:firstColumn="0" w:lastColumn="0" w:oddVBand="0" w:evenVBand="0" w:oddHBand="0" w:evenHBand="0" w:firstRowFirstColumn="0" w:firstRowLastColumn="0" w:lastRowFirstColumn="0" w:lastRowLastColumn="0"/>
              <w:rPr>
                <w:sz w:val="22"/>
                <w:szCs w:val="22"/>
              </w:rPr>
            </w:pPr>
            <w:r w:rsidRPr="00AE04C6">
              <w:rPr>
                <w:sz w:val="22"/>
                <w:szCs w:val="22"/>
              </w:rPr>
              <w:t xml:space="preserve">Certified Occupational Hygienist; or </w:t>
            </w:r>
          </w:p>
          <w:p w14:paraId="5DD82F0F" w14:textId="77777777" w:rsidR="001C10B5" w:rsidRPr="00AE04C6" w:rsidRDefault="001C10B5" w:rsidP="00EC2A33">
            <w:pPr>
              <w:ind w:left="86"/>
              <w:cnfStyle w:val="000000000000" w:firstRow="0" w:lastRow="0" w:firstColumn="0" w:lastColumn="0" w:oddVBand="0" w:evenVBand="0" w:oddHBand="0" w:evenHBand="0" w:firstRowFirstColumn="0" w:firstRowLastColumn="0" w:lastRowFirstColumn="0" w:lastRowLastColumn="0"/>
              <w:rPr>
                <w:sz w:val="22"/>
                <w:szCs w:val="22"/>
              </w:rPr>
            </w:pPr>
            <w:r w:rsidRPr="00AE04C6">
              <w:rPr>
                <w:sz w:val="22"/>
                <w:szCs w:val="22"/>
              </w:rPr>
              <w:t>MSS025008A Monitor and evaluate noise</w:t>
            </w:r>
          </w:p>
        </w:tc>
        <w:tc>
          <w:tcPr>
            <w:tcW w:w="2835" w:type="dxa"/>
          </w:tcPr>
          <w:p w14:paraId="41B47CF8" w14:textId="77777777" w:rsidR="007D6151" w:rsidRPr="00AE04C6" w:rsidRDefault="007D6151" w:rsidP="00EC2A33">
            <w:pPr>
              <w:ind w:left="86"/>
              <w:cnfStyle w:val="000000000000" w:firstRow="0" w:lastRow="0" w:firstColumn="0" w:lastColumn="0" w:oddVBand="0" w:evenVBand="0" w:oddHBand="0" w:evenHBand="0" w:firstRowFirstColumn="0" w:firstRowLastColumn="0" w:lastRowFirstColumn="0" w:lastRowLastColumn="0"/>
              <w:rPr>
                <w:sz w:val="22"/>
                <w:szCs w:val="22"/>
              </w:rPr>
            </w:pPr>
            <w:hyperlink r:id="rId20" w:history="1">
              <w:r w:rsidRPr="00AE04C6">
                <w:rPr>
                  <w:rStyle w:val="Hyperlink"/>
                  <w:kern w:val="0"/>
                  <w:sz w:val="22"/>
                  <w:szCs w:val="22"/>
                  <w14:ligatures w14:val="none"/>
                </w:rPr>
                <w:t>Austr</w:t>
              </w:r>
              <w:r w:rsidRPr="00AE04C6">
                <w:rPr>
                  <w:rStyle w:val="Hyperlink"/>
                  <w:sz w:val="22"/>
                  <w:szCs w:val="22"/>
                </w:rPr>
                <w:t>alian Institute of Occupational Hygienists</w:t>
              </w:r>
            </w:hyperlink>
          </w:p>
          <w:p w14:paraId="0B77197E" w14:textId="3C099638" w:rsidR="001C10B5" w:rsidRPr="00AE04C6" w:rsidRDefault="68F8BC10" w:rsidP="00EC2A33">
            <w:pPr>
              <w:ind w:left="86"/>
              <w:cnfStyle w:val="000000000000" w:firstRow="0" w:lastRow="0" w:firstColumn="0" w:lastColumn="0" w:oddVBand="0" w:evenVBand="0" w:oddHBand="0" w:evenHBand="0" w:firstRowFirstColumn="0" w:firstRowLastColumn="0" w:lastRowFirstColumn="0" w:lastRowLastColumn="0"/>
              <w:rPr>
                <w:sz w:val="22"/>
                <w:szCs w:val="22"/>
              </w:rPr>
            </w:pPr>
            <w:hyperlink r:id="rId21" w:history="1">
              <w:r w:rsidRPr="00AE04C6">
                <w:rPr>
                  <w:rStyle w:val="Hyperlink"/>
                  <w:sz w:val="22"/>
                  <w:szCs w:val="22"/>
                </w:rPr>
                <w:t>Training.gov.au</w:t>
              </w:r>
            </w:hyperlink>
          </w:p>
        </w:tc>
      </w:tr>
      <w:tr w:rsidR="001C10B5" w:rsidRPr="00AE04C6" w14:paraId="6AC72206" w14:textId="77777777" w:rsidTr="00EC2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BE43C91" w14:textId="77777777" w:rsidR="001C10B5" w:rsidRPr="00AE04C6" w:rsidRDefault="001C10B5" w:rsidP="00EC2A33">
            <w:pPr>
              <w:ind w:left="86"/>
              <w:rPr>
                <w:sz w:val="22"/>
                <w:szCs w:val="22"/>
              </w:rPr>
            </w:pPr>
            <w:r w:rsidRPr="00AE04C6">
              <w:rPr>
                <w:sz w:val="22"/>
                <w:szCs w:val="22"/>
              </w:rPr>
              <w:t xml:space="preserve">Physical – Manual Handling </w:t>
            </w:r>
          </w:p>
        </w:tc>
        <w:tc>
          <w:tcPr>
            <w:tcW w:w="4252" w:type="dxa"/>
          </w:tcPr>
          <w:p w14:paraId="3DF46310" w14:textId="77777777" w:rsidR="001C10B5" w:rsidRPr="00AE04C6" w:rsidRDefault="001C10B5" w:rsidP="00EC2A33">
            <w:pPr>
              <w:ind w:left="86"/>
              <w:cnfStyle w:val="000000100000" w:firstRow="0" w:lastRow="0" w:firstColumn="0" w:lastColumn="0" w:oddVBand="0" w:evenVBand="0" w:oddHBand="1" w:evenHBand="0" w:firstRowFirstColumn="0" w:firstRowLastColumn="0" w:lastRowFirstColumn="0" w:lastRowLastColumn="0"/>
              <w:rPr>
                <w:sz w:val="22"/>
                <w:szCs w:val="22"/>
              </w:rPr>
            </w:pPr>
            <w:r w:rsidRPr="00AE04C6">
              <w:rPr>
                <w:sz w:val="22"/>
                <w:szCs w:val="22"/>
              </w:rPr>
              <w:t>Allied Health professional - Occupational Therapists &amp; Physiotherapists</w:t>
            </w:r>
          </w:p>
          <w:p w14:paraId="6389353A" w14:textId="77777777" w:rsidR="001C10B5" w:rsidRPr="00AE04C6" w:rsidRDefault="001C10B5" w:rsidP="00EC2A33">
            <w:pPr>
              <w:ind w:left="86"/>
              <w:cnfStyle w:val="000000100000" w:firstRow="0" w:lastRow="0" w:firstColumn="0" w:lastColumn="0" w:oddVBand="0" w:evenVBand="0" w:oddHBand="1" w:evenHBand="0" w:firstRowFirstColumn="0" w:firstRowLastColumn="0" w:lastRowFirstColumn="0" w:lastRowLastColumn="0"/>
              <w:rPr>
                <w:sz w:val="22"/>
                <w:szCs w:val="22"/>
              </w:rPr>
            </w:pPr>
            <w:r w:rsidRPr="00AE04C6">
              <w:rPr>
                <w:sz w:val="22"/>
                <w:szCs w:val="22"/>
              </w:rPr>
              <w:t>MSS403032 Analyse manual handling processes</w:t>
            </w:r>
          </w:p>
        </w:tc>
        <w:tc>
          <w:tcPr>
            <w:tcW w:w="2835" w:type="dxa"/>
          </w:tcPr>
          <w:p w14:paraId="1B88D103" w14:textId="6615034C" w:rsidR="001C10B5" w:rsidRPr="00AE04C6" w:rsidRDefault="00D54614" w:rsidP="00EC2A33">
            <w:pPr>
              <w:ind w:left="86"/>
              <w:cnfStyle w:val="000000100000" w:firstRow="0" w:lastRow="0" w:firstColumn="0" w:lastColumn="0" w:oddVBand="0" w:evenVBand="0" w:oddHBand="1" w:evenHBand="0" w:firstRowFirstColumn="0" w:firstRowLastColumn="0" w:lastRowFirstColumn="0" w:lastRowLastColumn="0"/>
              <w:rPr>
                <w:sz w:val="22"/>
                <w:szCs w:val="22"/>
              </w:rPr>
            </w:pPr>
            <w:hyperlink r:id="rId22" w:history="1">
              <w:r w:rsidRPr="00AE04C6">
                <w:rPr>
                  <w:rStyle w:val="Hyperlink"/>
                  <w:sz w:val="22"/>
                  <w:szCs w:val="22"/>
                </w:rPr>
                <w:t>Training.gov.au</w:t>
              </w:r>
            </w:hyperlink>
          </w:p>
        </w:tc>
      </w:tr>
      <w:tr w:rsidR="001C10B5" w:rsidRPr="00AE04C6" w14:paraId="0E40B948" w14:textId="77777777" w:rsidTr="00EC2A33">
        <w:tc>
          <w:tcPr>
            <w:cnfStyle w:val="001000000000" w:firstRow="0" w:lastRow="0" w:firstColumn="1" w:lastColumn="0" w:oddVBand="0" w:evenVBand="0" w:oddHBand="0" w:evenHBand="0" w:firstRowFirstColumn="0" w:firstRowLastColumn="0" w:lastRowFirstColumn="0" w:lastRowLastColumn="0"/>
            <w:tcW w:w="2127" w:type="dxa"/>
          </w:tcPr>
          <w:p w14:paraId="74713A63" w14:textId="77777777" w:rsidR="001C10B5" w:rsidRPr="00AE04C6" w:rsidRDefault="001C10B5" w:rsidP="00EC2A33">
            <w:pPr>
              <w:ind w:left="86"/>
              <w:rPr>
                <w:sz w:val="22"/>
                <w:szCs w:val="22"/>
              </w:rPr>
            </w:pPr>
            <w:r w:rsidRPr="00AE04C6">
              <w:rPr>
                <w:sz w:val="22"/>
                <w:szCs w:val="22"/>
              </w:rPr>
              <w:t>Chemical / atmospheric contaminants</w:t>
            </w:r>
          </w:p>
        </w:tc>
        <w:tc>
          <w:tcPr>
            <w:tcW w:w="4252" w:type="dxa"/>
          </w:tcPr>
          <w:p w14:paraId="36D9CBB2" w14:textId="77777777" w:rsidR="001C10B5" w:rsidRPr="00AE04C6" w:rsidRDefault="001C10B5" w:rsidP="00EC2A33">
            <w:pPr>
              <w:ind w:left="86"/>
              <w:cnfStyle w:val="000000000000" w:firstRow="0" w:lastRow="0" w:firstColumn="0" w:lastColumn="0" w:oddVBand="0" w:evenVBand="0" w:oddHBand="0" w:evenHBand="0" w:firstRowFirstColumn="0" w:firstRowLastColumn="0" w:lastRowFirstColumn="0" w:lastRowLastColumn="0"/>
              <w:rPr>
                <w:sz w:val="22"/>
                <w:szCs w:val="22"/>
              </w:rPr>
            </w:pPr>
            <w:r w:rsidRPr="00AE04C6">
              <w:rPr>
                <w:sz w:val="22"/>
                <w:szCs w:val="22"/>
              </w:rPr>
              <w:t xml:space="preserve">Certified Occupational Hygienist </w:t>
            </w:r>
          </w:p>
          <w:p w14:paraId="5C683C83" w14:textId="77777777" w:rsidR="001C10B5" w:rsidRPr="00AE04C6" w:rsidRDefault="001C10B5" w:rsidP="00EC2A33">
            <w:pPr>
              <w:ind w:left="86"/>
              <w:cnfStyle w:val="000000000000" w:firstRow="0" w:lastRow="0" w:firstColumn="0" w:lastColumn="0" w:oddVBand="0" w:evenVBand="0" w:oddHBand="0" w:evenHBand="0" w:firstRowFirstColumn="0" w:firstRowLastColumn="0" w:lastRowFirstColumn="0" w:lastRowLastColumn="0"/>
              <w:rPr>
                <w:sz w:val="22"/>
                <w:szCs w:val="22"/>
              </w:rPr>
            </w:pPr>
          </w:p>
        </w:tc>
        <w:tc>
          <w:tcPr>
            <w:tcW w:w="2835" w:type="dxa"/>
          </w:tcPr>
          <w:p w14:paraId="25E6470E" w14:textId="7D15CDF3" w:rsidR="001C10B5" w:rsidRPr="00AE04C6" w:rsidRDefault="007025E9" w:rsidP="00EC2A33">
            <w:pPr>
              <w:ind w:left="86"/>
              <w:cnfStyle w:val="000000000000" w:firstRow="0" w:lastRow="0" w:firstColumn="0" w:lastColumn="0" w:oddVBand="0" w:evenVBand="0" w:oddHBand="0" w:evenHBand="0" w:firstRowFirstColumn="0" w:firstRowLastColumn="0" w:lastRowFirstColumn="0" w:lastRowLastColumn="0"/>
              <w:rPr>
                <w:sz w:val="22"/>
                <w:szCs w:val="22"/>
              </w:rPr>
            </w:pPr>
            <w:hyperlink r:id="rId23" w:history="1">
              <w:r w:rsidRPr="00AE04C6">
                <w:rPr>
                  <w:rStyle w:val="Hyperlink"/>
                  <w:kern w:val="0"/>
                  <w:sz w:val="22"/>
                  <w:szCs w:val="22"/>
                  <w14:ligatures w14:val="none"/>
                </w:rPr>
                <w:t>Austr</w:t>
              </w:r>
              <w:r w:rsidRPr="00AE04C6">
                <w:rPr>
                  <w:rStyle w:val="Hyperlink"/>
                  <w:sz w:val="22"/>
                  <w:szCs w:val="22"/>
                </w:rPr>
                <w:t>alian Institute of Occupational Hygienists</w:t>
              </w:r>
            </w:hyperlink>
          </w:p>
        </w:tc>
      </w:tr>
      <w:tr w:rsidR="001C10B5" w:rsidRPr="00AE04C6" w14:paraId="401D6E98" w14:textId="77777777" w:rsidTr="00EC2A33">
        <w:trPr>
          <w:cnfStyle w:val="000000100000" w:firstRow="0" w:lastRow="0" w:firstColumn="0" w:lastColumn="0" w:oddVBand="0" w:evenVBand="0" w:oddHBand="1" w:evenHBand="0" w:firstRowFirstColumn="0" w:firstRowLastColumn="0" w:lastRowFirstColumn="0" w:lastRowLastColumn="0"/>
          <w:trHeight w:val="1690"/>
        </w:trPr>
        <w:tc>
          <w:tcPr>
            <w:cnfStyle w:val="001000000000" w:firstRow="0" w:lastRow="0" w:firstColumn="1" w:lastColumn="0" w:oddVBand="0" w:evenVBand="0" w:oddHBand="0" w:evenHBand="0" w:firstRowFirstColumn="0" w:firstRowLastColumn="0" w:lastRowFirstColumn="0" w:lastRowLastColumn="0"/>
            <w:tcW w:w="2127" w:type="dxa"/>
          </w:tcPr>
          <w:p w14:paraId="6410C6C9" w14:textId="77777777" w:rsidR="001C10B5" w:rsidRPr="00AE04C6" w:rsidRDefault="001C10B5" w:rsidP="00EC2A33">
            <w:pPr>
              <w:ind w:left="86"/>
              <w:rPr>
                <w:sz w:val="22"/>
                <w:szCs w:val="22"/>
              </w:rPr>
            </w:pPr>
            <w:r w:rsidRPr="00AE04C6">
              <w:rPr>
                <w:sz w:val="22"/>
                <w:szCs w:val="22"/>
              </w:rPr>
              <w:t>Chemical / atmospheric contaminants - Asbestos</w:t>
            </w:r>
          </w:p>
        </w:tc>
        <w:tc>
          <w:tcPr>
            <w:tcW w:w="4252" w:type="dxa"/>
          </w:tcPr>
          <w:p w14:paraId="72A6FFBB" w14:textId="77777777" w:rsidR="001C10B5" w:rsidRPr="00AE04C6" w:rsidRDefault="001C10B5" w:rsidP="00EC2A33">
            <w:pPr>
              <w:ind w:left="86"/>
              <w:cnfStyle w:val="000000100000" w:firstRow="0" w:lastRow="0" w:firstColumn="0" w:lastColumn="0" w:oddVBand="0" w:evenVBand="0" w:oddHBand="1" w:evenHBand="0" w:firstRowFirstColumn="0" w:firstRowLastColumn="0" w:lastRowFirstColumn="0" w:lastRowLastColumn="0"/>
              <w:rPr>
                <w:sz w:val="22"/>
                <w:szCs w:val="22"/>
              </w:rPr>
            </w:pPr>
            <w:r w:rsidRPr="00AE04C6">
              <w:rPr>
                <w:sz w:val="22"/>
                <w:szCs w:val="22"/>
              </w:rPr>
              <w:t xml:space="preserve">Certified Occupational Hygienist </w:t>
            </w:r>
          </w:p>
          <w:p w14:paraId="20C58F76" w14:textId="52B455EF" w:rsidR="001C10B5" w:rsidRPr="00AE04C6" w:rsidRDefault="68F8BC10" w:rsidP="00EC2A33">
            <w:pPr>
              <w:ind w:left="86"/>
              <w:cnfStyle w:val="000000100000" w:firstRow="0" w:lastRow="0" w:firstColumn="0" w:lastColumn="0" w:oddVBand="0" w:evenVBand="0" w:oddHBand="1" w:evenHBand="0" w:firstRowFirstColumn="0" w:firstRowLastColumn="0" w:lastRowFirstColumn="0" w:lastRowLastColumn="0"/>
              <w:rPr>
                <w:sz w:val="22"/>
                <w:szCs w:val="22"/>
              </w:rPr>
            </w:pPr>
            <w:r w:rsidRPr="00AE04C6">
              <w:rPr>
                <w:sz w:val="22"/>
                <w:szCs w:val="22"/>
              </w:rPr>
              <w:t xml:space="preserve">Licence Asbestos Assessor (requirement varies based on local WHS/OHS jurisdiction requirements) </w:t>
            </w:r>
          </w:p>
        </w:tc>
        <w:tc>
          <w:tcPr>
            <w:tcW w:w="2835" w:type="dxa"/>
          </w:tcPr>
          <w:p w14:paraId="561D60F5" w14:textId="5FD15DC2" w:rsidR="001C10B5" w:rsidRPr="00AE04C6" w:rsidRDefault="00A761C2" w:rsidP="00EC2A33">
            <w:pPr>
              <w:ind w:left="86"/>
              <w:cnfStyle w:val="000000100000" w:firstRow="0" w:lastRow="0" w:firstColumn="0" w:lastColumn="0" w:oddVBand="0" w:evenVBand="0" w:oddHBand="1" w:evenHBand="0" w:firstRowFirstColumn="0" w:firstRowLastColumn="0" w:lastRowFirstColumn="0" w:lastRowLastColumn="0"/>
              <w:rPr>
                <w:sz w:val="22"/>
                <w:szCs w:val="22"/>
              </w:rPr>
            </w:pPr>
            <w:r w:rsidRPr="00AE04C6">
              <w:rPr>
                <w:sz w:val="22"/>
                <w:szCs w:val="22"/>
              </w:rPr>
              <w:t>See the</w:t>
            </w:r>
            <w:r w:rsidR="000E5593" w:rsidRPr="00AE04C6">
              <w:rPr>
                <w:sz w:val="22"/>
                <w:szCs w:val="22"/>
              </w:rPr>
              <w:t xml:space="preserve"> requirements of the locals</w:t>
            </w:r>
            <w:r w:rsidR="68F8BC10" w:rsidRPr="00AE04C6">
              <w:rPr>
                <w:sz w:val="22"/>
                <w:szCs w:val="22"/>
              </w:rPr>
              <w:t xml:space="preserve"> </w:t>
            </w:r>
            <w:r w:rsidR="00D15859" w:rsidRPr="00AE04C6">
              <w:rPr>
                <w:sz w:val="22"/>
                <w:szCs w:val="22"/>
              </w:rPr>
              <w:t xml:space="preserve">State </w:t>
            </w:r>
            <w:r w:rsidR="000E5593" w:rsidRPr="00AE04C6">
              <w:rPr>
                <w:sz w:val="22"/>
                <w:szCs w:val="22"/>
              </w:rPr>
              <w:t>or</w:t>
            </w:r>
            <w:r w:rsidR="00D15859" w:rsidRPr="00AE04C6">
              <w:rPr>
                <w:sz w:val="22"/>
                <w:szCs w:val="22"/>
              </w:rPr>
              <w:t xml:space="preserve"> Territory </w:t>
            </w:r>
            <w:r w:rsidR="00A73CBA" w:rsidRPr="00AE04C6">
              <w:rPr>
                <w:sz w:val="22"/>
                <w:szCs w:val="22"/>
              </w:rPr>
              <w:t xml:space="preserve">WHS </w:t>
            </w:r>
            <w:r w:rsidR="000E5593" w:rsidRPr="00AE04C6">
              <w:rPr>
                <w:sz w:val="22"/>
                <w:szCs w:val="22"/>
              </w:rPr>
              <w:t>regulator</w:t>
            </w:r>
          </w:p>
        </w:tc>
      </w:tr>
    </w:tbl>
    <w:p w14:paraId="0512AAD6" w14:textId="77777777" w:rsidR="008F15DB" w:rsidRPr="00AE04C6" w:rsidRDefault="008F15DB" w:rsidP="00E01452"/>
    <w:p w14:paraId="1D166263" w14:textId="77777777" w:rsidR="00F42C01" w:rsidRDefault="00F42C01">
      <w:pPr>
        <w:spacing w:after="160" w:line="259" w:lineRule="auto"/>
        <w:rPr>
          <w:rFonts w:eastAsiaTheme="minorEastAsia"/>
          <w:b/>
          <w:bCs/>
          <w:color w:val="9A1B27" w:themeColor="accent1"/>
          <w:spacing w:val="15"/>
          <w:sz w:val="40"/>
        </w:rPr>
      </w:pPr>
      <w:r>
        <w:rPr>
          <w:b/>
          <w:bCs/>
        </w:rPr>
        <w:br w:type="page"/>
      </w:r>
    </w:p>
    <w:p w14:paraId="5C1C40A1" w14:textId="5EA28D5F" w:rsidR="00EC10BC" w:rsidRDefault="07FECB98" w:rsidP="008F2F97">
      <w:pPr>
        <w:pStyle w:val="Subtitle"/>
        <w:rPr>
          <w:b/>
          <w:bCs/>
        </w:rPr>
      </w:pPr>
      <w:r w:rsidRPr="398A7796">
        <w:rPr>
          <w:b/>
          <w:bCs/>
        </w:rPr>
        <w:lastRenderedPageBreak/>
        <w:t>WH1</w:t>
      </w:r>
      <w:r w:rsidR="2629C10C" w:rsidRPr="398A7796">
        <w:rPr>
          <w:b/>
          <w:bCs/>
        </w:rPr>
        <w:t>4</w:t>
      </w:r>
      <w:r w:rsidRPr="398A7796">
        <w:rPr>
          <w:b/>
          <w:bCs/>
        </w:rPr>
        <w:t>.3</w:t>
      </w:r>
    </w:p>
    <w:p w14:paraId="31318E4D" w14:textId="77777777" w:rsidR="006C5767" w:rsidRPr="006C5767" w:rsidRDefault="006C5767" w:rsidP="006C5767">
      <w:pPr>
        <w:pStyle w:val="Subtitle"/>
        <w:spacing w:after="240"/>
        <w:rPr>
          <w:sz w:val="32"/>
          <w:szCs w:val="18"/>
        </w:rPr>
      </w:pPr>
      <w:r w:rsidRPr="006C5767">
        <w:rPr>
          <w:sz w:val="32"/>
          <w:szCs w:val="18"/>
        </w:rPr>
        <w:t>There is a documented process to ensure that worker health surveillance/monitoring:</w:t>
      </w:r>
    </w:p>
    <w:p w14:paraId="552CEE46" w14:textId="77777777" w:rsidR="006C5767" w:rsidRPr="006C5767" w:rsidRDefault="006C5767" w:rsidP="006C5767">
      <w:pPr>
        <w:pStyle w:val="Subtitle"/>
        <w:numPr>
          <w:ilvl w:val="0"/>
          <w:numId w:val="27"/>
        </w:numPr>
        <w:rPr>
          <w:sz w:val="32"/>
          <w:szCs w:val="18"/>
        </w:rPr>
      </w:pPr>
      <w:r w:rsidRPr="006C5767">
        <w:rPr>
          <w:sz w:val="32"/>
          <w:szCs w:val="18"/>
        </w:rPr>
        <w:t>is carried out in accordance with identified health hazards;</w:t>
      </w:r>
    </w:p>
    <w:p w14:paraId="37BDC627" w14:textId="77777777" w:rsidR="006C5767" w:rsidRPr="006C5767" w:rsidRDefault="006C5767" w:rsidP="006C5767">
      <w:pPr>
        <w:pStyle w:val="Subtitle"/>
        <w:numPr>
          <w:ilvl w:val="0"/>
          <w:numId w:val="27"/>
        </w:numPr>
        <w:rPr>
          <w:sz w:val="32"/>
          <w:szCs w:val="18"/>
        </w:rPr>
      </w:pPr>
      <w:r w:rsidRPr="006C5767">
        <w:rPr>
          <w:sz w:val="32"/>
          <w:szCs w:val="18"/>
        </w:rPr>
        <w:t>carried out in accordance with relevant legislation, codes of practice and Australian standards;</w:t>
      </w:r>
    </w:p>
    <w:p w14:paraId="104138ED" w14:textId="31752DC9" w:rsidR="006C5767" w:rsidRPr="006C5767" w:rsidRDefault="006C5767" w:rsidP="00F42C01">
      <w:pPr>
        <w:pStyle w:val="Subtitle"/>
        <w:numPr>
          <w:ilvl w:val="0"/>
          <w:numId w:val="27"/>
        </w:numPr>
        <w:spacing w:after="240"/>
        <w:ind w:left="714" w:hanging="357"/>
        <w:rPr>
          <w:sz w:val="32"/>
          <w:szCs w:val="18"/>
        </w:rPr>
      </w:pPr>
      <w:r w:rsidRPr="006C5767">
        <w:rPr>
          <w:sz w:val="32"/>
          <w:szCs w:val="18"/>
        </w:rPr>
        <w:t>includes a process for management and communication of health monitoring results and records.</w:t>
      </w:r>
    </w:p>
    <w:p w14:paraId="5149A763" w14:textId="77777777" w:rsidR="002E112B" w:rsidRDefault="002E112B" w:rsidP="002E112B">
      <w:pPr>
        <w:pStyle w:val="Heading1"/>
        <w:spacing w:before="0" w:after="240"/>
        <w:rPr>
          <w:sz w:val="24"/>
          <w:szCs w:val="14"/>
        </w:rPr>
      </w:pPr>
      <w:r>
        <w:rPr>
          <w:sz w:val="24"/>
          <w:szCs w:val="14"/>
        </w:rPr>
        <w:t>Key steps</w:t>
      </w:r>
    </w:p>
    <w:p w14:paraId="11A751F7" w14:textId="0EB0C233" w:rsidR="002E112B" w:rsidRDefault="55A716AD" w:rsidP="002E112B">
      <w:pPr>
        <w:tabs>
          <w:tab w:val="num" w:pos="2552"/>
        </w:tabs>
      </w:pPr>
      <w:r>
        <w:t xml:space="preserve">When undertaking an assessment process to meet this </w:t>
      </w:r>
      <w:r w:rsidR="45324EAB">
        <w:t>criterion</w:t>
      </w:r>
      <w:r>
        <w:t xml:space="preserve">, the ideal steps are: </w:t>
      </w:r>
    </w:p>
    <w:p w14:paraId="32368308" w14:textId="41D97A8E" w:rsidR="00B721B2" w:rsidRDefault="00B721B2" w:rsidP="00B721B2">
      <w:pPr>
        <w:pStyle w:val="ListParagraph"/>
        <w:numPr>
          <w:ilvl w:val="0"/>
          <w:numId w:val="47"/>
        </w:numPr>
        <w:tabs>
          <w:tab w:val="num" w:pos="2552"/>
        </w:tabs>
      </w:pPr>
      <w:r w:rsidRPr="01E2E9AD">
        <w:rPr>
          <w:b/>
          <w:bCs/>
        </w:rPr>
        <w:t>Step 1</w:t>
      </w:r>
      <w:r w:rsidR="007D254B">
        <w:rPr>
          <w:b/>
          <w:bCs/>
        </w:rPr>
        <w:t>1</w:t>
      </w:r>
      <w:r>
        <w:t xml:space="preserve"> - Identify the need for health surveillance/monitoring, referencing the primary obligations under the Model WHS Regulations </w:t>
      </w:r>
      <w:r w:rsidR="0000B2CC">
        <w:t>or</w:t>
      </w:r>
      <w:r>
        <w:t xml:space="preserve"> Victorian OHS Regulations for noise, hazardous chemicals, lead, crystalline silica and asbestos</w:t>
      </w:r>
      <w:r w:rsidR="0013501A">
        <w:t xml:space="preserve">, </w:t>
      </w:r>
      <w:r w:rsidR="00BB762D">
        <w:t xml:space="preserve">and </w:t>
      </w:r>
      <w:r w:rsidR="0013501A">
        <w:t>including the specific work groups affected.</w:t>
      </w:r>
    </w:p>
    <w:p w14:paraId="704D90DC" w14:textId="6324C0DC" w:rsidR="00B721B2" w:rsidRDefault="21F25805" w:rsidP="00B721B2">
      <w:pPr>
        <w:pStyle w:val="ListParagraph"/>
        <w:numPr>
          <w:ilvl w:val="0"/>
          <w:numId w:val="47"/>
        </w:numPr>
        <w:tabs>
          <w:tab w:val="num" w:pos="2552"/>
        </w:tabs>
      </w:pPr>
      <w:r w:rsidRPr="398A7796">
        <w:rPr>
          <w:b/>
          <w:bCs/>
        </w:rPr>
        <w:t>Step 1</w:t>
      </w:r>
      <w:r w:rsidR="007D254B">
        <w:rPr>
          <w:b/>
          <w:bCs/>
        </w:rPr>
        <w:t>2</w:t>
      </w:r>
      <w:r>
        <w:t xml:space="preserve"> - Undertake health monitoring </w:t>
      </w:r>
      <w:r w:rsidR="0042572A">
        <w:t xml:space="preserve">under the supervision of, or by, an appropriately qualified medical practitioner, </w:t>
      </w:r>
      <w:r>
        <w:t>consistent with regulatory requirements and at the required frequency/trigger events, with costs borne by the company. Companies should obtain sufficient information from subcontractors (</w:t>
      </w:r>
      <w:r w:rsidR="00823D51">
        <w:t>for example,</w:t>
      </w:r>
      <w:r>
        <w:t xml:space="preserve"> via a letter, or captured during the tender interview process) confirming what monitoring is being done and when</w:t>
      </w:r>
      <w:r w:rsidR="6C8C5626">
        <w:t xml:space="preserve">, </w:t>
      </w:r>
      <w:r>
        <w:t>without requiring private</w:t>
      </w:r>
      <w:r w:rsidR="6DADD64A">
        <w:t xml:space="preserve"> or</w:t>
      </w:r>
      <w:r w:rsidR="00155023">
        <w:t xml:space="preserve"> </w:t>
      </w:r>
      <w:r>
        <w:t>confidential information unless consent has been obtained.</w:t>
      </w:r>
      <w:r w:rsidR="00363BB9">
        <w:t xml:space="preserve"> </w:t>
      </w:r>
    </w:p>
    <w:p w14:paraId="6ABB48A5" w14:textId="7C05999E" w:rsidR="00B721B2" w:rsidRDefault="21F25805" w:rsidP="00B721B2">
      <w:pPr>
        <w:pStyle w:val="ListParagraph"/>
        <w:numPr>
          <w:ilvl w:val="0"/>
          <w:numId w:val="47"/>
        </w:numPr>
        <w:tabs>
          <w:tab w:val="num" w:pos="2552"/>
        </w:tabs>
      </w:pPr>
      <w:r w:rsidRPr="398A7796">
        <w:rPr>
          <w:b/>
          <w:bCs/>
        </w:rPr>
        <w:t>Step 1</w:t>
      </w:r>
      <w:r w:rsidR="007D254B">
        <w:rPr>
          <w:b/>
          <w:bCs/>
        </w:rPr>
        <w:t>3</w:t>
      </w:r>
      <w:r>
        <w:t xml:space="preserve"> - Manage and retain health monitoring records</w:t>
      </w:r>
      <w:r w:rsidR="0096628A">
        <w:t>.</w:t>
      </w:r>
      <w:r>
        <w:t xml:space="preserve"> </w:t>
      </w:r>
      <w:r w:rsidR="0096628A">
        <w:t>K</w:t>
      </w:r>
      <w:r>
        <w:t xml:space="preserve">eep them confidential, only release </w:t>
      </w:r>
      <w:r w:rsidR="0096628A">
        <w:t xml:space="preserve">them </w:t>
      </w:r>
      <w:r>
        <w:t xml:space="preserve">with </w:t>
      </w:r>
      <w:r w:rsidR="0096628A">
        <w:t xml:space="preserve">the </w:t>
      </w:r>
      <w:r>
        <w:t>worker</w:t>
      </w:r>
      <w:r w:rsidR="0096628A">
        <w:t>’s</w:t>
      </w:r>
      <w:r>
        <w:t xml:space="preserve"> consent, make them available to the worker on request, and retain them</w:t>
      </w:r>
      <w:r w:rsidR="1EE7A039">
        <w:t xml:space="preserve"> in accordance with</w:t>
      </w:r>
      <w:r>
        <w:t xml:space="preserve"> regulatory timeframes (typically 30 years</w:t>
      </w:r>
      <w:r w:rsidR="00E97A6F">
        <w:t xml:space="preserve"> or</w:t>
      </w:r>
      <w:r>
        <w:t xml:space="preserve"> 40 years for asbestos-related surveillance).</w:t>
      </w:r>
    </w:p>
    <w:p w14:paraId="35B3763E" w14:textId="6E3C5AA3" w:rsidR="00B721B2" w:rsidRPr="00FA63B4" w:rsidRDefault="00B721B2" w:rsidP="00B721B2">
      <w:pPr>
        <w:pStyle w:val="ListParagraph"/>
        <w:numPr>
          <w:ilvl w:val="0"/>
          <w:numId w:val="47"/>
        </w:numPr>
        <w:tabs>
          <w:tab w:val="num" w:pos="2552"/>
        </w:tabs>
      </w:pPr>
      <w:r w:rsidRPr="00FA63B4">
        <w:rPr>
          <w:b/>
          <w:bCs/>
        </w:rPr>
        <w:t>Final step</w:t>
      </w:r>
      <w:r>
        <w:t xml:space="preserve"> - Review</w:t>
      </w:r>
      <w:r w:rsidDel="0096628A">
        <w:t xml:space="preserve"> </w:t>
      </w:r>
      <w:r>
        <w:t>control measures to confirm they remain effective and consistent with the documented safe system of work.</w:t>
      </w:r>
    </w:p>
    <w:p w14:paraId="16ADC16B" w14:textId="77777777" w:rsidR="008E62B5" w:rsidRPr="00D5798B" w:rsidRDefault="008E62B5" w:rsidP="008E62B5">
      <w:pPr>
        <w:pStyle w:val="Heading1"/>
        <w:spacing w:before="0" w:after="240"/>
        <w:rPr>
          <w:sz w:val="24"/>
          <w:szCs w:val="24"/>
        </w:rPr>
      </w:pPr>
      <w:r w:rsidRPr="01E2E9AD">
        <w:rPr>
          <w:sz w:val="24"/>
          <w:szCs w:val="24"/>
        </w:rPr>
        <w:t>Common issues identified at audit</w:t>
      </w:r>
    </w:p>
    <w:p w14:paraId="22E1D454" w14:textId="657B4A71" w:rsidR="008E62B5" w:rsidRDefault="008E62B5" w:rsidP="008E62B5">
      <w:pPr>
        <w:pStyle w:val="ListParagraph"/>
        <w:numPr>
          <w:ilvl w:val="0"/>
          <w:numId w:val="30"/>
        </w:numPr>
        <w:ind w:left="714" w:hanging="357"/>
      </w:pPr>
      <w:r>
        <w:t xml:space="preserve">Companies and subcontractors do not </w:t>
      </w:r>
      <w:r w:rsidR="0096628A">
        <w:t xml:space="preserve">adequately </w:t>
      </w:r>
      <w:r>
        <w:t>understand their WHS/OHS obligations for health monitoring.</w:t>
      </w:r>
    </w:p>
    <w:p w14:paraId="4C9B65AB" w14:textId="77777777" w:rsidR="008E62B5" w:rsidRDefault="008E62B5" w:rsidP="008E62B5">
      <w:pPr>
        <w:pStyle w:val="ListParagraph"/>
        <w:numPr>
          <w:ilvl w:val="0"/>
          <w:numId w:val="30"/>
        </w:numPr>
      </w:pPr>
      <w:r>
        <w:t>The head contractor does not assure itself that:</w:t>
      </w:r>
    </w:p>
    <w:p w14:paraId="00983215" w14:textId="50DFC53F" w:rsidR="008E62B5" w:rsidRDefault="008E62B5" w:rsidP="008E62B5">
      <w:pPr>
        <w:pStyle w:val="ListParagraph"/>
        <w:numPr>
          <w:ilvl w:val="1"/>
          <w:numId w:val="30"/>
        </w:numPr>
      </w:pPr>
      <w:r>
        <w:t>subcontractors understand their obligations for health monitoring; and</w:t>
      </w:r>
    </w:p>
    <w:p w14:paraId="69C604C0" w14:textId="448B97DD" w:rsidR="008E62B5" w:rsidRDefault="008E62B5" w:rsidP="008E62B5">
      <w:pPr>
        <w:pStyle w:val="ListParagraph"/>
        <w:numPr>
          <w:ilvl w:val="1"/>
          <w:numId w:val="30"/>
        </w:numPr>
        <w:spacing w:before="120" w:line="240" w:lineRule="auto"/>
        <w:ind w:left="1434" w:hanging="357"/>
      </w:pPr>
      <w:r>
        <w:lastRenderedPageBreak/>
        <w:t>subcontractors can provide evidence that health monitoring is being performed.</w:t>
      </w:r>
    </w:p>
    <w:p w14:paraId="6CB131A2" w14:textId="77777777" w:rsidR="008E62B5" w:rsidRDefault="008E62B5" w:rsidP="008E62B5">
      <w:pPr>
        <w:pStyle w:val="ListParagraph"/>
        <w:spacing w:before="120" w:line="240" w:lineRule="auto"/>
        <w:ind w:left="1434"/>
      </w:pPr>
    </w:p>
    <w:p w14:paraId="64CA1121" w14:textId="2CD8C16C" w:rsidR="008E62B5" w:rsidRDefault="008E62B5" w:rsidP="008E62B5">
      <w:pPr>
        <w:pStyle w:val="ListParagraph"/>
        <w:numPr>
          <w:ilvl w:val="0"/>
          <w:numId w:val="30"/>
        </w:numPr>
        <w:spacing w:before="120"/>
        <w:ind w:left="714" w:hanging="357"/>
      </w:pPr>
      <w:r>
        <w:t xml:space="preserve">Private and </w:t>
      </w:r>
      <w:r w:rsidR="0096628A">
        <w:t>c</w:t>
      </w:r>
      <w:r>
        <w:t>onfidential records are provided as evidence of health monitoring without workers’ consent.</w:t>
      </w:r>
    </w:p>
    <w:p w14:paraId="1DF76CB4" w14:textId="22365D4A" w:rsidR="00670AED" w:rsidRDefault="00670AED" w:rsidP="00670AED">
      <w:r w:rsidRPr="00670AED">
        <w:rPr>
          <w:rFonts w:eastAsiaTheme="majorEastAsia" w:cstheme="majorBidi"/>
          <w:b/>
          <w:color w:val="9A1B27" w:themeColor="accent1"/>
          <w:sz w:val="24"/>
          <w:szCs w:val="24"/>
        </w:rPr>
        <w:t>Note</w:t>
      </w:r>
    </w:p>
    <w:p w14:paraId="1CFC394A" w14:textId="101B4FCE" w:rsidR="00670AED" w:rsidRPr="00670AED" w:rsidRDefault="00670AED" w:rsidP="00670AED">
      <w:r>
        <w:t>Australia is transitioning from the Workplace Exposure Standard</w:t>
      </w:r>
      <w:r w:rsidR="00E932EC">
        <w:t>s</w:t>
      </w:r>
      <w:r>
        <w:t xml:space="preserve"> (WES) to Workplace Exposure Limit</w:t>
      </w:r>
      <w:r w:rsidR="00E932EC">
        <w:t>s</w:t>
      </w:r>
      <w:r>
        <w:t xml:space="preserve"> (WEL) </w:t>
      </w:r>
      <w:r w:rsidR="00E932EC">
        <w:t xml:space="preserve">for airborne contaminants </w:t>
      </w:r>
      <w:r>
        <w:t>on 1 December 2026. For the purposes of this factsheet, references to WES should be read as including the equivalent WEL requirements, where applicable</w:t>
      </w:r>
      <w:r w:rsidR="00E932EC">
        <w:t xml:space="preserve"> after this date</w:t>
      </w:r>
      <w:r w:rsidR="1088ED2A">
        <w:t>.</w:t>
      </w:r>
    </w:p>
    <w:p w14:paraId="49BDC01C" w14:textId="1BBE4EC4" w:rsidR="398A7796" w:rsidRDefault="4DCCBD65" w:rsidP="398A7796">
      <w:r>
        <w:t>Further information</w:t>
      </w:r>
      <w:r w:rsidR="091CFF64">
        <w:t xml:space="preserve"> on the transition</w:t>
      </w:r>
      <w:r w:rsidR="28D06781">
        <w:t xml:space="preserve"> from the WES</w:t>
      </w:r>
      <w:r w:rsidR="091CFF64">
        <w:t xml:space="preserve"> to the WEL</w:t>
      </w:r>
      <w:r>
        <w:t xml:space="preserve"> is available </w:t>
      </w:r>
      <w:r w:rsidR="00105DC9">
        <w:t xml:space="preserve">at </w:t>
      </w:r>
      <w:hyperlink r:id="rId24">
        <w:r w:rsidRPr="6F87DC36">
          <w:rPr>
            <w:rStyle w:val="Hyperlink"/>
          </w:rPr>
          <w:t>Safe Work Australia</w:t>
        </w:r>
        <w:r w:rsidR="00085AC0" w:rsidRPr="6F87DC36">
          <w:rPr>
            <w:rStyle w:val="Hyperlink"/>
          </w:rPr>
          <w:t>’s website,</w:t>
        </w:r>
      </w:hyperlink>
      <w:r w:rsidR="00085AC0">
        <w:t xml:space="preserve"> and from </w:t>
      </w:r>
      <w:r w:rsidR="007E5846">
        <w:t xml:space="preserve">the </w:t>
      </w:r>
      <w:r w:rsidR="00EE1E7C">
        <w:t>WHS</w:t>
      </w:r>
      <w:r w:rsidR="000A6A03">
        <w:t xml:space="preserve"> regulator</w:t>
      </w:r>
      <w:r w:rsidR="007E5846">
        <w:t xml:space="preserve"> in</w:t>
      </w:r>
      <w:r w:rsidR="000A6A03">
        <w:t xml:space="preserve"> </w:t>
      </w:r>
      <w:r w:rsidR="00EE1E7C">
        <w:t>each</w:t>
      </w:r>
      <w:r w:rsidR="000A6A03">
        <w:t xml:space="preserve"> </w:t>
      </w:r>
      <w:r w:rsidR="00EE1E7C">
        <w:t>jurisdiction</w:t>
      </w:r>
      <w:r w:rsidR="7982C2BF">
        <w:t>.</w:t>
      </w:r>
    </w:p>
    <w:p w14:paraId="69220F79" w14:textId="53E5D78C" w:rsidR="5EE9EAAA" w:rsidRDefault="006C71E7" w:rsidP="398A7796">
      <w:r>
        <w:rPr>
          <w:noProof/>
        </w:rPr>
        <mc:AlternateContent>
          <mc:Choice Requires="wps">
            <w:drawing>
              <wp:anchor distT="0" distB="0" distL="114300" distR="114300" simplePos="0" relativeHeight="251658242" behindDoc="0" locked="0" layoutInCell="1" allowOverlap="1" wp14:anchorId="338B01FB" wp14:editId="0984A798">
                <wp:simplePos x="0" y="0"/>
                <wp:positionH relativeFrom="page">
                  <wp:align>center</wp:align>
                </wp:positionH>
                <wp:positionV relativeFrom="paragraph">
                  <wp:posOffset>133350</wp:posOffset>
                </wp:positionV>
                <wp:extent cx="5848350" cy="1247775"/>
                <wp:effectExtent l="0" t="0" r="19050" b="28575"/>
                <wp:wrapNone/>
                <wp:docPr id="308300241" name="Rectangle 2">
                  <a:extLst xmlns:a="http://schemas.openxmlformats.org/drawingml/2006/main">
                    <a:ext uri="{FF2B5EF4-FFF2-40B4-BE49-F238E27FC236}">
                      <a16:creationId xmlns:a16="http://schemas.microsoft.com/office/drawing/2014/main" id="{406653F6-96C8-401E-9FD9-B425E500EAC5}"/>
                    </a:ext>
                  </a:extLst>
                </wp:docPr>
                <wp:cNvGraphicFramePr/>
                <a:graphic xmlns:a="http://schemas.openxmlformats.org/drawingml/2006/main">
                  <a:graphicData uri="http://schemas.microsoft.com/office/word/2010/wordprocessingShape">
                    <wps:wsp>
                      <wps:cNvSpPr/>
                      <wps:spPr>
                        <a:xfrm>
                          <a:off x="0" y="0"/>
                          <a:ext cx="5848350" cy="1247775"/>
                        </a:xfrm>
                        <a:prstGeom prst="rect">
                          <a:avLst/>
                        </a:prstGeom>
                        <a:solidFill>
                          <a:srgbClr val="E4E5DF">
                            <a:lumMod val="90000"/>
                          </a:srgbClr>
                        </a:solidFill>
                        <a:ln w="12700" cap="flat" cmpd="sng" algn="ctr">
                          <a:solidFill>
                            <a:srgbClr val="E4E5DF">
                              <a:lumMod val="75000"/>
                            </a:srgbClr>
                          </a:solidFill>
                          <a:prstDash val="solid"/>
                          <a:miter lim="800000"/>
                        </a:ln>
                        <a:effectLst/>
                      </wps:spPr>
                      <wps:txbx>
                        <w:txbxContent>
                          <w:p w14:paraId="7359B5E7" w14:textId="77777777" w:rsidR="006C71E7" w:rsidRPr="004C0572" w:rsidRDefault="006C71E7" w:rsidP="006C71E7">
                            <w:pPr>
                              <w:jc w:val="center"/>
                              <w:rPr>
                                <w:i/>
                                <w:iCs/>
                                <w:color w:val="000000" w:themeColor="text1"/>
                              </w:rPr>
                            </w:pPr>
                            <w:r w:rsidRPr="004C0572">
                              <w:rPr>
                                <w:i/>
                                <w:iCs/>
                                <w:color w:val="000000" w:themeColor="text1"/>
                              </w:rPr>
                              <w:t xml:space="preserve">This factsheet contains general information only and is not a substitute for independent professional advice. Further information about the intended purpose and use of this factsheet can be accessed on the Office of the Federal Safety Commissioner’s </w:t>
                            </w:r>
                            <w:hyperlink r:id="rId25" w:history="1">
                              <w:r w:rsidRPr="004C0572">
                                <w:rPr>
                                  <w:rStyle w:val="Hyperlink"/>
                                  <w:i/>
                                  <w:iCs/>
                                </w:rPr>
                                <w:t>website</w:t>
                              </w:r>
                            </w:hyperlink>
                            <w:r w:rsidRPr="004C0572">
                              <w:rPr>
                                <w:i/>
                                <w:iCs/>
                                <w:color w:val="000000" w:themeColor="text1"/>
                              </w:rPr>
                              <w:t xml:space="preserve">; specifically, the disclaimer available at </w:t>
                            </w:r>
                            <w:hyperlink r:id="rId26" w:history="1">
                              <w:r w:rsidRPr="000C54E1">
                                <w:rPr>
                                  <w:rStyle w:val="Hyperlink"/>
                                  <w:i/>
                                  <w:iCs/>
                                </w:rPr>
                                <w:t>https://www.fsc.gov.au/disclaimer</w:t>
                              </w:r>
                            </w:hyperlink>
                            <w:r>
                              <w:rPr>
                                <w:i/>
                                <w:iCs/>
                                <w:color w:val="000000" w:themeColor="text1"/>
                              </w:rPr>
                              <w:t xml:space="preserve"> </w:t>
                            </w:r>
                            <w:r w:rsidRPr="004C0572">
                              <w:rPr>
                                <w:i/>
                                <w:iCs/>
                                <w:color w:val="000000" w:themeColor="text1"/>
                              </w:rPr>
                              <w:t>applies to this publication.</w:t>
                            </w:r>
                          </w:p>
                          <w:p w14:paraId="53A45694" w14:textId="2941DC06" w:rsidR="006C71E7" w:rsidRPr="004C0572" w:rsidRDefault="006C71E7" w:rsidP="006C71E7">
                            <w:pPr>
                              <w:jc w:val="center"/>
                              <w:rPr>
                                <w:color w:val="000000" w:themeColor="text1"/>
                              </w:rPr>
                            </w:pPr>
                            <w:r w:rsidRPr="00F42C01">
                              <w:rPr>
                                <w:color w:val="000000" w:themeColor="text1"/>
                              </w:rPr>
                              <w:t xml:space="preserve">Last updated </w:t>
                            </w:r>
                            <w:r w:rsidR="00F42C01" w:rsidRPr="00F42C01">
                              <w:rPr>
                                <w:color w:val="000000" w:themeColor="text1"/>
                              </w:rPr>
                              <w:t>1</w:t>
                            </w:r>
                            <w:r w:rsidR="00EC2A33" w:rsidRPr="00F42C01">
                              <w:rPr>
                                <w:color w:val="000000" w:themeColor="text1"/>
                              </w:rPr>
                              <w:t xml:space="preserve"> </w:t>
                            </w:r>
                            <w:r w:rsidRPr="00F42C01">
                              <w:rPr>
                                <w:color w:val="000000" w:themeColor="text1"/>
                              </w:rPr>
                              <w:t>October 202</w:t>
                            </w:r>
                            <w:r w:rsidR="00EC2A33" w:rsidRPr="00F42C01">
                              <w:rPr>
                                <w:color w:val="000000" w:themeColor="text1"/>
                              </w:rPr>
                              <w:t>6</w:t>
                            </w:r>
                            <w:r w:rsidRPr="00F42C01">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8B01FB" id="Rectangle 2" o:spid="_x0000_s1027" style="position:absolute;margin-left:0;margin-top:10.5pt;width:460.5pt;height:98.25pt;z-index:25165824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" fillcolor="#cfd1c6" strokecolor="#afb2a1" strokeweight="1pt">
                <v:textbox>
                  <w:txbxContent>
                    <w:p w14:paraId="7359B5E7" w14:textId="77777777" w:rsidR="006C71E7" w:rsidRPr="004C0572" w:rsidRDefault="006C71E7" w:rsidP="006C71E7">
                      <w:pPr>
                        <w:jc w:val="center"/>
                        <w:rPr>
                          <w:i/>
                          <w:iCs/>
                          <w:color w:val="000000" w:themeColor="text1"/>
                        </w:rPr>
                      </w:pPr>
                      <w:r w:rsidRPr="004C0572">
                        <w:rPr>
                          <w:i/>
                          <w:iCs/>
                          <w:color w:val="000000" w:themeColor="text1"/>
                        </w:rPr>
                        <w:t xml:space="preserve">This factsheet contains general information only and is not a substitute for independent professional advice. Further information about the intended purpose and use of this factsheet can be accessed on the Office of the Federal Safety Commissioner’s </w:t>
                      </w:r>
                      <w:hyperlink r:id="rId27" w:history="1">
                        <w:r w:rsidRPr="004C0572">
                          <w:rPr>
                            <w:rStyle w:val="Hyperlink"/>
                            <w:i/>
                            <w:iCs/>
                          </w:rPr>
                          <w:t>website</w:t>
                        </w:r>
                      </w:hyperlink>
                      <w:r w:rsidRPr="004C0572">
                        <w:rPr>
                          <w:i/>
                          <w:iCs/>
                          <w:color w:val="000000" w:themeColor="text1"/>
                        </w:rPr>
                        <w:t xml:space="preserve">; specifically, the disclaimer available at </w:t>
                      </w:r>
                      <w:hyperlink r:id="rId28" w:history="1">
                        <w:r w:rsidRPr="000C54E1">
                          <w:rPr>
                            <w:rStyle w:val="Hyperlink"/>
                            <w:i/>
                            <w:iCs/>
                          </w:rPr>
                          <w:t>https://www.fsc.gov.au/disclaimer</w:t>
                        </w:r>
                      </w:hyperlink>
                      <w:r>
                        <w:rPr>
                          <w:i/>
                          <w:iCs/>
                          <w:color w:val="000000" w:themeColor="text1"/>
                        </w:rPr>
                        <w:t xml:space="preserve"> </w:t>
                      </w:r>
                      <w:r w:rsidRPr="004C0572">
                        <w:rPr>
                          <w:i/>
                          <w:iCs/>
                          <w:color w:val="000000" w:themeColor="text1"/>
                        </w:rPr>
                        <w:t>applies to this publication.</w:t>
                      </w:r>
                    </w:p>
                    <w:p w14:paraId="53A45694" w14:textId="2941DC06" w:rsidR="006C71E7" w:rsidRPr="004C0572" w:rsidRDefault="006C71E7" w:rsidP="006C71E7">
                      <w:pPr>
                        <w:jc w:val="center"/>
                        <w:rPr>
                          <w:color w:val="000000" w:themeColor="text1"/>
                        </w:rPr>
                      </w:pPr>
                      <w:r w:rsidRPr="00F42C01">
                        <w:rPr>
                          <w:color w:val="000000" w:themeColor="text1"/>
                        </w:rPr>
                        <w:t xml:space="preserve">Last updated </w:t>
                      </w:r>
                      <w:r w:rsidR="00F42C01" w:rsidRPr="00F42C01">
                        <w:rPr>
                          <w:color w:val="000000" w:themeColor="text1"/>
                        </w:rPr>
                        <w:t>1</w:t>
                      </w:r>
                      <w:r w:rsidR="00EC2A33" w:rsidRPr="00F42C01">
                        <w:rPr>
                          <w:color w:val="000000" w:themeColor="text1"/>
                        </w:rPr>
                        <w:t xml:space="preserve"> </w:t>
                      </w:r>
                      <w:r w:rsidRPr="00F42C01">
                        <w:rPr>
                          <w:color w:val="000000" w:themeColor="text1"/>
                        </w:rPr>
                        <w:t>October 202</w:t>
                      </w:r>
                      <w:r w:rsidR="00EC2A33" w:rsidRPr="00F42C01">
                        <w:rPr>
                          <w:color w:val="000000" w:themeColor="text1"/>
                        </w:rPr>
                        <w:t>6</w:t>
                      </w:r>
                      <w:r w:rsidRPr="00F42C01">
                        <w:rPr>
                          <w:color w:val="000000" w:themeColor="text1"/>
                        </w:rPr>
                        <w:t>.</w:t>
                      </w:r>
                    </w:p>
                  </w:txbxContent>
                </v:textbox>
                <w10:wrap anchorx="page"/>
              </v:rect>
            </w:pict>
          </mc:Fallback>
        </mc:AlternateContent>
      </w:r>
    </w:p>
    <w:sectPr w:rsidR="5EE9EAAA" w:rsidSect="00993696">
      <w:type w:val="continuous"/>
      <w:pgSz w:w="11906" w:h="16838"/>
      <w:pgMar w:top="1418" w:right="1133" w:bottom="1418" w:left="1418"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579F" w14:textId="77777777" w:rsidR="004831A1" w:rsidRDefault="004831A1" w:rsidP="0051352E">
      <w:pPr>
        <w:spacing w:after="0" w:line="240" w:lineRule="auto"/>
      </w:pPr>
      <w:r>
        <w:separator/>
      </w:r>
    </w:p>
  </w:endnote>
  <w:endnote w:type="continuationSeparator" w:id="0">
    <w:p w14:paraId="78766F2B" w14:textId="77777777" w:rsidR="004831A1" w:rsidRDefault="004831A1" w:rsidP="0051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867C" w14:textId="77777777" w:rsidR="001F1DE4" w:rsidRDefault="001F1DE4" w:rsidP="00B93E39">
    <w:pPr>
      <w:pStyle w:val="Footer"/>
      <w:tabs>
        <w:tab w:val="clear" w:pos="4513"/>
        <w:tab w:val="clear" w:pos="9026"/>
        <w:tab w:val="center" w:pos="4535"/>
      </w:tabs>
    </w:pPr>
    <w:r w:rsidRPr="004F2AF5">
      <w:rPr>
        <w:b/>
        <w:bCs/>
        <w:noProof/>
        <w:color w:val="000000" w:themeColor="text1"/>
        <w:sz w:val="20"/>
        <w:szCs w:val="20"/>
        <w:lang w:eastAsia="en-AU"/>
      </w:rPr>
      <w:drawing>
        <wp:anchor distT="0" distB="0" distL="114300" distR="114300" simplePos="0" relativeHeight="251658240" behindDoc="1" locked="0" layoutInCell="1" allowOverlap="1" wp14:anchorId="59A32686" wp14:editId="6309C270">
          <wp:simplePos x="0" y="0"/>
          <wp:positionH relativeFrom="column">
            <wp:posOffset>-900430</wp:posOffset>
          </wp:positionH>
          <wp:positionV relativeFrom="paragraph">
            <wp:posOffset>553085</wp:posOffset>
          </wp:positionV>
          <wp:extent cx="7663180" cy="706120"/>
          <wp:effectExtent l="0" t="0" r="0" b="0"/>
          <wp:wrapThrough wrapText="bothSides">
            <wp:wrapPolygon edited="0">
              <wp:start x="0" y="0"/>
              <wp:lineTo x="0" y="20978"/>
              <wp:lineTo x="21532" y="20978"/>
              <wp:lineTo x="21532" y="0"/>
              <wp:lineTo x="0" y="0"/>
            </wp:wrapPolygon>
          </wp:wrapThrough>
          <wp:docPr id="1536528809" name="Picture 1536528809">
            <a:extLst xmlns:a="http://schemas.openxmlformats.org/drawingml/2006/main">
              <a:ext uri="{FF2B5EF4-FFF2-40B4-BE49-F238E27FC236}">
                <a16:creationId xmlns:a16="http://schemas.microsoft.com/office/drawing/2014/main" id="{E428D7B8-0226-45D3-98C1-562385CFCD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663180" cy="706120"/>
                  </a:xfrm>
                  <a:prstGeom prst="rect">
                    <a:avLst/>
                  </a:prstGeom>
                </pic:spPr>
              </pic:pic>
            </a:graphicData>
          </a:graphic>
          <wp14:sizeRelH relativeFrom="page">
            <wp14:pctWidth>0</wp14:pctWidth>
          </wp14:sizeRelH>
          <wp14:sizeRelV relativeFrom="page">
            <wp14:pctHeight>0</wp14:pctHeight>
          </wp14:sizeRelV>
        </wp:anchor>
      </w:drawing>
    </w:r>
    <w:r>
      <w:tab/>
    </w:r>
    <w:r w:rsidRPr="004F2AF5">
      <w:rPr>
        <w:b/>
        <w:bCs/>
        <w:sz w:val="20"/>
        <w:szCs w:val="20"/>
      </w:rPr>
      <w:t>Further information:</w:t>
    </w:r>
    <w:r>
      <w:rPr>
        <w:b/>
        <w:bCs/>
        <w:sz w:val="20"/>
        <w:szCs w:val="20"/>
      </w:rPr>
      <w:t xml:space="preserve"> </w:t>
    </w:r>
    <w:r w:rsidRPr="00B93E39">
      <w:rPr>
        <w:sz w:val="20"/>
        <w:szCs w:val="20"/>
      </w:rPr>
      <w:t xml:space="preserve">Visit the FSC website at </w:t>
    </w:r>
    <w:hyperlink r:id="rId2" w:history="1">
      <w:r w:rsidRPr="00B93E39">
        <w:rPr>
          <w:rStyle w:val="Hyperlink"/>
          <w:b/>
          <w:bCs/>
          <w:color w:val="9A1B27" w:themeColor="accent1"/>
          <w:sz w:val="20"/>
          <w:szCs w:val="20"/>
        </w:rPr>
        <w:t>www.fsc.gov.au</w:t>
      </w:r>
    </w:hyperlink>
    <w:r>
      <w:rPr>
        <w:sz w:val="20"/>
        <w:szCs w:val="20"/>
      </w:rPr>
      <w:t xml:space="preserve">  </w:t>
    </w:r>
    <w:r>
      <w:rPr>
        <w:sz w:val="20"/>
        <w:szCs w:val="20"/>
      </w:rPr>
      <w:br/>
    </w:r>
    <w:r w:rsidRPr="00B93E39">
      <w:rPr>
        <w:sz w:val="20"/>
        <w:szCs w:val="20"/>
      </w:rPr>
      <w:t xml:space="preserve">Contact the FSC Assist Line on </w:t>
    </w:r>
    <w:r w:rsidRPr="00B93E39">
      <w:rPr>
        <w:b/>
        <w:bCs/>
        <w:sz w:val="20"/>
        <w:szCs w:val="20"/>
      </w:rPr>
      <w:t>1800 652 500</w:t>
    </w:r>
    <w:r>
      <w:rPr>
        <w:b/>
        <w:bCs/>
        <w:sz w:val="20"/>
        <w:szCs w:val="20"/>
      </w:rPr>
      <w:t xml:space="preserve">   </w:t>
    </w:r>
    <w:r>
      <w:rPr>
        <w:sz w:val="20"/>
        <w:szCs w:val="20"/>
      </w:rPr>
      <w:t xml:space="preserve"> |    </w:t>
    </w:r>
    <w:r w:rsidRPr="00B93E39">
      <w:rPr>
        <w:sz w:val="20"/>
        <w:szCs w:val="20"/>
      </w:rPr>
      <w:t xml:space="preserve">Contact the OFSC via email at </w:t>
    </w:r>
    <w:r w:rsidRPr="00B93E39">
      <w:rPr>
        <w:b/>
        <w:bCs/>
        <w:sz w:val="20"/>
        <w:szCs w:val="20"/>
      </w:rPr>
      <w:t>ofsc@dewr.gov.au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13AB" w14:textId="77777777" w:rsidR="001F1DE4" w:rsidRPr="004F2AF5" w:rsidRDefault="001F1DE4" w:rsidP="00B93E39">
    <w:pPr>
      <w:pStyle w:val="Footer"/>
      <w:jc w:val="center"/>
      <w:rPr>
        <w:b/>
        <w:bCs/>
        <w:sz w:val="20"/>
        <w:szCs w:val="20"/>
      </w:rPr>
    </w:pPr>
    <w:r w:rsidRPr="004F2AF5">
      <w:rPr>
        <w:b/>
        <w:bCs/>
        <w:noProof/>
        <w:color w:val="000000" w:themeColor="text1"/>
        <w:sz w:val="20"/>
        <w:szCs w:val="20"/>
        <w:lang w:eastAsia="en-AU"/>
      </w:rPr>
      <w:drawing>
        <wp:anchor distT="0" distB="0" distL="114300" distR="114300" simplePos="0" relativeHeight="251658241" behindDoc="1" locked="0" layoutInCell="1" allowOverlap="1" wp14:anchorId="087521C6" wp14:editId="109D6FAA">
          <wp:simplePos x="0" y="0"/>
          <wp:positionH relativeFrom="column">
            <wp:posOffset>-898525</wp:posOffset>
          </wp:positionH>
          <wp:positionV relativeFrom="paragraph">
            <wp:posOffset>718820</wp:posOffset>
          </wp:positionV>
          <wp:extent cx="7663180" cy="706120"/>
          <wp:effectExtent l="0" t="0" r="0" b="0"/>
          <wp:wrapThrough wrapText="bothSides">
            <wp:wrapPolygon edited="0">
              <wp:start x="0" y="0"/>
              <wp:lineTo x="0" y="20978"/>
              <wp:lineTo x="21532" y="20978"/>
              <wp:lineTo x="21532" y="0"/>
              <wp:lineTo x="0" y="0"/>
            </wp:wrapPolygon>
          </wp:wrapThrough>
          <wp:docPr id="632905616" name="Picture 632905616">
            <a:extLst xmlns:a="http://schemas.openxmlformats.org/drawingml/2006/main">
              <a:ext uri="{FF2B5EF4-FFF2-40B4-BE49-F238E27FC236}">
                <a16:creationId xmlns:a16="http://schemas.microsoft.com/office/drawing/2014/main" id="{B03BB602-A9E8-4AF2-B3DC-693152637D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663180" cy="706120"/>
                  </a:xfrm>
                  <a:prstGeom prst="rect">
                    <a:avLst/>
                  </a:prstGeom>
                </pic:spPr>
              </pic:pic>
            </a:graphicData>
          </a:graphic>
          <wp14:sizeRelH relativeFrom="page">
            <wp14:pctWidth>0</wp14:pctWidth>
          </wp14:sizeRelH>
          <wp14:sizeRelV relativeFrom="page">
            <wp14:pctHeight>0</wp14:pctHeight>
          </wp14:sizeRelV>
        </wp:anchor>
      </w:drawing>
    </w:r>
    <w:r>
      <w:rPr>
        <w:b/>
        <w:bCs/>
        <w:sz w:val="20"/>
        <w:szCs w:val="20"/>
      </w:rPr>
      <w:br/>
    </w:r>
    <w:r w:rsidRPr="004F2AF5">
      <w:rPr>
        <w:b/>
        <w:bCs/>
        <w:sz w:val="20"/>
        <w:szCs w:val="20"/>
      </w:rPr>
      <w:t>Further information:</w:t>
    </w:r>
    <w:r>
      <w:rPr>
        <w:b/>
        <w:bCs/>
        <w:sz w:val="20"/>
        <w:szCs w:val="20"/>
      </w:rPr>
      <w:t xml:space="preserve"> </w:t>
    </w:r>
    <w:r w:rsidRPr="00B93E39">
      <w:rPr>
        <w:sz w:val="20"/>
        <w:szCs w:val="20"/>
      </w:rPr>
      <w:t xml:space="preserve">Visit the FSC website at </w:t>
    </w:r>
    <w:hyperlink r:id="rId2" w:history="1">
      <w:r w:rsidRPr="00B93E39">
        <w:rPr>
          <w:rStyle w:val="Hyperlink"/>
          <w:b/>
          <w:bCs/>
          <w:color w:val="9A1B27" w:themeColor="accent1"/>
          <w:sz w:val="20"/>
          <w:szCs w:val="20"/>
        </w:rPr>
        <w:t>www.fsc.gov.au</w:t>
      </w:r>
    </w:hyperlink>
    <w:r>
      <w:rPr>
        <w:sz w:val="20"/>
        <w:szCs w:val="20"/>
      </w:rPr>
      <w:t xml:space="preserve">  </w:t>
    </w:r>
    <w:r>
      <w:rPr>
        <w:sz w:val="20"/>
        <w:szCs w:val="20"/>
      </w:rPr>
      <w:br/>
    </w:r>
    <w:r w:rsidRPr="00B93E39">
      <w:rPr>
        <w:sz w:val="20"/>
        <w:szCs w:val="20"/>
      </w:rPr>
      <w:t xml:space="preserve">Contact the FSC Assist Line on </w:t>
    </w:r>
    <w:r w:rsidRPr="00B93E39">
      <w:rPr>
        <w:b/>
        <w:bCs/>
        <w:sz w:val="20"/>
        <w:szCs w:val="20"/>
      </w:rPr>
      <w:t>1800 652 500</w:t>
    </w:r>
    <w:r>
      <w:rPr>
        <w:b/>
        <w:bCs/>
        <w:sz w:val="20"/>
        <w:szCs w:val="20"/>
      </w:rPr>
      <w:t xml:space="preserve">   </w:t>
    </w:r>
    <w:r>
      <w:rPr>
        <w:sz w:val="20"/>
        <w:szCs w:val="20"/>
      </w:rPr>
      <w:t xml:space="preserve"> |    </w:t>
    </w:r>
    <w:r w:rsidRPr="00B93E39">
      <w:rPr>
        <w:sz w:val="20"/>
        <w:szCs w:val="20"/>
      </w:rPr>
      <w:t xml:space="preserve">Contact the OFSC via email at </w:t>
    </w:r>
    <w:r w:rsidRPr="00B93E39">
      <w:rPr>
        <w:b/>
        <w:bCs/>
        <w:sz w:val="20"/>
        <w:szCs w:val="20"/>
      </w:rPr>
      <w:t>ofsc@dewr.gov.au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59B6F" w14:textId="77777777" w:rsidR="004831A1" w:rsidRDefault="004831A1" w:rsidP="0051352E">
      <w:pPr>
        <w:spacing w:after="0" w:line="240" w:lineRule="auto"/>
      </w:pPr>
      <w:r>
        <w:separator/>
      </w:r>
    </w:p>
  </w:footnote>
  <w:footnote w:type="continuationSeparator" w:id="0">
    <w:p w14:paraId="0579F7DE" w14:textId="77777777" w:rsidR="004831A1" w:rsidRDefault="004831A1" w:rsidP="00513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E4B3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BCA7F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1027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147AC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7088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D0BC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D3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636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4E7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F43B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906C5"/>
    <w:multiLevelType w:val="hybridMultilevel"/>
    <w:tmpl w:val="EEC22D3C"/>
    <w:lvl w:ilvl="0" w:tplc="A26E0930">
      <w:numFmt w:val="bullet"/>
      <w:pStyle w:val="dotpoint"/>
      <w:lvlText w:val="•"/>
      <w:lvlJc w:val="left"/>
      <w:pPr>
        <w:ind w:left="1080" w:hanging="72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9A53CF"/>
    <w:multiLevelType w:val="hybridMultilevel"/>
    <w:tmpl w:val="023C1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80E20ED"/>
    <w:multiLevelType w:val="hybridMultilevel"/>
    <w:tmpl w:val="C8342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23CC88"/>
    <w:multiLevelType w:val="hybridMultilevel"/>
    <w:tmpl w:val="387C5BC0"/>
    <w:lvl w:ilvl="0" w:tplc="654ED9F0">
      <w:start w:val="1"/>
      <w:numFmt w:val="bullet"/>
      <w:lvlText w:val=""/>
      <w:lvlJc w:val="left"/>
      <w:pPr>
        <w:ind w:left="1440" w:hanging="360"/>
      </w:pPr>
      <w:rPr>
        <w:rFonts w:ascii="Symbol" w:hAnsi="Symbol" w:hint="default"/>
      </w:rPr>
    </w:lvl>
    <w:lvl w:ilvl="1" w:tplc="8BD84AE8">
      <w:start w:val="1"/>
      <w:numFmt w:val="bullet"/>
      <w:lvlText w:val="o"/>
      <w:lvlJc w:val="left"/>
      <w:pPr>
        <w:ind w:left="2160" w:hanging="360"/>
      </w:pPr>
      <w:rPr>
        <w:rFonts w:ascii="Courier New" w:hAnsi="Courier New" w:hint="default"/>
      </w:rPr>
    </w:lvl>
    <w:lvl w:ilvl="2" w:tplc="175C8594">
      <w:start w:val="1"/>
      <w:numFmt w:val="bullet"/>
      <w:lvlText w:val=""/>
      <w:lvlJc w:val="left"/>
      <w:pPr>
        <w:ind w:left="2880" w:hanging="360"/>
      </w:pPr>
      <w:rPr>
        <w:rFonts w:ascii="Wingdings" w:hAnsi="Wingdings" w:hint="default"/>
      </w:rPr>
    </w:lvl>
    <w:lvl w:ilvl="3" w:tplc="1346D648">
      <w:start w:val="1"/>
      <w:numFmt w:val="bullet"/>
      <w:lvlText w:val=""/>
      <w:lvlJc w:val="left"/>
      <w:pPr>
        <w:ind w:left="3600" w:hanging="360"/>
      </w:pPr>
      <w:rPr>
        <w:rFonts w:ascii="Symbol" w:hAnsi="Symbol" w:hint="default"/>
      </w:rPr>
    </w:lvl>
    <w:lvl w:ilvl="4" w:tplc="1B90EDEC">
      <w:start w:val="1"/>
      <w:numFmt w:val="bullet"/>
      <w:lvlText w:val="o"/>
      <w:lvlJc w:val="left"/>
      <w:pPr>
        <w:ind w:left="4320" w:hanging="360"/>
      </w:pPr>
      <w:rPr>
        <w:rFonts w:ascii="Courier New" w:hAnsi="Courier New" w:hint="default"/>
      </w:rPr>
    </w:lvl>
    <w:lvl w:ilvl="5" w:tplc="3506A6C2">
      <w:start w:val="1"/>
      <w:numFmt w:val="bullet"/>
      <w:lvlText w:val=""/>
      <w:lvlJc w:val="left"/>
      <w:pPr>
        <w:ind w:left="5040" w:hanging="360"/>
      </w:pPr>
      <w:rPr>
        <w:rFonts w:ascii="Wingdings" w:hAnsi="Wingdings" w:hint="default"/>
      </w:rPr>
    </w:lvl>
    <w:lvl w:ilvl="6" w:tplc="0C580D12">
      <w:start w:val="1"/>
      <w:numFmt w:val="bullet"/>
      <w:lvlText w:val=""/>
      <w:lvlJc w:val="left"/>
      <w:pPr>
        <w:ind w:left="5760" w:hanging="360"/>
      </w:pPr>
      <w:rPr>
        <w:rFonts w:ascii="Symbol" w:hAnsi="Symbol" w:hint="default"/>
      </w:rPr>
    </w:lvl>
    <w:lvl w:ilvl="7" w:tplc="E6782050">
      <w:start w:val="1"/>
      <w:numFmt w:val="bullet"/>
      <w:lvlText w:val="o"/>
      <w:lvlJc w:val="left"/>
      <w:pPr>
        <w:ind w:left="6480" w:hanging="360"/>
      </w:pPr>
      <w:rPr>
        <w:rFonts w:ascii="Courier New" w:hAnsi="Courier New" w:hint="default"/>
      </w:rPr>
    </w:lvl>
    <w:lvl w:ilvl="8" w:tplc="1034EC4A">
      <w:start w:val="1"/>
      <w:numFmt w:val="bullet"/>
      <w:lvlText w:val=""/>
      <w:lvlJc w:val="left"/>
      <w:pPr>
        <w:ind w:left="7200" w:hanging="360"/>
      </w:pPr>
      <w:rPr>
        <w:rFonts w:ascii="Wingdings" w:hAnsi="Wingdings" w:hint="default"/>
      </w:rPr>
    </w:lvl>
  </w:abstractNum>
  <w:abstractNum w:abstractNumId="14" w15:restartNumberingAfterBreak="0">
    <w:nsid w:val="11157457"/>
    <w:multiLevelType w:val="multilevel"/>
    <w:tmpl w:val="3AECE86E"/>
    <w:name w:val="List number"/>
    <w:lvl w:ilvl="0">
      <w:start w:val="1"/>
      <w:numFmt w:val="decimal"/>
      <w:pStyle w:val="ListNumber"/>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18434C3"/>
    <w:multiLevelType w:val="hybridMultilevel"/>
    <w:tmpl w:val="459AB5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578518D"/>
    <w:multiLevelType w:val="hybridMultilevel"/>
    <w:tmpl w:val="C70CB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6641DF2"/>
    <w:multiLevelType w:val="hybridMultilevel"/>
    <w:tmpl w:val="F7842D62"/>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19754FB6"/>
    <w:multiLevelType w:val="hybridMultilevel"/>
    <w:tmpl w:val="4920C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5FF6E3A"/>
    <w:multiLevelType w:val="multilevel"/>
    <w:tmpl w:val="F8905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C66BE3"/>
    <w:multiLevelType w:val="hybridMultilevel"/>
    <w:tmpl w:val="65C250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A53E4C"/>
    <w:multiLevelType w:val="multilevel"/>
    <w:tmpl w:val="F1481754"/>
    <w:name w:val="List number2"/>
    <w:lvl w:ilvl="0">
      <w:start w:val="1"/>
      <w:numFmt w:val="bullet"/>
      <w:pStyle w:val="List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0875750"/>
    <w:multiLevelType w:val="hybridMultilevel"/>
    <w:tmpl w:val="3C26F6BC"/>
    <w:lvl w:ilvl="0" w:tplc="4F62D0E2">
      <w:start w:val="1"/>
      <w:numFmt w:val="bullet"/>
      <w:lvlText w:val="-"/>
      <w:lvlJc w:val="left"/>
      <w:pPr>
        <w:ind w:left="720" w:hanging="360"/>
      </w:pPr>
      <w:rPr>
        <w:rFonts w:ascii="Aptos" w:hAnsi="Aptos" w:hint="default"/>
      </w:rPr>
    </w:lvl>
    <w:lvl w:ilvl="1" w:tplc="08923694">
      <w:start w:val="1"/>
      <w:numFmt w:val="bullet"/>
      <w:lvlText w:val="o"/>
      <w:lvlJc w:val="left"/>
      <w:pPr>
        <w:ind w:left="1440" w:hanging="360"/>
      </w:pPr>
      <w:rPr>
        <w:rFonts w:ascii="Courier New" w:hAnsi="Courier New" w:hint="default"/>
      </w:rPr>
    </w:lvl>
    <w:lvl w:ilvl="2" w:tplc="58786360">
      <w:start w:val="1"/>
      <w:numFmt w:val="bullet"/>
      <w:lvlText w:val=""/>
      <w:lvlJc w:val="left"/>
      <w:pPr>
        <w:ind w:left="2160" w:hanging="360"/>
      </w:pPr>
      <w:rPr>
        <w:rFonts w:ascii="Wingdings" w:hAnsi="Wingdings" w:hint="default"/>
      </w:rPr>
    </w:lvl>
    <w:lvl w:ilvl="3" w:tplc="DF289BFC">
      <w:start w:val="1"/>
      <w:numFmt w:val="bullet"/>
      <w:lvlText w:val=""/>
      <w:lvlJc w:val="left"/>
      <w:pPr>
        <w:ind w:left="2880" w:hanging="360"/>
      </w:pPr>
      <w:rPr>
        <w:rFonts w:ascii="Symbol" w:hAnsi="Symbol" w:hint="default"/>
      </w:rPr>
    </w:lvl>
    <w:lvl w:ilvl="4" w:tplc="BD166B12">
      <w:start w:val="1"/>
      <w:numFmt w:val="bullet"/>
      <w:lvlText w:val="o"/>
      <w:lvlJc w:val="left"/>
      <w:pPr>
        <w:ind w:left="3600" w:hanging="360"/>
      </w:pPr>
      <w:rPr>
        <w:rFonts w:ascii="Courier New" w:hAnsi="Courier New" w:hint="default"/>
      </w:rPr>
    </w:lvl>
    <w:lvl w:ilvl="5" w:tplc="FC865340">
      <w:start w:val="1"/>
      <w:numFmt w:val="bullet"/>
      <w:lvlText w:val=""/>
      <w:lvlJc w:val="left"/>
      <w:pPr>
        <w:ind w:left="4320" w:hanging="360"/>
      </w:pPr>
      <w:rPr>
        <w:rFonts w:ascii="Wingdings" w:hAnsi="Wingdings" w:hint="default"/>
      </w:rPr>
    </w:lvl>
    <w:lvl w:ilvl="6" w:tplc="44F24A40">
      <w:start w:val="1"/>
      <w:numFmt w:val="bullet"/>
      <w:lvlText w:val=""/>
      <w:lvlJc w:val="left"/>
      <w:pPr>
        <w:ind w:left="5040" w:hanging="360"/>
      </w:pPr>
      <w:rPr>
        <w:rFonts w:ascii="Symbol" w:hAnsi="Symbol" w:hint="default"/>
      </w:rPr>
    </w:lvl>
    <w:lvl w:ilvl="7" w:tplc="DE24AF82">
      <w:start w:val="1"/>
      <w:numFmt w:val="bullet"/>
      <w:lvlText w:val="o"/>
      <w:lvlJc w:val="left"/>
      <w:pPr>
        <w:ind w:left="5760" w:hanging="360"/>
      </w:pPr>
      <w:rPr>
        <w:rFonts w:ascii="Courier New" w:hAnsi="Courier New" w:hint="default"/>
      </w:rPr>
    </w:lvl>
    <w:lvl w:ilvl="8" w:tplc="88FCA990">
      <w:start w:val="1"/>
      <w:numFmt w:val="bullet"/>
      <w:lvlText w:val=""/>
      <w:lvlJc w:val="left"/>
      <w:pPr>
        <w:ind w:left="6480" w:hanging="360"/>
      </w:pPr>
      <w:rPr>
        <w:rFonts w:ascii="Wingdings" w:hAnsi="Wingdings" w:hint="default"/>
      </w:rPr>
    </w:lvl>
  </w:abstractNum>
  <w:abstractNum w:abstractNumId="23" w15:restartNumberingAfterBreak="0">
    <w:nsid w:val="34A96A34"/>
    <w:multiLevelType w:val="multilevel"/>
    <w:tmpl w:val="1DD82DA6"/>
    <w:name w:val="List number3"/>
    <w:lvl w:ilvl="0">
      <w:start w:val="1"/>
      <w:numFmt w:val="decimal"/>
      <w:pStyle w:val="List"/>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575795D"/>
    <w:multiLevelType w:val="hybridMultilevel"/>
    <w:tmpl w:val="6FE05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AFB6EFA"/>
    <w:multiLevelType w:val="hybridMultilevel"/>
    <w:tmpl w:val="E8D02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BB13CCB"/>
    <w:multiLevelType w:val="hybridMultilevel"/>
    <w:tmpl w:val="7D302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E7E3916"/>
    <w:multiLevelType w:val="hybridMultilevel"/>
    <w:tmpl w:val="988A4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37E054E"/>
    <w:multiLevelType w:val="hybridMultilevel"/>
    <w:tmpl w:val="7EF867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5F64242"/>
    <w:multiLevelType w:val="hybridMultilevel"/>
    <w:tmpl w:val="41BAEB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B8C25B"/>
    <w:multiLevelType w:val="hybridMultilevel"/>
    <w:tmpl w:val="138070B4"/>
    <w:lvl w:ilvl="0" w:tplc="2A1A9B82">
      <w:start w:val="1"/>
      <w:numFmt w:val="bullet"/>
      <w:lvlText w:val="-"/>
      <w:lvlJc w:val="left"/>
      <w:pPr>
        <w:ind w:left="720" w:hanging="360"/>
      </w:pPr>
      <w:rPr>
        <w:rFonts w:ascii="Aptos" w:hAnsi="Aptos" w:hint="default"/>
      </w:rPr>
    </w:lvl>
    <w:lvl w:ilvl="1" w:tplc="37147470">
      <w:start w:val="1"/>
      <w:numFmt w:val="bullet"/>
      <w:lvlText w:val="o"/>
      <w:lvlJc w:val="left"/>
      <w:pPr>
        <w:ind w:left="1440" w:hanging="360"/>
      </w:pPr>
      <w:rPr>
        <w:rFonts w:ascii="Courier New" w:hAnsi="Courier New" w:hint="default"/>
      </w:rPr>
    </w:lvl>
    <w:lvl w:ilvl="2" w:tplc="60A62FDE">
      <w:start w:val="1"/>
      <w:numFmt w:val="bullet"/>
      <w:lvlText w:val=""/>
      <w:lvlJc w:val="left"/>
      <w:pPr>
        <w:ind w:left="2160" w:hanging="360"/>
      </w:pPr>
      <w:rPr>
        <w:rFonts w:ascii="Wingdings" w:hAnsi="Wingdings" w:hint="default"/>
      </w:rPr>
    </w:lvl>
    <w:lvl w:ilvl="3" w:tplc="E524584A">
      <w:start w:val="1"/>
      <w:numFmt w:val="bullet"/>
      <w:lvlText w:val=""/>
      <w:lvlJc w:val="left"/>
      <w:pPr>
        <w:ind w:left="2880" w:hanging="360"/>
      </w:pPr>
      <w:rPr>
        <w:rFonts w:ascii="Symbol" w:hAnsi="Symbol" w:hint="default"/>
      </w:rPr>
    </w:lvl>
    <w:lvl w:ilvl="4" w:tplc="699CDB92">
      <w:start w:val="1"/>
      <w:numFmt w:val="bullet"/>
      <w:lvlText w:val="o"/>
      <w:lvlJc w:val="left"/>
      <w:pPr>
        <w:ind w:left="3600" w:hanging="360"/>
      </w:pPr>
      <w:rPr>
        <w:rFonts w:ascii="Courier New" w:hAnsi="Courier New" w:hint="default"/>
      </w:rPr>
    </w:lvl>
    <w:lvl w:ilvl="5" w:tplc="ED987C50">
      <w:start w:val="1"/>
      <w:numFmt w:val="bullet"/>
      <w:lvlText w:val=""/>
      <w:lvlJc w:val="left"/>
      <w:pPr>
        <w:ind w:left="4320" w:hanging="360"/>
      </w:pPr>
      <w:rPr>
        <w:rFonts w:ascii="Wingdings" w:hAnsi="Wingdings" w:hint="default"/>
      </w:rPr>
    </w:lvl>
    <w:lvl w:ilvl="6" w:tplc="6E644990">
      <w:start w:val="1"/>
      <w:numFmt w:val="bullet"/>
      <w:lvlText w:val=""/>
      <w:lvlJc w:val="left"/>
      <w:pPr>
        <w:ind w:left="5040" w:hanging="360"/>
      </w:pPr>
      <w:rPr>
        <w:rFonts w:ascii="Symbol" w:hAnsi="Symbol" w:hint="default"/>
      </w:rPr>
    </w:lvl>
    <w:lvl w:ilvl="7" w:tplc="73EA4564">
      <w:start w:val="1"/>
      <w:numFmt w:val="bullet"/>
      <w:lvlText w:val="o"/>
      <w:lvlJc w:val="left"/>
      <w:pPr>
        <w:ind w:left="5760" w:hanging="360"/>
      </w:pPr>
      <w:rPr>
        <w:rFonts w:ascii="Courier New" w:hAnsi="Courier New" w:hint="default"/>
      </w:rPr>
    </w:lvl>
    <w:lvl w:ilvl="8" w:tplc="6B400858">
      <w:start w:val="1"/>
      <w:numFmt w:val="bullet"/>
      <w:lvlText w:val=""/>
      <w:lvlJc w:val="left"/>
      <w:pPr>
        <w:ind w:left="6480" w:hanging="360"/>
      </w:pPr>
      <w:rPr>
        <w:rFonts w:ascii="Wingdings" w:hAnsi="Wingdings" w:hint="default"/>
      </w:rPr>
    </w:lvl>
  </w:abstractNum>
  <w:abstractNum w:abstractNumId="31" w15:restartNumberingAfterBreak="0">
    <w:nsid w:val="4ECA6BF1"/>
    <w:multiLevelType w:val="hybridMultilevel"/>
    <w:tmpl w:val="85E883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EA49A2"/>
    <w:multiLevelType w:val="hybridMultilevel"/>
    <w:tmpl w:val="459CF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A7EA73"/>
    <w:multiLevelType w:val="hybridMultilevel"/>
    <w:tmpl w:val="88F46000"/>
    <w:lvl w:ilvl="0" w:tplc="68F88608">
      <w:start w:val="1"/>
      <w:numFmt w:val="bullet"/>
      <w:lvlText w:val=""/>
      <w:lvlJc w:val="left"/>
      <w:pPr>
        <w:ind w:left="1440" w:hanging="360"/>
      </w:pPr>
      <w:rPr>
        <w:rFonts w:ascii="Symbol" w:hAnsi="Symbol" w:hint="default"/>
      </w:rPr>
    </w:lvl>
    <w:lvl w:ilvl="1" w:tplc="59B85BE2">
      <w:start w:val="1"/>
      <w:numFmt w:val="bullet"/>
      <w:lvlText w:val="o"/>
      <w:lvlJc w:val="left"/>
      <w:pPr>
        <w:ind w:left="2160" w:hanging="360"/>
      </w:pPr>
      <w:rPr>
        <w:rFonts w:ascii="Courier New" w:hAnsi="Courier New" w:hint="default"/>
      </w:rPr>
    </w:lvl>
    <w:lvl w:ilvl="2" w:tplc="588EC9D2">
      <w:start w:val="1"/>
      <w:numFmt w:val="bullet"/>
      <w:lvlText w:val=""/>
      <w:lvlJc w:val="left"/>
      <w:pPr>
        <w:ind w:left="2880" w:hanging="360"/>
      </w:pPr>
      <w:rPr>
        <w:rFonts w:ascii="Wingdings" w:hAnsi="Wingdings" w:hint="default"/>
      </w:rPr>
    </w:lvl>
    <w:lvl w:ilvl="3" w:tplc="1EA64F5E">
      <w:start w:val="1"/>
      <w:numFmt w:val="bullet"/>
      <w:lvlText w:val=""/>
      <w:lvlJc w:val="left"/>
      <w:pPr>
        <w:ind w:left="3600" w:hanging="360"/>
      </w:pPr>
      <w:rPr>
        <w:rFonts w:ascii="Symbol" w:hAnsi="Symbol" w:hint="default"/>
      </w:rPr>
    </w:lvl>
    <w:lvl w:ilvl="4" w:tplc="3D264A86">
      <w:start w:val="1"/>
      <w:numFmt w:val="bullet"/>
      <w:lvlText w:val="o"/>
      <w:lvlJc w:val="left"/>
      <w:pPr>
        <w:ind w:left="4320" w:hanging="360"/>
      </w:pPr>
      <w:rPr>
        <w:rFonts w:ascii="Courier New" w:hAnsi="Courier New" w:hint="default"/>
      </w:rPr>
    </w:lvl>
    <w:lvl w:ilvl="5" w:tplc="8D1E2F9C">
      <w:start w:val="1"/>
      <w:numFmt w:val="bullet"/>
      <w:lvlText w:val=""/>
      <w:lvlJc w:val="left"/>
      <w:pPr>
        <w:ind w:left="5040" w:hanging="360"/>
      </w:pPr>
      <w:rPr>
        <w:rFonts w:ascii="Wingdings" w:hAnsi="Wingdings" w:hint="default"/>
      </w:rPr>
    </w:lvl>
    <w:lvl w:ilvl="6" w:tplc="DAC41242">
      <w:start w:val="1"/>
      <w:numFmt w:val="bullet"/>
      <w:lvlText w:val=""/>
      <w:lvlJc w:val="left"/>
      <w:pPr>
        <w:ind w:left="5760" w:hanging="360"/>
      </w:pPr>
      <w:rPr>
        <w:rFonts w:ascii="Symbol" w:hAnsi="Symbol" w:hint="default"/>
      </w:rPr>
    </w:lvl>
    <w:lvl w:ilvl="7" w:tplc="DA8CC7C2">
      <w:start w:val="1"/>
      <w:numFmt w:val="bullet"/>
      <w:lvlText w:val="o"/>
      <w:lvlJc w:val="left"/>
      <w:pPr>
        <w:ind w:left="6480" w:hanging="360"/>
      </w:pPr>
      <w:rPr>
        <w:rFonts w:ascii="Courier New" w:hAnsi="Courier New" w:hint="default"/>
      </w:rPr>
    </w:lvl>
    <w:lvl w:ilvl="8" w:tplc="1674BCCE">
      <w:start w:val="1"/>
      <w:numFmt w:val="bullet"/>
      <w:lvlText w:val=""/>
      <w:lvlJc w:val="left"/>
      <w:pPr>
        <w:ind w:left="7200" w:hanging="360"/>
      </w:pPr>
      <w:rPr>
        <w:rFonts w:ascii="Wingdings" w:hAnsi="Wingdings" w:hint="default"/>
      </w:rPr>
    </w:lvl>
  </w:abstractNum>
  <w:abstractNum w:abstractNumId="34" w15:restartNumberingAfterBreak="0">
    <w:nsid w:val="5A7E4D2E"/>
    <w:multiLevelType w:val="hybridMultilevel"/>
    <w:tmpl w:val="55C021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BD24E57"/>
    <w:multiLevelType w:val="hybridMultilevel"/>
    <w:tmpl w:val="628618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BFB65B3"/>
    <w:multiLevelType w:val="hybridMultilevel"/>
    <w:tmpl w:val="752A6F50"/>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DDC7C39"/>
    <w:multiLevelType w:val="multilevel"/>
    <w:tmpl w:val="B94647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5A7602"/>
    <w:multiLevelType w:val="hybridMultilevel"/>
    <w:tmpl w:val="10EC7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FAA5647"/>
    <w:multiLevelType w:val="hybridMultilevel"/>
    <w:tmpl w:val="4D10C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0FC612A"/>
    <w:multiLevelType w:val="multilevel"/>
    <w:tmpl w:val="A1ACF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1A84442"/>
    <w:multiLevelType w:val="hybridMultilevel"/>
    <w:tmpl w:val="BAE46A62"/>
    <w:lvl w:ilvl="0" w:tplc="A8565FE6">
      <w:start w:val="1"/>
      <w:numFmt w:val="bullet"/>
      <w:lvlText w:val="•"/>
      <w:lvlJc w:val="left"/>
      <w:pPr>
        <w:ind w:left="450" w:hanging="270"/>
      </w:pPr>
    </w:lvl>
    <w:lvl w:ilvl="1" w:tplc="941A3C16">
      <w:numFmt w:val="decimal"/>
      <w:lvlText w:val=""/>
      <w:lvlJc w:val="left"/>
    </w:lvl>
    <w:lvl w:ilvl="2" w:tplc="67EC5E22">
      <w:numFmt w:val="decimal"/>
      <w:lvlText w:val=""/>
      <w:lvlJc w:val="left"/>
    </w:lvl>
    <w:lvl w:ilvl="3" w:tplc="C73020B0">
      <w:numFmt w:val="decimal"/>
      <w:lvlText w:val=""/>
      <w:lvlJc w:val="left"/>
    </w:lvl>
    <w:lvl w:ilvl="4" w:tplc="507AA820">
      <w:numFmt w:val="decimal"/>
      <w:lvlText w:val=""/>
      <w:lvlJc w:val="left"/>
    </w:lvl>
    <w:lvl w:ilvl="5" w:tplc="7E0E7C78">
      <w:numFmt w:val="decimal"/>
      <w:lvlText w:val=""/>
      <w:lvlJc w:val="left"/>
    </w:lvl>
    <w:lvl w:ilvl="6" w:tplc="9B385AAA">
      <w:numFmt w:val="decimal"/>
      <w:lvlText w:val=""/>
      <w:lvlJc w:val="left"/>
    </w:lvl>
    <w:lvl w:ilvl="7" w:tplc="A8E4CA08">
      <w:numFmt w:val="decimal"/>
      <w:lvlText w:val=""/>
      <w:lvlJc w:val="left"/>
    </w:lvl>
    <w:lvl w:ilvl="8" w:tplc="25766D8A">
      <w:numFmt w:val="decimal"/>
      <w:lvlText w:val=""/>
      <w:lvlJc w:val="left"/>
    </w:lvl>
  </w:abstractNum>
  <w:abstractNum w:abstractNumId="42" w15:restartNumberingAfterBreak="0">
    <w:nsid w:val="71AC1FEF"/>
    <w:multiLevelType w:val="hybridMultilevel"/>
    <w:tmpl w:val="A1385D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1EE546D"/>
    <w:multiLevelType w:val="hybridMultilevel"/>
    <w:tmpl w:val="85D26230"/>
    <w:lvl w:ilvl="0" w:tplc="49746E6E">
      <w:start w:val="1"/>
      <w:numFmt w:val="bullet"/>
      <w:lvlText w:val=""/>
      <w:lvlJc w:val="left"/>
      <w:pPr>
        <w:ind w:left="720" w:hanging="360"/>
      </w:pPr>
      <w:rPr>
        <w:rFonts w:ascii="Symbol" w:hAnsi="Symbol" w:hint="default"/>
      </w:rPr>
    </w:lvl>
    <w:lvl w:ilvl="1" w:tplc="D7F800D2">
      <w:start w:val="1"/>
      <w:numFmt w:val="bullet"/>
      <w:lvlText w:val="o"/>
      <w:lvlJc w:val="left"/>
      <w:pPr>
        <w:ind w:left="1440" w:hanging="360"/>
      </w:pPr>
      <w:rPr>
        <w:rFonts w:ascii="Courier New" w:hAnsi="Courier New" w:hint="default"/>
      </w:rPr>
    </w:lvl>
    <w:lvl w:ilvl="2" w:tplc="BC16380C">
      <w:start w:val="1"/>
      <w:numFmt w:val="bullet"/>
      <w:lvlText w:val=""/>
      <w:lvlJc w:val="left"/>
      <w:pPr>
        <w:ind w:left="2160" w:hanging="360"/>
      </w:pPr>
      <w:rPr>
        <w:rFonts w:ascii="Wingdings" w:hAnsi="Wingdings" w:hint="default"/>
      </w:rPr>
    </w:lvl>
    <w:lvl w:ilvl="3" w:tplc="8562A090">
      <w:start w:val="1"/>
      <w:numFmt w:val="bullet"/>
      <w:lvlText w:val=""/>
      <w:lvlJc w:val="left"/>
      <w:pPr>
        <w:ind w:left="2880" w:hanging="360"/>
      </w:pPr>
      <w:rPr>
        <w:rFonts w:ascii="Symbol" w:hAnsi="Symbol" w:hint="default"/>
      </w:rPr>
    </w:lvl>
    <w:lvl w:ilvl="4" w:tplc="52FE2EF8">
      <w:start w:val="1"/>
      <w:numFmt w:val="bullet"/>
      <w:lvlText w:val="o"/>
      <w:lvlJc w:val="left"/>
      <w:pPr>
        <w:ind w:left="3600" w:hanging="360"/>
      </w:pPr>
      <w:rPr>
        <w:rFonts w:ascii="Courier New" w:hAnsi="Courier New" w:hint="default"/>
      </w:rPr>
    </w:lvl>
    <w:lvl w:ilvl="5" w:tplc="297A7AEE">
      <w:start w:val="1"/>
      <w:numFmt w:val="bullet"/>
      <w:lvlText w:val=""/>
      <w:lvlJc w:val="left"/>
      <w:pPr>
        <w:ind w:left="4320" w:hanging="360"/>
      </w:pPr>
      <w:rPr>
        <w:rFonts w:ascii="Wingdings" w:hAnsi="Wingdings" w:hint="default"/>
      </w:rPr>
    </w:lvl>
    <w:lvl w:ilvl="6" w:tplc="5EDEEB40">
      <w:start w:val="1"/>
      <w:numFmt w:val="bullet"/>
      <w:lvlText w:val=""/>
      <w:lvlJc w:val="left"/>
      <w:pPr>
        <w:ind w:left="5040" w:hanging="360"/>
      </w:pPr>
      <w:rPr>
        <w:rFonts w:ascii="Symbol" w:hAnsi="Symbol" w:hint="default"/>
      </w:rPr>
    </w:lvl>
    <w:lvl w:ilvl="7" w:tplc="B7C6AA84">
      <w:start w:val="1"/>
      <w:numFmt w:val="bullet"/>
      <w:lvlText w:val="o"/>
      <w:lvlJc w:val="left"/>
      <w:pPr>
        <w:ind w:left="5760" w:hanging="360"/>
      </w:pPr>
      <w:rPr>
        <w:rFonts w:ascii="Courier New" w:hAnsi="Courier New" w:hint="default"/>
      </w:rPr>
    </w:lvl>
    <w:lvl w:ilvl="8" w:tplc="33B643A0">
      <w:start w:val="1"/>
      <w:numFmt w:val="bullet"/>
      <w:lvlText w:val=""/>
      <w:lvlJc w:val="left"/>
      <w:pPr>
        <w:ind w:left="6480" w:hanging="360"/>
      </w:pPr>
      <w:rPr>
        <w:rFonts w:ascii="Wingdings" w:hAnsi="Wingdings" w:hint="default"/>
      </w:rPr>
    </w:lvl>
  </w:abstractNum>
  <w:num w:numId="1" w16cid:durableId="1057360396">
    <w:abstractNumId w:val="9"/>
  </w:num>
  <w:num w:numId="2" w16cid:durableId="109129322">
    <w:abstractNumId w:val="33"/>
  </w:num>
  <w:num w:numId="3" w16cid:durableId="1130824575">
    <w:abstractNumId w:val="30"/>
  </w:num>
  <w:num w:numId="4" w16cid:durableId="1166021225">
    <w:abstractNumId w:val="23"/>
  </w:num>
  <w:num w:numId="5" w16cid:durableId="1181817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7620622">
    <w:abstractNumId w:val="26"/>
  </w:num>
  <w:num w:numId="7" w16cid:durableId="1251621647">
    <w:abstractNumId w:val="42"/>
  </w:num>
  <w:num w:numId="8" w16cid:durableId="1264386445">
    <w:abstractNumId w:val="19"/>
  </w:num>
  <w:num w:numId="9" w16cid:durableId="1343584682">
    <w:abstractNumId w:val="43"/>
  </w:num>
  <w:num w:numId="10" w16cid:durableId="1364942154">
    <w:abstractNumId w:val="18"/>
  </w:num>
  <w:num w:numId="11" w16cid:durableId="1496408730">
    <w:abstractNumId w:val="11"/>
  </w:num>
  <w:num w:numId="12" w16cid:durableId="1501845443">
    <w:abstractNumId w:val="4"/>
  </w:num>
  <w:num w:numId="13" w16cid:durableId="1516797790">
    <w:abstractNumId w:val="15"/>
  </w:num>
  <w:num w:numId="14" w16cid:durableId="1523323380">
    <w:abstractNumId w:val="21"/>
  </w:num>
  <w:num w:numId="15" w16cid:durableId="1594895232">
    <w:abstractNumId w:val="6"/>
  </w:num>
  <w:num w:numId="16" w16cid:durableId="1778286008">
    <w:abstractNumId w:val="27"/>
  </w:num>
  <w:num w:numId="17" w16cid:durableId="1787577385">
    <w:abstractNumId w:val="13"/>
  </w:num>
  <w:num w:numId="18" w16cid:durableId="1814981661">
    <w:abstractNumId w:val="14"/>
  </w:num>
  <w:num w:numId="19" w16cid:durableId="1820461966">
    <w:abstractNumId w:val="5"/>
  </w:num>
  <w:num w:numId="20" w16cid:durableId="1924947315">
    <w:abstractNumId w:val="39"/>
  </w:num>
  <w:num w:numId="21" w16cid:durableId="192498607">
    <w:abstractNumId w:val="28"/>
  </w:num>
  <w:num w:numId="22" w16cid:durableId="1934126177">
    <w:abstractNumId w:val="17"/>
  </w:num>
  <w:num w:numId="23" w16cid:durableId="2054110640">
    <w:abstractNumId w:val="37"/>
  </w:num>
  <w:num w:numId="24" w16cid:durableId="2068801164">
    <w:abstractNumId w:val="22"/>
  </w:num>
  <w:num w:numId="25" w16cid:durableId="2082634113">
    <w:abstractNumId w:val="1"/>
  </w:num>
  <w:num w:numId="26" w16cid:durableId="227109166">
    <w:abstractNumId w:val="34"/>
  </w:num>
  <w:num w:numId="27" w16cid:durableId="253175908">
    <w:abstractNumId w:val="25"/>
  </w:num>
  <w:num w:numId="28" w16cid:durableId="257250555">
    <w:abstractNumId w:val="38"/>
  </w:num>
  <w:num w:numId="29" w16cid:durableId="278419321">
    <w:abstractNumId w:val="3"/>
  </w:num>
  <w:num w:numId="30" w16cid:durableId="3090633">
    <w:abstractNumId w:val="36"/>
  </w:num>
  <w:num w:numId="31" w16cid:durableId="342510552">
    <w:abstractNumId w:val="7"/>
  </w:num>
  <w:num w:numId="32" w16cid:durableId="359749070">
    <w:abstractNumId w:val="12"/>
  </w:num>
  <w:num w:numId="33" w16cid:durableId="408816058">
    <w:abstractNumId w:val="32"/>
  </w:num>
  <w:num w:numId="34" w16cid:durableId="472019974">
    <w:abstractNumId w:val="41"/>
    <w:lvlOverride w:ilvl="0">
      <w:startOverride w:val="1"/>
    </w:lvlOverride>
  </w:num>
  <w:num w:numId="35" w16cid:durableId="500969110">
    <w:abstractNumId w:val="40"/>
  </w:num>
  <w:num w:numId="36" w16cid:durableId="506290223">
    <w:abstractNumId w:val="10"/>
  </w:num>
  <w:num w:numId="37" w16cid:durableId="574701396">
    <w:abstractNumId w:val="2"/>
  </w:num>
  <w:num w:numId="38" w16cid:durableId="575362212">
    <w:abstractNumId w:val="31"/>
  </w:num>
  <w:num w:numId="39" w16cid:durableId="63377158">
    <w:abstractNumId w:val="14"/>
  </w:num>
  <w:num w:numId="40" w16cid:durableId="666245539">
    <w:abstractNumId w:val="24"/>
  </w:num>
  <w:num w:numId="41" w16cid:durableId="716667592">
    <w:abstractNumId w:val="20"/>
  </w:num>
  <w:num w:numId="42" w16cid:durableId="729040880">
    <w:abstractNumId w:val="8"/>
  </w:num>
  <w:num w:numId="43" w16cid:durableId="765928808">
    <w:abstractNumId w:val="21"/>
  </w:num>
  <w:num w:numId="44" w16cid:durableId="80224936">
    <w:abstractNumId w:val="29"/>
  </w:num>
  <w:num w:numId="45" w16cid:durableId="806321090">
    <w:abstractNumId w:val="0"/>
  </w:num>
  <w:num w:numId="46" w16cid:durableId="814756437">
    <w:abstractNumId w:val="16"/>
  </w:num>
  <w:num w:numId="47" w16cid:durableId="927270837">
    <w:abstractNumId w:val="35"/>
  </w:num>
  <w:num w:numId="48" w16cid:durableId="93382980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A22"/>
    <w:rsid w:val="000008C2"/>
    <w:rsid w:val="000010F2"/>
    <w:rsid w:val="00001899"/>
    <w:rsid w:val="0000514E"/>
    <w:rsid w:val="0000B2CC"/>
    <w:rsid w:val="00013468"/>
    <w:rsid w:val="00013FD0"/>
    <w:rsid w:val="00014533"/>
    <w:rsid w:val="00015DBD"/>
    <w:rsid w:val="000160F5"/>
    <w:rsid w:val="00022D1C"/>
    <w:rsid w:val="000238E6"/>
    <w:rsid w:val="00025682"/>
    <w:rsid w:val="00025C0B"/>
    <w:rsid w:val="0002626E"/>
    <w:rsid w:val="00026E17"/>
    <w:rsid w:val="00027545"/>
    <w:rsid w:val="00031536"/>
    <w:rsid w:val="00032EA0"/>
    <w:rsid w:val="00034E27"/>
    <w:rsid w:val="0003528C"/>
    <w:rsid w:val="00036DF6"/>
    <w:rsid w:val="00036E53"/>
    <w:rsid w:val="0003705B"/>
    <w:rsid w:val="0003766A"/>
    <w:rsid w:val="0004131A"/>
    <w:rsid w:val="00041658"/>
    <w:rsid w:val="000420C5"/>
    <w:rsid w:val="0004221A"/>
    <w:rsid w:val="00042B22"/>
    <w:rsid w:val="00042B81"/>
    <w:rsid w:val="00044246"/>
    <w:rsid w:val="000444A9"/>
    <w:rsid w:val="00045FD1"/>
    <w:rsid w:val="00052280"/>
    <w:rsid w:val="00052BBC"/>
    <w:rsid w:val="0005376D"/>
    <w:rsid w:val="00055CCF"/>
    <w:rsid w:val="000576BD"/>
    <w:rsid w:val="0006073A"/>
    <w:rsid w:val="000608E8"/>
    <w:rsid w:val="00060F64"/>
    <w:rsid w:val="000626DA"/>
    <w:rsid w:val="00064C85"/>
    <w:rsid w:val="00065930"/>
    <w:rsid w:val="00067075"/>
    <w:rsid w:val="00067A23"/>
    <w:rsid w:val="00070BA6"/>
    <w:rsid w:val="00072133"/>
    <w:rsid w:val="00072284"/>
    <w:rsid w:val="00072AB1"/>
    <w:rsid w:val="00073762"/>
    <w:rsid w:val="00074D16"/>
    <w:rsid w:val="00075EEB"/>
    <w:rsid w:val="00080145"/>
    <w:rsid w:val="00081D69"/>
    <w:rsid w:val="000831AB"/>
    <w:rsid w:val="00084194"/>
    <w:rsid w:val="00085AC0"/>
    <w:rsid w:val="00085EBA"/>
    <w:rsid w:val="00086B9E"/>
    <w:rsid w:val="000910BB"/>
    <w:rsid w:val="00096C94"/>
    <w:rsid w:val="00097524"/>
    <w:rsid w:val="000979A6"/>
    <w:rsid w:val="000A0EFC"/>
    <w:rsid w:val="000A453D"/>
    <w:rsid w:val="000A46BF"/>
    <w:rsid w:val="000A64C0"/>
    <w:rsid w:val="000A6722"/>
    <w:rsid w:val="000A6A03"/>
    <w:rsid w:val="000A7A65"/>
    <w:rsid w:val="000B0FE5"/>
    <w:rsid w:val="000B1655"/>
    <w:rsid w:val="000B4AFD"/>
    <w:rsid w:val="000B5AF2"/>
    <w:rsid w:val="000B60FD"/>
    <w:rsid w:val="000B6CF9"/>
    <w:rsid w:val="000C1648"/>
    <w:rsid w:val="000C46E2"/>
    <w:rsid w:val="000C4D2A"/>
    <w:rsid w:val="000C558B"/>
    <w:rsid w:val="000C62F7"/>
    <w:rsid w:val="000D0652"/>
    <w:rsid w:val="000D35D3"/>
    <w:rsid w:val="000D404A"/>
    <w:rsid w:val="000D4DAD"/>
    <w:rsid w:val="000D547C"/>
    <w:rsid w:val="000E2D02"/>
    <w:rsid w:val="000E5593"/>
    <w:rsid w:val="000F379C"/>
    <w:rsid w:val="000F3B34"/>
    <w:rsid w:val="000F5692"/>
    <w:rsid w:val="000F5EBF"/>
    <w:rsid w:val="000F7139"/>
    <w:rsid w:val="000F7579"/>
    <w:rsid w:val="000F766A"/>
    <w:rsid w:val="0010179B"/>
    <w:rsid w:val="00101CF1"/>
    <w:rsid w:val="00103005"/>
    <w:rsid w:val="001059E6"/>
    <w:rsid w:val="00105DC9"/>
    <w:rsid w:val="001064A0"/>
    <w:rsid w:val="0010683F"/>
    <w:rsid w:val="00107B28"/>
    <w:rsid w:val="001107F1"/>
    <w:rsid w:val="00110CD3"/>
    <w:rsid w:val="00110D54"/>
    <w:rsid w:val="00111085"/>
    <w:rsid w:val="001119E7"/>
    <w:rsid w:val="00112887"/>
    <w:rsid w:val="0011386E"/>
    <w:rsid w:val="00116A90"/>
    <w:rsid w:val="00121C41"/>
    <w:rsid w:val="00122E94"/>
    <w:rsid w:val="0012423E"/>
    <w:rsid w:val="0013071E"/>
    <w:rsid w:val="00134EE2"/>
    <w:rsid w:val="0013501A"/>
    <w:rsid w:val="00140A1C"/>
    <w:rsid w:val="00140A92"/>
    <w:rsid w:val="00142A48"/>
    <w:rsid w:val="001432FA"/>
    <w:rsid w:val="001434D8"/>
    <w:rsid w:val="00147FAF"/>
    <w:rsid w:val="001518AD"/>
    <w:rsid w:val="00155023"/>
    <w:rsid w:val="00155276"/>
    <w:rsid w:val="00156900"/>
    <w:rsid w:val="00157F35"/>
    <w:rsid w:val="00161A6B"/>
    <w:rsid w:val="00165CE2"/>
    <w:rsid w:val="00167B66"/>
    <w:rsid w:val="00171C3A"/>
    <w:rsid w:val="001722EA"/>
    <w:rsid w:val="001755CC"/>
    <w:rsid w:val="00177804"/>
    <w:rsid w:val="00181904"/>
    <w:rsid w:val="00182AFD"/>
    <w:rsid w:val="00182C38"/>
    <w:rsid w:val="00184CD4"/>
    <w:rsid w:val="0018540F"/>
    <w:rsid w:val="0018543E"/>
    <w:rsid w:val="00186958"/>
    <w:rsid w:val="00191CAB"/>
    <w:rsid w:val="001934F9"/>
    <w:rsid w:val="00193B54"/>
    <w:rsid w:val="0019746A"/>
    <w:rsid w:val="001A03D2"/>
    <w:rsid w:val="001A1FF2"/>
    <w:rsid w:val="001A361E"/>
    <w:rsid w:val="001A5832"/>
    <w:rsid w:val="001A6404"/>
    <w:rsid w:val="001A64D9"/>
    <w:rsid w:val="001A666F"/>
    <w:rsid w:val="001A6867"/>
    <w:rsid w:val="001A7C9E"/>
    <w:rsid w:val="001B63BA"/>
    <w:rsid w:val="001B79B7"/>
    <w:rsid w:val="001B7CCE"/>
    <w:rsid w:val="001B7CFD"/>
    <w:rsid w:val="001C10B5"/>
    <w:rsid w:val="001C126A"/>
    <w:rsid w:val="001C1ABC"/>
    <w:rsid w:val="001C225A"/>
    <w:rsid w:val="001C637F"/>
    <w:rsid w:val="001D15C7"/>
    <w:rsid w:val="001D1A44"/>
    <w:rsid w:val="001D6073"/>
    <w:rsid w:val="001E0351"/>
    <w:rsid w:val="001E0B27"/>
    <w:rsid w:val="001E35AD"/>
    <w:rsid w:val="001E4B1B"/>
    <w:rsid w:val="001E6C50"/>
    <w:rsid w:val="001E7052"/>
    <w:rsid w:val="001E74B4"/>
    <w:rsid w:val="001F02E7"/>
    <w:rsid w:val="001F1DE4"/>
    <w:rsid w:val="001F438B"/>
    <w:rsid w:val="00205926"/>
    <w:rsid w:val="0020716C"/>
    <w:rsid w:val="00207EB4"/>
    <w:rsid w:val="002112A6"/>
    <w:rsid w:val="00212B83"/>
    <w:rsid w:val="00214947"/>
    <w:rsid w:val="00216792"/>
    <w:rsid w:val="00217EAB"/>
    <w:rsid w:val="002217A6"/>
    <w:rsid w:val="0022268D"/>
    <w:rsid w:val="00222D0E"/>
    <w:rsid w:val="002235DE"/>
    <w:rsid w:val="00223B40"/>
    <w:rsid w:val="0022498C"/>
    <w:rsid w:val="0022535D"/>
    <w:rsid w:val="0022626C"/>
    <w:rsid w:val="002262DB"/>
    <w:rsid w:val="0023010B"/>
    <w:rsid w:val="00230114"/>
    <w:rsid w:val="0023166C"/>
    <w:rsid w:val="00231CE7"/>
    <w:rsid w:val="00234015"/>
    <w:rsid w:val="0023441C"/>
    <w:rsid w:val="0024247A"/>
    <w:rsid w:val="00245478"/>
    <w:rsid w:val="002458E1"/>
    <w:rsid w:val="00246E98"/>
    <w:rsid w:val="002508DF"/>
    <w:rsid w:val="002550B0"/>
    <w:rsid w:val="0026021C"/>
    <w:rsid w:val="0026503D"/>
    <w:rsid w:val="0026640C"/>
    <w:rsid w:val="002665D2"/>
    <w:rsid w:val="002724D0"/>
    <w:rsid w:val="002731B4"/>
    <w:rsid w:val="00273482"/>
    <w:rsid w:val="00276299"/>
    <w:rsid w:val="00280411"/>
    <w:rsid w:val="00280CED"/>
    <w:rsid w:val="0028127D"/>
    <w:rsid w:val="00281FD1"/>
    <w:rsid w:val="00283456"/>
    <w:rsid w:val="00284332"/>
    <w:rsid w:val="00284C2F"/>
    <w:rsid w:val="00286A66"/>
    <w:rsid w:val="0028718A"/>
    <w:rsid w:val="0028746B"/>
    <w:rsid w:val="002900E6"/>
    <w:rsid w:val="00291892"/>
    <w:rsid w:val="00291DB7"/>
    <w:rsid w:val="00295A04"/>
    <w:rsid w:val="002971F4"/>
    <w:rsid w:val="002A1FBB"/>
    <w:rsid w:val="002A2646"/>
    <w:rsid w:val="002A3FA9"/>
    <w:rsid w:val="002A6E10"/>
    <w:rsid w:val="002A7840"/>
    <w:rsid w:val="002B0685"/>
    <w:rsid w:val="002B1CE5"/>
    <w:rsid w:val="002B2716"/>
    <w:rsid w:val="002B3DFA"/>
    <w:rsid w:val="002B432A"/>
    <w:rsid w:val="002B4988"/>
    <w:rsid w:val="002B764E"/>
    <w:rsid w:val="002B7A0D"/>
    <w:rsid w:val="002C17A7"/>
    <w:rsid w:val="002C1DC3"/>
    <w:rsid w:val="002C2FDA"/>
    <w:rsid w:val="002C30BC"/>
    <w:rsid w:val="002C7E1B"/>
    <w:rsid w:val="002D05A6"/>
    <w:rsid w:val="002D1885"/>
    <w:rsid w:val="002D404F"/>
    <w:rsid w:val="002D49B4"/>
    <w:rsid w:val="002D7ED5"/>
    <w:rsid w:val="002E0C27"/>
    <w:rsid w:val="002E112B"/>
    <w:rsid w:val="002E17AD"/>
    <w:rsid w:val="002E3106"/>
    <w:rsid w:val="002E7E53"/>
    <w:rsid w:val="002F1177"/>
    <w:rsid w:val="002F2DB4"/>
    <w:rsid w:val="002F4DB3"/>
    <w:rsid w:val="002F52CC"/>
    <w:rsid w:val="002F5CC4"/>
    <w:rsid w:val="002F6540"/>
    <w:rsid w:val="00300130"/>
    <w:rsid w:val="0030346D"/>
    <w:rsid w:val="00303F4E"/>
    <w:rsid w:val="003054AC"/>
    <w:rsid w:val="00305F80"/>
    <w:rsid w:val="00306DBC"/>
    <w:rsid w:val="00312FBE"/>
    <w:rsid w:val="003177E0"/>
    <w:rsid w:val="00321644"/>
    <w:rsid w:val="0032310B"/>
    <w:rsid w:val="00323F50"/>
    <w:rsid w:val="00324355"/>
    <w:rsid w:val="00324EAF"/>
    <w:rsid w:val="0032522C"/>
    <w:rsid w:val="0032574D"/>
    <w:rsid w:val="00325E7C"/>
    <w:rsid w:val="00327431"/>
    <w:rsid w:val="003277A5"/>
    <w:rsid w:val="0033721C"/>
    <w:rsid w:val="003405ED"/>
    <w:rsid w:val="0034078C"/>
    <w:rsid w:val="003407B5"/>
    <w:rsid w:val="00342906"/>
    <w:rsid w:val="003436A9"/>
    <w:rsid w:val="003459FC"/>
    <w:rsid w:val="00350685"/>
    <w:rsid w:val="00350FFA"/>
    <w:rsid w:val="00352163"/>
    <w:rsid w:val="0035419F"/>
    <w:rsid w:val="00355496"/>
    <w:rsid w:val="00357C99"/>
    <w:rsid w:val="00361A72"/>
    <w:rsid w:val="003634A9"/>
    <w:rsid w:val="00363BB9"/>
    <w:rsid w:val="00364CE4"/>
    <w:rsid w:val="00370263"/>
    <w:rsid w:val="00370EB6"/>
    <w:rsid w:val="00373734"/>
    <w:rsid w:val="00373CB6"/>
    <w:rsid w:val="003740B9"/>
    <w:rsid w:val="0037488E"/>
    <w:rsid w:val="003772CC"/>
    <w:rsid w:val="00380D8B"/>
    <w:rsid w:val="00381B58"/>
    <w:rsid w:val="00382F07"/>
    <w:rsid w:val="00384AE9"/>
    <w:rsid w:val="00387A96"/>
    <w:rsid w:val="00392654"/>
    <w:rsid w:val="0039286E"/>
    <w:rsid w:val="0039410D"/>
    <w:rsid w:val="0039623A"/>
    <w:rsid w:val="003A29C5"/>
    <w:rsid w:val="003A2EFF"/>
    <w:rsid w:val="003A4422"/>
    <w:rsid w:val="003A4E94"/>
    <w:rsid w:val="003A5398"/>
    <w:rsid w:val="003B09E7"/>
    <w:rsid w:val="003B20C8"/>
    <w:rsid w:val="003B2E4C"/>
    <w:rsid w:val="003B398D"/>
    <w:rsid w:val="003B5A1F"/>
    <w:rsid w:val="003B6B63"/>
    <w:rsid w:val="003B73F1"/>
    <w:rsid w:val="003C0979"/>
    <w:rsid w:val="003C2585"/>
    <w:rsid w:val="003C4C32"/>
    <w:rsid w:val="003C53F7"/>
    <w:rsid w:val="003D10E0"/>
    <w:rsid w:val="003D213B"/>
    <w:rsid w:val="003D7860"/>
    <w:rsid w:val="003E1609"/>
    <w:rsid w:val="003E287E"/>
    <w:rsid w:val="003E4884"/>
    <w:rsid w:val="003E4E99"/>
    <w:rsid w:val="003F0D4E"/>
    <w:rsid w:val="003F20DC"/>
    <w:rsid w:val="003F3F5C"/>
    <w:rsid w:val="00401411"/>
    <w:rsid w:val="004029F7"/>
    <w:rsid w:val="004046DE"/>
    <w:rsid w:val="0040498B"/>
    <w:rsid w:val="00406FC4"/>
    <w:rsid w:val="004078C8"/>
    <w:rsid w:val="004107D3"/>
    <w:rsid w:val="0041202A"/>
    <w:rsid w:val="00412090"/>
    <w:rsid w:val="0041452B"/>
    <w:rsid w:val="00414677"/>
    <w:rsid w:val="00416D2C"/>
    <w:rsid w:val="004204AC"/>
    <w:rsid w:val="00422D9D"/>
    <w:rsid w:val="00423DA1"/>
    <w:rsid w:val="0042572A"/>
    <w:rsid w:val="0042715B"/>
    <w:rsid w:val="00430399"/>
    <w:rsid w:val="00435A69"/>
    <w:rsid w:val="004414C0"/>
    <w:rsid w:val="0044460A"/>
    <w:rsid w:val="00444C53"/>
    <w:rsid w:val="00450C5A"/>
    <w:rsid w:val="00451D36"/>
    <w:rsid w:val="004520FD"/>
    <w:rsid w:val="00453AAE"/>
    <w:rsid w:val="00453C04"/>
    <w:rsid w:val="004550DC"/>
    <w:rsid w:val="004562EB"/>
    <w:rsid w:val="004570C7"/>
    <w:rsid w:val="00462F78"/>
    <w:rsid w:val="00463A1C"/>
    <w:rsid w:val="00466E5F"/>
    <w:rsid w:val="00467E13"/>
    <w:rsid w:val="004717A2"/>
    <w:rsid w:val="004733BB"/>
    <w:rsid w:val="0047460A"/>
    <w:rsid w:val="00474733"/>
    <w:rsid w:val="004748DE"/>
    <w:rsid w:val="0048074D"/>
    <w:rsid w:val="004831A1"/>
    <w:rsid w:val="00484F7E"/>
    <w:rsid w:val="00490B74"/>
    <w:rsid w:val="00491B39"/>
    <w:rsid w:val="00492AC4"/>
    <w:rsid w:val="004935D4"/>
    <w:rsid w:val="00495658"/>
    <w:rsid w:val="00497764"/>
    <w:rsid w:val="00497CD4"/>
    <w:rsid w:val="004A0C7B"/>
    <w:rsid w:val="004A1DC7"/>
    <w:rsid w:val="004A2A24"/>
    <w:rsid w:val="004A49E2"/>
    <w:rsid w:val="004A636D"/>
    <w:rsid w:val="004A6E24"/>
    <w:rsid w:val="004C16C2"/>
    <w:rsid w:val="004C440E"/>
    <w:rsid w:val="004C693A"/>
    <w:rsid w:val="004D0AE7"/>
    <w:rsid w:val="004D158C"/>
    <w:rsid w:val="004D15C0"/>
    <w:rsid w:val="004D3134"/>
    <w:rsid w:val="004D4539"/>
    <w:rsid w:val="004E0096"/>
    <w:rsid w:val="004E1EC4"/>
    <w:rsid w:val="004E1F62"/>
    <w:rsid w:val="004E4D2C"/>
    <w:rsid w:val="004E6767"/>
    <w:rsid w:val="004E698C"/>
    <w:rsid w:val="004E6DCE"/>
    <w:rsid w:val="004E7FC0"/>
    <w:rsid w:val="004F2400"/>
    <w:rsid w:val="004F24AA"/>
    <w:rsid w:val="004F29FC"/>
    <w:rsid w:val="004F2AF5"/>
    <w:rsid w:val="004F2B5E"/>
    <w:rsid w:val="004F3703"/>
    <w:rsid w:val="004F4663"/>
    <w:rsid w:val="004F4FBB"/>
    <w:rsid w:val="004F56E7"/>
    <w:rsid w:val="004F71E7"/>
    <w:rsid w:val="0050329D"/>
    <w:rsid w:val="005051AC"/>
    <w:rsid w:val="00506372"/>
    <w:rsid w:val="00510EE2"/>
    <w:rsid w:val="00512016"/>
    <w:rsid w:val="0051352E"/>
    <w:rsid w:val="00513AC0"/>
    <w:rsid w:val="0051560E"/>
    <w:rsid w:val="0051586F"/>
    <w:rsid w:val="005174A9"/>
    <w:rsid w:val="00517BBB"/>
    <w:rsid w:val="00517DA7"/>
    <w:rsid w:val="005207AB"/>
    <w:rsid w:val="00520A33"/>
    <w:rsid w:val="00522CC0"/>
    <w:rsid w:val="005235A7"/>
    <w:rsid w:val="00523A35"/>
    <w:rsid w:val="00523C52"/>
    <w:rsid w:val="005256B5"/>
    <w:rsid w:val="00525B97"/>
    <w:rsid w:val="00527AE4"/>
    <w:rsid w:val="005343F1"/>
    <w:rsid w:val="0053687A"/>
    <w:rsid w:val="00537A3A"/>
    <w:rsid w:val="00540D1B"/>
    <w:rsid w:val="00540F83"/>
    <w:rsid w:val="005422E6"/>
    <w:rsid w:val="00544E0F"/>
    <w:rsid w:val="0054632E"/>
    <w:rsid w:val="00546B00"/>
    <w:rsid w:val="00550E77"/>
    <w:rsid w:val="0055175C"/>
    <w:rsid w:val="00551CD4"/>
    <w:rsid w:val="0055251D"/>
    <w:rsid w:val="005530EF"/>
    <w:rsid w:val="00553865"/>
    <w:rsid w:val="00554590"/>
    <w:rsid w:val="00554CD6"/>
    <w:rsid w:val="0055569D"/>
    <w:rsid w:val="00555807"/>
    <w:rsid w:val="00555A7C"/>
    <w:rsid w:val="00555FA0"/>
    <w:rsid w:val="0055630C"/>
    <w:rsid w:val="005565BB"/>
    <w:rsid w:val="00557FC1"/>
    <w:rsid w:val="00563342"/>
    <w:rsid w:val="00564A98"/>
    <w:rsid w:val="005652CA"/>
    <w:rsid w:val="005655CF"/>
    <w:rsid w:val="00566FBF"/>
    <w:rsid w:val="00575267"/>
    <w:rsid w:val="0058089F"/>
    <w:rsid w:val="00581398"/>
    <w:rsid w:val="00581F18"/>
    <w:rsid w:val="00583834"/>
    <w:rsid w:val="0058501E"/>
    <w:rsid w:val="00586B0F"/>
    <w:rsid w:val="0059046F"/>
    <w:rsid w:val="00591EF2"/>
    <w:rsid w:val="005958DE"/>
    <w:rsid w:val="00596A88"/>
    <w:rsid w:val="005A303A"/>
    <w:rsid w:val="005A30C8"/>
    <w:rsid w:val="005A3CB0"/>
    <w:rsid w:val="005A4941"/>
    <w:rsid w:val="005B0851"/>
    <w:rsid w:val="005B1AD9"/>
    <w:rsid w:val="005B4D8B"/>
    <w:rsid w:val="005B5228"/>
    <w:rsid w:val="005B70AA"/>
    <w:rsid w:val="005B77A4"/>
    <w:rsid w:val="005B7E82"/>
    <w:rsid w:val="005C1FCB"/>
    <w:rsid w:val="005C2327"/>
    <w:rsid w:val="005C2F27"/>
    <w:rsid w:val="005C3334"/>
    <w:rsid w:val="005C4BA4"/>
    <w:rsid w:val="005C631E"/>
    <w:rsid w:val="005D25EC"/>
    <w:rsid w:val="005D2E76"/>
    <w:rsid w:val="005D5CD9"/>
    <w:rsid w:val="005D5E9D"/>
    <w:rsid w:val="005D7CE7"/>
    <w:rsid w:val="005D7F4F"/>
    <w:rsid w:val="005E1760"/>
    <w:rsid w:val="005E1E53"/>
    <w:rsid w:val="005E2066"/>
    <w:rsid w:val="005E28C7"/>
    <w:rsid w:val="005E2C2D"/>
    <w:rsid w:val="005E49D2"/>
    <w:rsid w:val="005F0A5F"/>
    <w:rsid w:val="005F162C"/>
    <w:rsid w:val="005F289A"/>
    <w:rsid w:val="005F35BC"/>
    <w:rsid w:val="0060531E"/>
    <w:rsid w:val="00606262"/>
    <w:rsid w:val="0060663B"/>
    <w:rsid w:val="00610A38"/>
    <w:rsid w:val="00614064"/>
    <w:rsid w:val="0061582A"/>
    <w:rsid w:val="00620453"/>
    <w:rsid w:val="00621180"/>
    <w:rsid w:val="0062695A"/>
    <w:rsid w:val="006308AF"/>
    <w:rsid w:val="00630DDF"/>
    <w:rsid w:val="00631E33"/>
    <w:rsid w:val="0063209B"/>
    <w:rsid w:val="006329B7"/>
    <w:rsid w:val="00632B89"/>
    <w:rsid w:val="00633100"/>
    <w:rsid w:val="0063347A"/>
    <w:rsid w:val="00636214"/>
    <w:rsid w:val="00636652"/>
    <w:rsid w:val="0063757C"/>
    <w:rsid w:val="00637F00"/>
    <w:rsid w:val="00641966"/>
    <w:rsid w:val="0064306F"/>
    <w:rsid w:val="006432B0"/>
    <w:rsid w:val="00644C91"/>
    <w:rsid w:val="006470A3"/>
    <w:rsid w:val="0065052A"/>
    <w:rsid w:val="00655B05"/>
    <w:rsid w:val="00656AD3"/>
    <w:rsid w:val="00660E15"/>
    <w:rsid w:val="00662508"/>
    <w:rsid w:val="00662A42"/>
    <w:rsid w:val="00663AAF"/>
    <w:rsid w:val="00670AED"/>
    <w:rsid w:val="006715FD"/>
    <w:rsid w:val="00676901"/>
    <w:rsid w:val="00680432"/>
    <w:rsid w:val="00681470"/>
    <w:rsid w:val="00684899"/>
    <w:rsid w:val="00684CAC"/>
    <w:rsid w:val="00684E63"/>
    <w:rsid w:val="006856DE"/>
    <w:rsid w:val="00687F3B"/>
    <w:rsid w:val="0069053C"/>
    <w:rsid w:val="00696E24"/>
    <w:rsid w:val="00697D19"/>
    <w:rsid w:val="006A0840"/>
    <w:rsid w:val="006A1258"/>
    <w:rsid w:val="006A4725"/>
    <w:rsid w:val="006A4C53"/>
    <w:rsid w:val="006A5450"/>
    <w:rsid w:val="006A6F51"/>
    <w:rsid w:val="006B0B39"/>
    <w:rsid w:val="006B4D6E"/>
    <w:rsid w:val="006C21A8"/>
    <w:rsid w:val="006C5767"/>
    <w:rsid w:val="006C5D4D"/>
    <w:rsid w:val="006C71E7"/>
    <w:rsid w:val="006D0620"/>
    <w:rsid w:val="006D154E"/>
    <w:rsid w:val="006D1927"/>
    <w:rsid w:val="006D38C9"/>
    <w:rsid w:val="006D4F86"/>
    <w:rsid w:val="006D6883"/>
    <w:rsid w:val="006E006B"/>
    <w:rsid w:val="006E1840"/>
    <w:rsid w:val="006E5D6E"/>
    <w:rsid w:val="006E7AD3"/>
    <w:rsid w:val="006F05AF"/>
    <w:rsid w:val="006F1919"/>
    <w:rsid w:val="006F2D70"/>
    <w:rsid w:val="006F5A20"/>
    <w:rsid w:val="006F70D5"/>
    <w:rsid w:val="006F7359"/>
    <w:rsid w:val="007006AC"/>
    <w:rsid w:val="00700B67"/>
    <w:rsid w:val="00701551"/>
    <w:rsid w:val="007025E9"/>
    <w:rsid w:val="00703A56"/>
    <w:rsid w:val="00704585"/>
    <w:rsid w:val="00711C87"/>
    <w:rsid w:val="00713C4B"/>
    <w:rsid w:val="007145BF"/>
    <w:rsid w:val="00714976"/>
    <w:rsid w:val="00714BBE"/>
    <w:rsid w:val="00716BED"/>
    <w:rsid w:val="0072111E"/>
    <w:rsid w:val="00721B03"/>
    <w:rsid w:val="0072215F"/>
    <w:rsid w:val="00722C51"/>
    <w:rsid w:val="007233F0"/>
    <w:rsid w:val="00725C61"/>
    <w:rsid w:val="007272FD"/>
    <w:rsid w:val="00727548"/>
    <w:rsid w:val="0073113D"/>
    <w:rsid w:val="00731F74"/>
    <w:rsid w:val="0073214C"/>
    <w:rsid w:val="00732FCD"/>
    <w:rsid w:val="00733FD0"/>
    <w:rsid w:val="007353FA"/>
    <w:rsid w:val="0073641B"/>
    <w:rsid w:val="00740128"/>
    <w:rsid w:val="007410B0"/>
    <w:rsid w:val="0074367C"/>
    <w:rsid w:val="00744AE5"/>
    <w:rsid w:val="007524BE"/>
    <w:rsid w:val="00754BA5"/>
    <w:rsid w:val="00755E04"/>
    <w:rsid w:val="00756FA1"/>
    <w:rsid w:val="007570DC"/>
    <w:rsid w:val="00760D14"/>
    <w:rsid w:val="007628C4"/>
    <w:rsid w:val="00763704"/>
    <w:rsid w:val="00763867"/>
    <w:rsid w:val="00763871"/>
    <w:rsid w:val="007708D4"/>
    <w:rsid w:val="007734D1"/>
    <w:rsid w:val="0077367A"/>
    <w:rsid w:val="00782360"/>
    <w:rsid w:val="007856C7"/>
    <w:rsid w:val="00785770"/>
    <w:rsid w:val="00792F2E"/>
    <w:rsid w:val="007955C0"/>
    <w:rsid w:val="007965B5"/>
    <w:rsid w:val="007970E1"/>
    <w:rsid w:val="007A003E"/>
    <w:rsid w:val="007A0C9A"/>
    <w:rsid w:val="007A25CF"/>
    <w:rsid w:val="007A4C9B"/>
    <w:rsid w:val="007A535C"/>
    <w:rsid w:val="007A5711"/>
    <w:rsid w:val="007A6A3A"/>
    <w:rsid w:val="007B175C"/>
    <w:rsid w:val="007B1ABA"/>
    <w:rsid w:val="007B1B4E"/>
    <w:rsid w:val="007B1DE0"/>
    <w:rsid w:val="007B21AB"/>
    <w:rsid w:val="007B4590"/>
    <w:rsid w:val="007B74C5"/>
    <w:rsid w:val="007C0AF8"/>
    <w:rsid w:val="007C0E81"/>
    <w:rsid w:val="007C2BDC"/>
    <w:rsid w:val="007C33F7"/>
    <w:rsid w:val="007C3FC0"/>
    <w:rsid w:val="007C55F3"/>
    <w:rsid w:val="007C5F63"/>
    <w:rsid w:val="007C6269"/>
    <w:rsid w:val="007C7902"/>
    <w:rsid w:val="007D01BF"/>
    <w:rsid w:val="007D1B6C"/>
    <w:rsid w:val="007D254B"/>
    <w:rsid w:val="007D5CE5"/>
    <w:rsid w:val="007D6151"/>
    <w:rsid w:val="007E00EA"/>
    <w:rsid w:val="007E0AA2"/>
    <w:rsid w:val="007E1F00"/>
    <w:rsid w:val="007E5846"/>
    <w:rsid w:val="007E608B"/>
    <w:rsid w:val="007F1192"/>
    <w:rsid w:val="007F35E6"/>
    <w:rsid w:val="007F43DF"/>
    <w:rsid w:val="007F64B5"/>
    <w:rsid w:val="007F700B"/>
    <w:rsid w:val="007F7271"/>
    <w:rsid w:val="008024A3"/>
    <w:rsid w:val="00803645"/>
    <w:rsid w:val="00804004"/>
    <w:rsid w:val="00804F34"/>
    <w:rsid w:val="00807479"/>
    <w:rsid w:val="008075ED"/>
    <w:rsid w:val="00807EDD"/>
    <w:rsid w:val="008111E1"/>
    <w:rsid w:val="008120A1"/>
    <w:rsid w:val="0081398E"/>
    <w:rsid w:val="00813AEF"/>
    <w:rsid w:val="00813E89"/>
    <w:rsid w:val="00814E9D"/>
    <w:rsid w:val="00815A02"/>
    <w:rsid w:val="00817607"/>
    <w:rsid w:val="00817A89"/>
    <w:rsid w:val="0082053D"/>
    <w:rsid w:val="00821A8F"/>
    <w:rsid w:val="00822BE1"/>
    <w:rsid w:val="00823D51"/>
    <w:rsid w:val="0082547A"/>
    <w:rsid w:val="0082589D"/>
    <w:rsid w:val="00825CDB"/>
    <w:rsid w:val="00826A67"/>
    <w:rsid w:val="00826AC7"/>
    <w:rsid w:val="00826E52"/>
    <w:rsid w:val="00830261"/>
    <w:rsid w:val="00832AD9"/>
    <w:rsid w:val="00834CD1"/>
    <w:rsid w:val="00836F22"/>
    <w:rsid w:val="008403A1"/>
    <w:rsid w:val="00840FD4"/>
    <w:rsid w:val="00842C50"/>
    <w:rsid w:val="0084316F"/>
    <w:rsid w:val="008458B2"/>
    <w:rsid w:val="00845F56"/>
    <w:rsid w:val="00846CC7"/>
    <w:rsid w:val="00847B8E"/>
    <w:rsid w:val="008507C1"/>
    <w:rsid w:val="0085246A"/>
    <w:rsid w:val="008528A9"/>
    <w:rsid w:val="008556B9"/>
    <w:rsid w:val="00855B84"/>
    <w:rsid w:val="00856415"/>
    <w:rsid w:val="00861934"/>
    <w:rsid w:val="00861DC8"/>
    <w:rsid w:val="00862652"/>
    <w:rsid w:val="00865043"/>
    <w:rsid w:val="008803A3"/>
    <w:rsid w:val="008805A7"/>
    <w:rsid w:val="00880CD3"/>
    <w:rsid w:val="00881777"/>
    <w:rsid w:val="008823E4"/>
    <w:rsid w:val="00883EDA"/>
    <w:rsid w:val="00884A2C"/>
    <w:rsid w:val="00884F3F"/>
    <w:rsid w:val="00885C16"/>
    <w:rsid w:val="00885FB0"/>
    <w:rsid w:val="0088719C"/>
    <w:rsid w:val="00887749"/>
    <w:rsid w:val="0089057B"/>
    <w:rsid w:val="0089138F"/>
    <w:rsid w:val="0089269C"/>
    <w:rsid w:val="00892ADD"/>
    <w:rsid w:val="008A032B"/>
    <w:rsid w:val="008A3268"/>
    <w:rsid w:val="008A4DA4"/>
    <w:rsid w:val="008A67FB"/>
    <w:rsid w:val="008A7BE0"/>
    <w:rsid w:val="008B00B6"/>
    <w:rsid w:val="008B27AA"/>
    <w:rsid w:val="008B796D"/>
    <w:rsid w:val="008C1749"/>
    <w:rsid w:val="008C234D"/>
    <w:rsid w:val="008C29A9"/>
    <w:rsid w:val="008C3EC5"/>
    <w:rsid w:val="008C6C48"/>
    <w:rsid w:val="008C6D66"/>
    <w:rsid w:val="008C7DDC"/>
    <w:rsid w:val="008D0390"/>
    <w:rsid w:val="008D2CBB"/>
    <w:rsid w:val="008D2E13"/>
    <w:rsid w:val="008D5281"/>
    <w:rsid w:val="008D61FA"/>
    <w:rsid w:val="008E0FD1"/>
    <w:rsid w:val="008E10C5"/>
    <w:rsid w:val="008E22BA"/>
    <w:rsid w:val="008E267D"/>
    <w:rsid w:val="008E36B2"/>
    <w:rsid w:val="008E3DED"/>
    <w:rsid w:val="008E55EB"/>
    <w:rsid w:val="008E57C5"/>
    <w:rsid w:val="008E5883"/>
    <w:rsid w:val="008E62B5"/>
    <w:rsid w:val="008E6D7C"/>
    <w:rsid w:val="008E7B0D"/>
    <w:rsid w:val="008F0AC9"/>
    <w:rsid w:val="008F15DB"/>
    <w:rsid w:val="008F1BD9"/>
    <w:rsid w:val="008F2E4E"/>
    <w:rsid w:val="008F2F97"/>
    <w:rsid w:val="008F43DC"/>
    <w:rsid w:val="008F4B81"/>
    <w:rsid w:val="008F5115"/>
    <w:rsid w:val="008F54C7"/>
    <w:rsid w:val="008F5C87"/>
    <w:rsid w:val="008F63FC"/>
    <w:rsid w:val="008F74AE"/>
    <w:rsid w:val="00900F7F"/>
    <w:rsid w:val="009010C4"/>
    <w:rsid w:val="00901372"/>
    <w:rsid w:val="00902029"/>
    <w:rsid w:val="009021D9"/>
    <w:rsid w:val="009022FA"/>
    <w:rsid w:val="009046FF"/>
    <w:rsid w:val="009047A0"/>
    <w:rsid w:val="009056F1"/>
    <w:rsid w:val="009059F0"/>
    <w:rsid w:val="0090770E"/>
    <w:rsid w:val="00907E27"/>
    <w:rsid w:val="0091347B"/>
    <w:rsid w:val="00913D33"/>
    <w:rsid w:val="00915C94"/>
    <w:rsid w:val="00916F58"/>
    <w:rsid w:val="009177A5"/>
    <w:rsid w:val="00917E7E"/>
    <w:rsid w:val="009202A2"/>
    <w:rsid w:val="0092173A"/>
    <w:rsid w:val="009222A1"/>
    <w:rsid w:val="00924C78"/>
    <w:rsid w:val="009263BA"/>
    <w:rsid w:val="00927C32"/>
    <w:rsid w:val="00930129"/>
    <w:rsid w:val="0093022B"/>
    <w:rsid w:val="00930CC5"/>
    <w:rsid w:val="00930FBD"/>
    <w:rsid w:val="0093174E"/>
    <w:rsid w:val="00933B65"/>
    <w:rsid w:val="009342DF"/>
    <w:rsid w:val="0093473D"/>
    <w:rsid w:val="00935556"/>
    <w:rsid w:val="009372FB"/>
    <w:rsid w:val="009376F0"/>
    <w:rsid w:val="0094074C"/>
    <w:rsid w:val="009422AA"/>
    <w:rsid w:val="0094458A"/>
    <w:rsid w:val="00944EC2"/>
    <w:rsid w:val="00944ECC"/>
    <w:rsid w:val="009450D9"/>
    <w:rsid w:val="00950595"/>
    <w:rsid w:val="00954178"/>
    <w:rsid w:val="00956950"/>
    <w:rsid w:val="009569CE"/>
    <w:rsid w:val="009579DE"/>
    <w:rsid w:val="00957E04"/>
    <w:rsid w:val="00960FE6"/>
    <w:rsid w:val="009610BB"/>
    <w:rsid w:val="00961A7F"/>
    <w:rsid w:val="00962EA8"/>
    <w:rsid w:val="00963863"/>
    <w:rsid w:val="00964A05"/>
    <w:rsid w:val="0096628A"/>
    <w:rsid w:val="00966602"/>
    <w:rsid w:val="00966F1B"/>
    <w:rsid w:val="0096765A"/>
    <w:rsid w:val="009678D6"/>
    <w:rsid w:val="0097190F"/>
    <w:rsid w:val="0097227F"/>
    <w:rsid w:val="00972F57"/>
    <w:rsid w:val="009731BB"/>
    <w:rsid w:val="00975A15"/>
    <w:rsid w:val="00976272"/>
    <w:rsid w:val="00977CA6"/>
    <w:rsid w:val="009812EE"/>
    <w:rsid w:val="0098302E"/>
    <w:rsid w:val="009873FF"/>
    <w:rsid w:val="00990E36"/>
    <w:rsid w:val="00993696"/>
    <w:rsid w:val="00993EDB"/>
    <w:rsid w:val="00995280"/>
    <w:rsid w:val="0099579C"/>
    <w:rsid w:val="00996EF9"/>
    <w:rsid w:val="0099766B"/>
    <w:rsid w:val="009A1E30"/>
    <w:rsid w:val="009A2AC1"/>
    <w:rsid w:val="009A2D27"/>
    <w:rsid w:val="009A498D"/>
    <w:rsid w:val="009A4D6A"/>
    <w:rsid w:val="009A61E2"/>
    <w:rsid w:val="009B2996"/>
    <w:rsid w:val="009B51CA"/>
    <w:rsid w:val="009B7BA7"/>
    <w:rsid w:val="009B7BD0"/>
    <w:rsid w:val="009C23DF"/>
    <w:rsid w:val="009C2572"/>
    <w:rsid w:val="009C45E9"/>
    <w:rsid w:val="009C4ACD"/>
    <w:rsid w:val="009C51D7"/>
    <w:rsid w:val="009C53D5"/>
    <w:rsid w:val="009C6732"/>
    <w:rsid w:val="009C7509"/>
    <w:rsid w:val="009C7AFA"/>
    <w:rsid w:val="009D14D7"/>
    <w:rsid w:val="009D1ABC"/>
    <w:rsid w:val="009D2526"/>
    <w:rsid w:val="009D4C45"/>
    <w:rsid w:val="009E1D49"/>
    <w:rsid w:val="009E3EF0"/>
    <w:rsid w:val="009E4D2E"/>
    <w:rsid w:val="009E68B1"/>
    <w:rsid w:val="009F1457"/>
    <w:rsid w:val="009F1E00"/>
    <w:rsid w:val="009F25F0"/>
    <w:rsid w:val="009F46E8"/>
    <w:rsid w:val="009F6608"/>
    <w:rsid w:val="009F6A75"/>
    <w:rsid w:val="009F9951"/>
    <w:rsid w:val="00A039CA"/>
    <w:rsid w:val="00A062BC"/>
    <w:rsid w:val="00A07D12"/>
    <w:rsid w:val="00A12879"/>
    <w:rsid w:val="00A14B02"/>
    <w:rsid w:val="00A174D0"/>
    <w:rsid w:val="00A179E4"/>
    <w:rsid w:val="00A20458"/>
    <w:rsid w:val="00A205D0"/>
    <w:rsid w:val="00A20757"/>
    <w:rsid w:val="00A228AE"/>
    <w:rsid w:val="00A22FE7"/>
    <w:rsid w:val="00A23B22"/>
    <w:rsid w:val="00A24E6E"/>
    <w:rsid w:val="00A277BE"/>
    <w:rsid w:val="00A27D3A"/>
    <w:rsid w:val="00A305E1"/>
    <w:rsid w:val="00A316F2"/>
    <w:rsid w:val="00A346F2"/>
    <w:rsid w:val="00A36178"/>
    <w:rsid w:val="00A36A2A"/>
    <w:rsid w:val="00A37E55"/>
    <w:rsid w:val="00A40029"/>
    <w:rsid w:val="00A405A9"/>
    <w:rsid w:val="00A409B0"/>
    <w:rsid w:val="00A43694"/>
    <w:rsid w:val="00A44C17"/>
    <w:rsid w:val="00A457F8"/>
    <w:rsid w:val="00A4690E"/>
    <w:rsid w:val="00A50070"/>
    <w:rsid w:val="00A50937"/>
    <w:rsid w:val="00A51F71"/>
    <w:rsid w:val="00A5506A"/>
    <w:rsid w:val="00A564FE"/>
    <w:rsid w:val="00A56FC7"/>
    <w:rsid w:val="00A601A9"/>
    <w:rsid w:val="00A62A22"/>
    <w:rsid w:val="00A63820"/>
    <w:rsid w:val="00A65198"/>
    <w:rsid w:val="00A668BF"/>
    <w:rsid w:val="00A66A0A"/>
    <w:rsid w:val="00A66ADD"/>
    <w:rsid w:val="00A66D1C"/>
    <w:rsid w:val="00A67ADA"/>
    <w:rsid w:val="00A70B38"/>
    <w:rsid w:val="00A71125"/>
    <w:rsid w:val="00A72575"/>
    <w:rsid w:val="00A73CBA"/>
    <w:rsid w:val="00A74071"/>
    <w:rsid w:val="00A748FF"/>
    <w:rsid w:val="00A74AAE"/>
    <w:rsid w:val="00A754E4"/>
    <w:rsid w:val="00A761C2"/>
    <w:rsid w:val="00A801F7"/>
    <w:rsid w:val="00A8259E"/>
    <w:rsid w:val="00A92B96"/>
    <w:rsid w:val="00A96F4C"/>
    <w:rsid w:val="00A9723F"/>
    <w:rsid w:val="00AA0034"/>
    <w:rsid w:val="00AA124A"/>
    <w:rsid w:val="00AA1816"/>
    <w:rsid w:val="00AA29E1"/>
    <w:rsid w:val="00AA2A96"/>
    <w:rsid w:val="00AA3970"/>
    <w:rsid w:val="00AA4784"/>
    <w:rsid w:val="00AB08D5"/>
    <w:rsid w:val="00AB21B9"/>
    <w:rsid w:val="00AB2FC7"/>
    <w:rsid w:val="00AC1D75"/>
    <w:rsid w:val="00AC2AA5"/>
    <w:rsid w:val="00AC34B1"/>
    <w:rsid w:val="00AC3C45"/>
    <w:rsid w:val="00AC4743"/>
    <w:rsid w:val="00AC5213"/>
    <w:rsid w:val="00AC53C4"/>
    <w:rsid w:val="00AC5420"/>
    <w:rsid w:val="00AC5B22"/>
    <w:rsid w:val="00AD4FE2"/>
    <w:rsid w:val="00AD6DE4"/>
    <w:rsid w:val="00AD70C4"/>
    <w:rsid w:val="00AE04C6"/>
    <w:rsid w:val="00AE18F6"/>
    <w:rsid w:val="00AE1B92"/>
    <w:rsid w:val="00AE25E0"/>
    <w:rsid w:val="00AE387C"/>
    <w:rsid w:val="00AE47D4"/>
    <w:rsid w:val="00AF1F14"/>
    <w:rsid w:val="00AF3DF2"/>
    <w:rsid w:val="00B00B7E"/>
    <w:rsid w:val="00B04DCF"/>
    <w:rsid w:val="00B100CC"/>
    <w:rsid w:val="00B10586"/>
    <w:rsid w:val="00B1180D"/>
    <w:rsid w:val="00B11BB4"/>
    <w:rsid w:val="00B1312D"/>
    <w:rsid w:val="00B132A4"/>
    <w:rsid w:val="00B14CAD"/>
    <w:rsid w:val="00B15E18"/>
    <w:rsid w:val="00B16AA0"/>
    <w:rsid w:val="00B21184"/>
    <w:rsid w:val="00B22B55"/>
    <w:rsid w:val="00B24464"/>
    <w:rsid w:val="00B248F0"/>
    <w:rsid w:val="00B259A8"/>
    <w:rsid w:val="00B267C0"/>
    <w:rsid w:val="00B327E4"/>
    <w:rsid w:val="00B3415F"/>
    <w:rsid w:val="00B35F75"/>
    <w:rsid w:val="00B363DF"/>
    <w:rsid w:val="00B424FA"/>
    <w:rsid w:val="00B43B81"/>
    <w:rsid w:val="00B43C8F"/>
    <w:rsid w:val="00B449E8"/>
    <w:rsid w:val="00B456C5"/>
    <w:rsid w:val="00B46236"/>
    <w:rsid w:val="00B474FD"/>
    <w:rsid w:val="00B5130B"/>
    <w:rsid w:val="00B523A0"/>
    <w:rsid w:val="00B547BE"/>
    <w:rsid w:val="00B60CAD"/>
    <w:rsid w:val="00B6689D"/>
    <w:rsid w:val="00B66DBB"/>
    <w:rsid w:val="00B66FCA"/>
    <w:rsid w:val="00B70EE5"/>
    <w:rsid w:val="00B721B2"/>
    <w:rsid w:val="00B72368"/>
    <w:rsid w:val="00B72C85"/>
    <w:rsid w:val="00B749F4"/>
    <w:rsid w:val="00B75EA0"/>
    <w:rsid w:val="00B77766"/>
    <w:rsid w:val="00B77917"/>
    <w:rsid w:val="00B82E7D"/>
    <w:rsid w:val="00B862ED"/>
    <w:rsid w:val="00B870DA"/>
    <w:rsid w:val="00B92AB2"/>
    <w:rsid w:val="00B9378F"/>
    <w:rsid w:val="00B93DA4"/>
    <w:rsid w:val="00B93E39"/>
    <w:rsid w:val="00B9422F"/>
    <w:rsid w:val="00B9599E"/>
    <w:rsid w:val="00B95B51"/>
    <w:rsid w:val="00B97184"/>
    <w:rsid w:val="00BA04E1"/>
    <w:rsid w:val="00BA1104"/>
    <w:rsid w:val="00BA3745"/>
    <w:rsid w:val="00BA37BE"/>
    <w:rsid w:val="00BA5934"/>
    <w:rsid w:val="00BA66CA"/>
    <w:rsid w:val="00BA7D25"/>
    <w:rsid w:val="00BB12B7"/>
    <w:rsid w:val="00BB1E37"/>
    <w:rsid w:val="00BB260B"/>
    <w:rsid w:val="00BB5A18"/>
    <w:rsid w:val="00BB762D"/>
    <w:rsid w:val="00BC0265"/>
    <w:rsid w:val="00BC1C61"/>
    <w:rsid w:val="00BC27D0"/>
    <w:rsid w:val="00BC4D61"/>
    <w:rsid w:val="00BC794A"/>
    <w:rsid w:val="00BCC9D1"/>
    <w:rsid w:val="00BD16A7"/>
    <w:rsid w:val="00BD378C"/>
    <w:rsid w:val="00BD45DD"/>
    <w:rsid w:val="00BD5171"/>
    <w:rsid w:val="00BD56F7"/>
    <w:rsid w:val="00BE0BA6"/>
    <w:rsid w:val="00BE0CEC"/>
    <w:rsid w:val="00BE168C"/>
    <w:rsid w:val="00BE18EC"/>
    <w:rsid w:val="00BE2426"/>
    <w:rsid w:val="00BE59A6"/>
    <w:rsid w:val="00BE6DCB"/>
    <w:rsid w:val="00BF0D75"/>
    <w:rsid w:val="00BF46A9"/>
    <w:rsid w:val="00BF53D3"/>
    <w:rsid w:val="00BF683D"/>
    <w:rsid w:val="00C015CD"/>
    <w:rsid w:val="00C020B6"/>
    <w:rsid w:val="00C03C2F"/>
    <w:rsid w:val="00C05214"/>
    <w:rsid w:val="00C11697"/>
    <w:rsid w:val="00C14A68"/>
    <w:rsid w:val="00C17502"/>
    <w:rsid w:val="00C17EBF"/>
    <w:rsid w:val="00C20625"/>
    <w:rsid w:val="00C20EAB"/>
    <w:rsid w:val="00C214D3"/>
    <w:rsid w:val="00C24C48"/>
    <w:rsid w:val="00C25C89"/>
    <w:rsid w:val="00C26745"/>
    <w:rsid w:val="00C30286"/>
    <w:rsid w:val="00C33220"/>
    <w:rsid w:val="00C355AD"/>
    <w:rsid w:val="00C408B1"/>
    <w:rsid w:val="00C41FC9"/>
    <w:rsid w:val="00C506C5"/>
    <w:rsid w:val="00C51DF3"/>
    <w:rsid w:val="00C52297"/>
    <w:rsid w:val="00C52EBB"/>
    <w:rsid w:val="00C54D58"/>
    <w:rsid w:val="00C5630D"/>
    <w:rsid w:val="00C573E1"/>
    <w:rsid w:val="00C60222"/>
    <w:rsid w:val="00C610C7"/>
    <w:rsid w:val="00C61AB3"/>
    <w:rsid w:val="00C61C34"/>
    <w:rsid w:val="00C62083"/>
    <w:rsid w:val="00C62D22"/>
    <w:rsid w:val="00C639AC"/>
    <w:rsid w:val="00C65133"/>
    <w:rsid w:val="00C651E4"/>
    <w:rsid w:val="00C66D43"/>
    <w:rsid w:val="00C66F0A"/>
    <w:rsid w:val="00C6747E"/>
    <w:rsid w:val="00C67C2C"/>
    <w:rsid w:val="00C67EAA"/>
    <w:rsid w:val="00C70467"/>
    <w:rsid w:val="00C72C8E"/>
    <w:rsid w:val="00C732AC"/>
    <w:rsid w:val="00C736D3"/>
    <w:rsid w:val="00C73A18"/>
    <w:rsid w:val="00C75036"/>
    <w:rsid w:val="00C75A8C"/>
    <w:rsid w:val="00C8003C"/>
    <w:rsid w:val="00C820A1"/>
    <w:rsid w:val="00C86EEA"/>
    <w:rsid w:val="00C87E6C"/>
    <w:rsid w:val="00C90741"/>
    <w:rsid w:val="00C9130F"/>
    <w:rsid w:val="00C93CC8"/>
    <w:rsid w:val="00C955BA"/>
    <w:rsid w:val="00C95BEA"/>
    <w:rsid w:val="00C95DF6"/>
    <w:rsid w:val="00C95F28"/>
    <w:rsid w:val="00C96544"/>
    <w:rsid w:val="00C971D9"/>
    <w:rsid w:val="00CA0A48"/>
    <w:rsid w:val="00CA0CE3"/>
    <w:rsid w:val="00CA1AB2"/>
    <w:rsid w:val="00CA2CA8"/>
    <w:rsid w:val="00CA2F62"/>
    <w:rsid w:val="00CA3276"/>
    <w:rsid w:val="00CA4E75"/>
    <w:rsid w:val="00CA7141"/>
    <w:rsid w:val="00CA781D"/>
    <w:rsid w:val="00CB06E8"/>
    <w:rsid w:val="00CB0ECE"/>
    <w:rsid w:val="00CB1500"/>
    <w:rsid w:val="00CB227D"/>
    <w:rsid w:val="00CB3A01"/>
    <w:rsid w:val="00CB419E"/>
    <w:rsid w:val="00CB6F16"/>
    <w:rsid w:val="00CC0EAC"/>
    <w:rsid w:val="00CC1C14"/>
    <w:rsid w:val="00CC3BA4"/>
    <w:rsid w:val="00CC4CAD"/>
    <w:rsid w:val="00CC4F64"/>
    <w:rsid w:val="00CC6F7E"/>
    <w:rsid w:val="00CD21BF"/>
    <w:rsid w:val="00CD2802"/>
    <w:rsid w:val="00CD2B34"/>
    <w:rsid w:val="00CD5ED2"/>
    <w:rsid w:val="00CD66AB"/>
    <w:rsid w:val="00CD6982"/>
    <w:rsid w:val="00CE23CC"/>
    <w:rsid w:val="00CE3133"/>
    <w:rsid w:val="00CE3B71"/>
    <w:rsid w:val="00CE4945"/>
    <w:rsid w:val="00CE5D9C"/>
    <w:rsid w:val="00CF3CA6"/>
    <w:rsid w:val="00CF57FF"/>
    <w:rsid w:val="00D033AA"/>
    <w:rsid w:val="00D05D8B"/>
    <w:rsid w:val="00D07E0A"/>
    <w:rsid w:val="00D104BE"/>
    <w:rsid w:val="00D10CFB"/>
    <w:rsid w:val="00D11DC2"/>
    <w:rsid w:val="00D126B6"/>
    <w:rsid w:val="00D130D1"/>
    <w:rsid w:val="00D13D63"/>
    <w:rsid w:val="00D1441E"/>
    <w:rsid w:val="00D15376"/>
    <w:rsid w:val="00D15859"/>
    <w:rsid w:val="00D168D0"/>
    <w:rsid w:val="00D170AB"/>
    <w:rsid w:val="00D2250A"/>
    <w:rsid w:val="00D30CC1"/>
    <w:rsid w:val="00D32723"/>
    <w:rsid w:val="00D3347B"/>
    <w:rsid w:val="00D36EB2"/>
    <w:rsid w:val="00D371DA"/>
    <w:rsid w:val="00D40A8D"/>
    <w:rsid w:val="00D41682"/>
    <w:rsid w:val="00D43CCE"/>
    <w:rsid w:val="00D4437C"/>
    <w:rsid w:val="00D456DF"/>
    <w:rsid w:val="00D47B1E"/>
    <w:rsid w:val="00D51429"/>
    <w:rsid w:val="00D54614"/>
    <w:rsid w:val="00D54C88"/>
    <w:rsid w:val="00D5619E"/>
    <w:rsid w:val="00D5674B"/>
    <w:rsid w:val="00D5798B"/>
    <w:rsid w:val="00D63ECC"/>
    <w:rsid w:val="00D64756"/>
    <w:rsid w:val="00D6536F"/>
    <w:rsid w:val="00D666C1"/>
    <w:rsid w:val="00D70160"/>
    <w:rsid w:val="00D70387"/>
    <w:rsid w:val="00D7708A"/>
    <w:rsid w:val="00D775A6"/>
    <w:rsid w:val="00D80755"/>
    <w:rsid w:val="00D81441"/>
    <w:rsid w:val="00D84F6E"/>
    <w:rsid w:val="00D87B77"/>
    <w:rsid w:val="00D909D2"/>
    <w:rsid w:val="00D94FDB"/>
    <w:rsid w:val="00DA0273"/>
    <w:rsid w:val="00DA1B7B"/>
    <w:rsid w:val="00DA1EC8"/>
    <w:rsid w:val="00DA2347"/>
    <w:rsid w:val="00DA2A95"/>
    <w:rsid w:val="00DA36F0"/>
    <w:rsid w:val="00DA3C3D"/>
    <w:rsid w:val="00DA3CC2"/>
    <w:rsid w:val="00DA4291"/>
    <w:rsid w:val="00DA6202"/>
    <w:rsid w:val="00DA62C7"/>
    <w:rsid w:val="00DA6AF9"/>
    <w:rsid w:val="00DB0108"/>
    <w:rsid w:val="00DB09C4"/>
    <w:rsid w:val="00DB0A7C"/>
    <w:rsid w:val="00DB0E73"/>
    <w:rsid w:val="00DB31BD"/>
    <w:rsid w:val="00DB68CF"/>
    <w:rsid w:val="00DB79DF"/>
    <w:rsid w:val="00DB7B28"/>
    <w:rsid w:val="00DB7DB2"/>
    <w:rsid w:val="00DC2F79"/>
    <w:rsid w:val="00DC6B73"/>
    <w:rsid w:val="00DC74B6"/>
    <w:rsid w:val="00DD0DF7"/>
    <w:rsid w:val="00DD15D7"/>
    <w:rsid w:val="00DD1ECA"/>
    <w:rsid w:val="00DD7914"/>
    <w:rsid w:val="00DE0402"/>
    <w:rsid w:val="00DE19AE"/>
    <w:rsid w:val="00DE1D12"/>
    <w:rsid w:val="00DE50EC"/>
    <w:rsid w:val="00DE7E4E"/>
    <w:rsid w:val="00DF0436"/>
    <w:rsid w:val="00DF20FB"/>
    <w:rsid w:val="00DF53FE"/>
    <w:rsid w:val="00DF5A33"/>
    <w:rsid w:val="00DF6AE6"/>
    <w:rsid w:val="00E01452"/>
    <w:rsid w:val="00E01D82"/>
    <w:rsid w:val="00E02099"/>
    <w:rsid w:val="00E021F7"/>
    <w:rsid w:val="00E022E5"/>
    <w:rsid w:val="00E06041"/>
    <w:rsid w:val="00E06265"/>
    <w:rsid w:val="00E067BA"/>
    <w:rsid w:val="00E118C4"/>
    <w:rsid w:val="00E136A3"/>
    <w:rsid w:val="00E13F3E"/>
    <w:rsid w:val="00E14582"/>
    <w:rsid w:val="00E14881"/>
    <w:rsid w:val="00E16C48"/>
    <w:rsid w:val="00E1771F"/>
    <w:rsid w:val="00E17E83"/>
    <w:rsid w:val="00E21AC4"/>
    <w:rsid w:val="00E247BC"/>
    <w:rsid w:val="00E31205"/>
    <w:rsid w:val="00E36EF8"/>
    <w:rsid w:val="00E4005F"/>
    <w:rsid w:val="00E42FE8"/>
    <w:rsid w:val="00E435B5"/>
    <w:rsid w:val="00E43A7A"/>
    <w:rsid w:val="00E447A5"/>
    <w:rsid w:val="00E45CC1"/>
    <w:rsid w:val="00E46652"/>
    <w:rsid w:val="00E47976"/>
    <w:rsid w:val="00E47A3A"/>
    <w:rsid w:val="00E5314B"/>
    <w:rsid w:val="00E54293"/>
    <w:rsid w:val="00E60FEC"/>
    <w:rsid w:val="00E61918"/>
    <w:rsid w:val="00E626AF"/>
    <w:rsid w:val="00E63270"/>
    <w:rsid w:val="00E63C78"/>
    <w:rsid w:val="00E67289"/>
    <w:rsid w:val="00E70023"/>
    <w:rsid w:val="00E703F8"/>
    <w:rsid w:val="00E70D83"/>
    <w:rsid w:val="00E71AA7"/>
    <w:rsid w:val="00E7725F"/>
    <w:rsid w:val="00E77761"/>
    <w:rsid w:val="00E81089"/>
    <w:rsid w:val="00E81CA8"/>
    <w:rsid w:val="00E83913"/>
    <w:rsid w:val="00E83B67"/>
    <w:rsid w:val="00E85573"/>
    <w:rsid w:val="00E85C35"/>
    <w:rsid w:val="00E872DD"/>
    <w:rsid w:val="00E909AE"/>
    <w:rsid w:val="00E90CE0"/>
    <w:rsid w:val="00E91B70"/>
    <w:rsid w:val="00E9222F"/>
    <w:rsid w:val="00E932EC"/>
    <w:rsid w:val="00E9345D"/>
    <w:rsid w:val="00E93617"/>
    <w:rsid w:val="00E9403D"/>
    <w:rsid w:val="00E94A9F"/>
    <w:rsid w:val="00E94B7B"/>
    <w:rsid w:val="00E94B93"/>
    <w:rsid w:val="00E97493"/>
    <w:rsid w:val="00E97A6F"/>
    <w:rsid w:val="00EA049F"/>
    <w:rsid w:val="00EA11A1"/>
    <w:rsid w:val="00EA32F7"/>
    <w:rsid w:val="00EA4A74"/>
    <w:rsid w:val="00EA5168"/>
    <w:rsid w:val="00EAE18E"/>
    <w:rsid w:val="00EB40B9"/>
    <w:rsid w:val="00EB4C6B"/>
    <w:rsid w:val="00EB6793"/>
    <w:rsid w:val="00EC10BC"/>
    <w:rsid w:val="00EC2A33"/>
    <w:rsid w:val="00EC5773"/>
    <w:rsid w:val="00EC5CCA"/>
    <w:rsid w:val="00EC64D4"/>
    <w:rsid w:val="00EC6A53"/>
    <w:rsid w:val="00EC6D0B"/>
    <w:rsid w:val="00ED1180"/>
    <w:rsid w:val="00ED2179"/>
    <w:rsid w:val="00ED21E5"/>
    <w:rsid w:val="00ED2558"/>
    <w:rsid w:val="00EE126A"/>
    <w:rsid w:val="00EE1E7C"/>
    <w:rsid w:val="00EE2D75"/>
    <w:rsid w:val="00EE323C"/>
    <w:rsid w:val="00EE3692"/>
    <w:rsid w:val="00EE3977"/>
    <w:rsid w:val="00EE4012"/>
    <w:rsid w:val="00EE43CE"/>
    <w:rsid w:val="00EE55BB"/>
    <w:rsid w:val="00EE578A"/>
    <w:rsid w:val="00EE5EEB"/>
    <w:rsid w:val="00EE6155"/>
    <w:rsid w:val="00EE7E4F"/>
    <w:rsid w:val="00EF0A63"/>
    <w:rsid w:val="00EF0A93"/>
    <w:rsid w:val="00EF2531"/>
    <w:rsid w:val="00EF43BA"/>
    <w:rsid w:val="00EF54BD"/>
    <w:rsid w:val="00EF7C3D"/>
    <w:rsid w:val="00F006C2"/>
    <w:rsid w:val="00F00FA1"/>
    <w:rsid w:val="00F01093"/>
    <w:rsid w:val="00F01DB7"/>
    <w:rsid w:val="00F02A74"/>
    <w:rsid w:val="00F038AD"/>
    <w:rsid w:val="00F05664"/>
    <w:rsid w:val="00F07614"/>
    <w:rsid w:val="00F10996"/>
    <w:rsid w:val="00F10B2C"/>
    <w:rsid w:val="00F11CA6"/>
    <w:rsid w:val="00F13ED0"/>
    <w:rsid w:val="00F1594C"/>
    <w:rsid w:val="00F15A33"/>
    <w:rsid w:val="00F16E29"/>
    <w:rsid w:val="00F230CD"/>
    <w:rsid w:val="00F24B9D"/>
    <w:rsid w:val="00F27B8A"/>
    <w:rsid w:val="00F30309"/>
    <w:rsid w:val="00F303D1"/>
    <w:rsid w:val="00F3075F"/>
    <w:rsid w:val="00F30C15"/>
    <w:rsid w:val="00F31AF4"/>
    <w:rsid w:val="00F34237"/>
    <w:rsid w:val="00F42B3E"/>
    <w:rsid w:val="00F42C01"/>
    <w:rsid w:val="00F44305"/>
    <w:rsid w:val="00F45013"/>
    <w:rsid w:val="00F46375"/>
    <w:rsid w:val="00F47B24"/>
    <w:rsid w:val="00F51C18"/>
    <w:rsid w:val="00F52954"/>
    <w:rsid w:val="00F52CC4"/>
    <w:rsid w:val="00F55ED8"/>
    <w:rsid w:val="00F56F94"/>
    <w:rsid w:val="00F624F8"/>
    <w:rsid w:val="00F625C2"/>
    <w:rsid w:val="00F625F4"/>
    <w:rsid w:val="00F63943"/>
    <w:rsid w:val="00F63E8F"/>
    <w:rsid w:val="00F641CF"/>
    <w:rsid w:val="00F71C7B"/>
    <w:rsid w:val="00F75297"/>
    <w:rsid w:val="00F7773A"/>
    <w:rsid w:val="00F77C95"/>
    <w:rsid w:val="00F81B34"/>
    <w:rsid w:val="00F85D1B"/>
    <w:rsid w:val="00F86950"/>
    <w:rsid w:val="00F91694"/>
    <w:rsid w:val="00F96590"/>
    <w:rsid w:val="00FA056F"/>
    <w:rsid w:val="00FA1507"/>
    <w:rsid w:val="00FA27D6"/>
    <w:rsid w:val="00FA31E2"/>
    <w:rsid w:val="00FA39C5"/>
    <w:rsid w:val="00FA63B4"/>
    <w:rsid w:val="00FA6D5C"/>
    <w:rsid w:val="00FB0951"/>
    <w:rsid w:val="00FB1203"/>
    <w:rsid w:val="00FB158D"/>
    <w:rsid w:val="00FB2DBC"/>
    <w:rsid w:val="00FB40EF"/>
    <w:rsid w:val="00FB5126"/>
    <w:rsid w:val="00FB5D2A"/>
    <w:rsid w:val="00FB6477"/>
    <w:rsid w:val="00FB779A"/>
    <w:rsid w:val="00FC2323"/>
    <w:rsid w:val="00FC5F3A"/>
    <w:rsid w:val="00FC6BA5"/>
    <w:rsid w:val="00FC783F"/>
    <w:rsid w:val="00FD043C"/>
    <w:rsid w:val="00FD156B"/>
    <w:rsid w:val="00FD34C0"/>
    <w:rsid w:val="00FD48D4"/>
    <w:rsid w:val="00FD4A3D"/>
    <w:rsid w:val="00FD59E8"/>
    <w:rsid w:val="00FD5F8D"/>
    <w:rsid w:val="00FD7190"/>
    <w:rsid w:val="00FE2CE3"/>
    <w:rsid w:val="00FE3C32"/>
    <w:rsid w:val="00FE4381"/>
    <w:rsid w:val="00FE7963"/>
    <w:rsid w:val="00FE7B35"/>
    <w:rsid w:val="00FE7F3B"/>
    <w:rsid w:val="00FF009F"/>
    <w:rsid w:val="00FF0D99"/>
    <w:rsid w:val="00FF4057"/>
    <w:rsid w:val="00FF4C00"/>
    <w:rsid w:val="00FF4C57"/>
    <w:rsid w:val="00FF5B70"/>
    <w:rsid w:val="00FF5BB9"/>
    <w:rsid w:val="00FF7579"/>
    <w:rsid w:val="01395DB8"/>
    <w:rsid w:val="01E2E9AD"/>
    <w:rsid w:val="0208F159"/>
    <w:rsid w:val="0241BA9E"/>
    <w:rsid w:val="0324B41F"/>
    <w:rsid w:val="032BFB56"/>
    <w:rsid w:val="033D036D"/>
    <w:rsid w:val="037DA4BD"/>
    <w:rsid w:val="03856157"/>
    <w:rsid w:val="04170BEF"/>
    <w:rsid w:val="043070DD"/>
    <w:rsid w:val="0504F597"/>
    <w:rsid w:val="053543B7"/>
    <w:rsid w:val="05898D1A"/>
    <w:rsid w:val="0604A2F4"/>
    <w:rsid w:val="0610AD00"/>
    <w:rsid w:val="0652A805"/>
    <w:rsid w:val="0659CFB5"/>
    <w:rsid w:val="078FC8BE"/>
    <w:rsid w:val="07AF993C"/>
    <w:rsid w:val="07E6CAA4"/>
    <w:rsid w:val="07FECB98"/>
    <w:rsid w:val="082C9230"/>
    <w:rsid w:val="08F8575B"/>
    <w:rsid w:val="0905D76F"/>
    <w:rsid w:val="091CFF64"/>
    <w:rsid w:val="092D5294"/>
    <w:rsid w:val="0950A618"/>
    <w:rsid w:val="0987D59B"/>
    <w:rsid w:val="09AFFC29"/>
    <w:rsid w:val="09CC9D25"/>
    <w:rsid w:val="0A123EE2"/>
    <w:rsid w:val="0A3766E3"/>
    <w:rsid w:val="0ACBDBF9"/>
    <w:rsid w:val="0B02D29E"/>
    <w:rsid w:val="0B07E147"/>
    <w:rsid w:val="0B751CE0"/>
    <w:rsid w:val="0BC13A77"/>
    <w:rsid w:val="0BC3CDE4"/>
    <w:rsid w:val="0BD2C1B9"/>
    <w:rsid w:val="0BE9236A"/>
    <w:rsid w:val="0C16B0F3"/>
    <w:rsid w:val="0C389FEA"/>
    <w:rsid w:val="0C9BEF22"/>
    <w:rsid w:val="0CD5B35C"/>
    <w:rsid w:val="0D23BD93"/>
    <w:rsid w:val="0D2AC69F"/>
    <w:rsid w:val="0DC48368"/>
    <w:rsid w:val="0DF03722"/>
    <w:rsid w:val="0E309DC2"/>
    <w:rsid w:val="0E4D7462"/>
    <w:rsid w:val="0E50367F"/>
    <w:rsid w:val="0ECEACBF"/>
    <w:rsid w:val="0F937067"/>
    <w:rsid w:val="0FBA7A83"/>
    <w:rsid w:val="103B6453"/>
    <w:rsid w:val="106B8699"/>
    <w:rsid w:val="1088ED2A"/>
    <w:rsid w:val="10F902D5"/>
    <w:rsid w:val="11103AA1"/>
    <w:rsid w:val="117CF9A1"/>
    <w:rsid w:val="117DA147"/>
    <w:rsid w:val="12225609"/>
    <w:rsid w:val="12973240"/>
    <w:rsid w:val="12A6AC96"/>
    <w:rsid w:val="12A915AA"/>
    <w:rsid w:val="12C58494"/>
    <w:rsid w:val="12CDC8E2"/>
    <w:rsid w:val="12F27776"/>
    <w:rsid w:val="1307CAA5"/>
    <w:rsid w:val="13847E3A"/>
    <w:rsid w:val="13DFA47A"/>
    <w:rsid w:val="14263296"/>
    <w:rsid w:val="143E8361"/>
    <w:rsid w:val="14461647"/>
    <w:rsid w:val="147A3FC8"/>
    <w:rsid w:val="14814FE4"/>
    <w:rsid w:val="148D4A3A"/>
    <w:rsid w:val="1500AD61"/>
    <w:rsid w:val="1565091D"/>
    <w:rsid w:val="15B35F13"/>
    <w:rsid w:val="15F91E2C"/>
    <w:rsid w:val="16A9473C"/>
    <w:rsid w:val="177370F8"/>
    <w:rsid w:val="1830F4C1"/>
    <w:rsid w:val="1870D3F5"/>
    <w:rsid w:val="18BB3E2D"/>
    <w:rsid w:val="18C1F08A"/>
    <w:rsid w:val="19B934C6"/>
    <w:rsid w:val="19E5120A"/>
    <w:rsid w:val="1A91C279"/>
    <w:rsid w:val="1ACAB86D"/>
    <w:rsid w:val="1ADD925B"/>
    <w:rsid w:val="1AEA1775"/>
    <w:rsid w:val="1B951056"/>
    <w:rsid w:val="1BBBCC69"/>
    <w:rsid w:val="1C3ADCB4"/>
    <w:rsid w:val="1C5E24EA"/>
    <w:rsid w:val="1C85DFB2"/>
    <w:rsid w:val="1DA91B81"/>
    <w:rsid w:val="1DBED59B"/>
    <w:rsid w:val="1DCE2D66"/>
    <w:rsid w:val="1E414A06"/>
    <w:rsid w:val="1E6C7F8C"/>
    <w:rsid w:val="1EB124DA"/>
    <w:rsid w:val="1EE7A039"/>
    <w:rsid w:val="1F2F0DB8"/>
    <w:rsid w:val="1F43BCCE"/>
    <w:rsid w:val="1F8E9DC1"/>
    <w:rsid w:val="1FA9EB5E"/>
    <w:rsid w:val="1FEED29E"/>
    <w:rsid w:val="201B432F"/>
    <w:rsid w:val="2035A577"/>
    <w:rsid w:val="204307C6"/>
    <w:rsid w:val="20474C28"/>
    <w:rsid w:val="205D2C23"/>
    <w:rsid w:val="2066EA45"/>
    <w:rsid w:val="214B917D"/>
    <w:rsid w:val="21B79100"/>
    <w:rsid w:val="21BA8289"/>
    <w:rsid w:val="21C5CCBC"/>
    <w:rsid w:val="21DFF059"/>
    <w:rsid w:val="21F25805"/>
    <w:rsid w:val="21F267F0"/>
    <w:rsid w:val="21F50284"/>
    <w:rsid w:val="2231EE44"/>
    <w:rsid w:val="229A81B1"/>
    <w:rsid w:val="22F6388F"/>
    <w:rsid w:val="23BDDBDE"/>
    <w:rsid w:val="241A64A6"/>
    <w:rsid w:val="2435E294"/>
    <w:rsid w:val="246CCE52"/>
    <w:rsid w:val="247A7CFA"/>
    <w:rsid w:val="2487C8C3"/>
    <w:rsid w:val="25042A45"/>
    <w:rsid w:val="250AE822"/>
    <w:rsid w:val="25179C4E"/>
    <w:rsid w:val="251C6C2F"/>
    <w:rsid w:val="255E2369"/>
    <w:rsid w:val="25B51BBA"/>
    <w:rsid w:val="25CE71DF"/>
    <w:rsid w:val="25E389B9"/>
    <w:rsid w:val="25EA2F25"/>
    <w:rsid w:val="25EE5EDE"/>
    <w:rsid w:val="25F03150"/>
    <w:rsid w:val="25F0F7EA"/>
    <w:rsid w:val="26072BC7"/>
    <w:rsid w:val="261352A8"/>
    <w:rsid w:val="2629C10C"/>
    <w:rsid w:val="267C99B0"/>
    <w:rsid w:val="2690A201"/>
    <w:rsid w:val="26CE5268"/>
    <w:rsid w:val="26D6A069"/>
    <w:rsid w:val="270BF1B6"/>
    <w:rsid w:val="27EC1437"/>
    <w:rsid w:val="27F547D1"/>
    <w:rsid w:val="2839AEEE"/>
    <w:rsid w:val="285F078E"/>
    <w:rsid w:val="286C8E56"/>
    <w:rsid w:val="2895757E"/>
    <w:rsid w:val="28A0216E"/>
    <w:rsid w:val="28C10AE9"/>
    <w:rsid w:val="28D06781"/>
    <w:rsid w:val="294D0F83"/>
    <w:rsid w:val="29BAD5AA"/>
    <w:rsid w:val="29CE0D9B"/>
    <w:rsid w:val="2A3403ED"/>
    <w:rsid w:val="2A3D49C5"/>
    <w:rsid w:val="2AADD513"/>
    <w:rsid w:val="2AB5DB26"/>
    <w:rsid w:val="2ADE1363"/>
    <w:rsid w:val="2AF386CF"/>
    <w:rsid w:val="2B3E0470"/>
    <w:rsid w:val="2B8C4733"/>
    <w:rsid w:val="2BCF81CE"/>
    <w:rsid w:val="2C28FCB2"/>
    <w:rsid w:val="2C7C5DF4"/>
    <w:rsid w:val="2CE210BB"/>
    <w:rsid w:val="2D17864F"/>
    <w:rsid w:val="2D5CAD1F"/>
    <w:rsid w:val="2DB92811"/>
    <w:rsid w:val="2DDA5DA3"/>
    <w:rsid w:val="2E1C7F39"/>
    <w:rsid w:val="2E2E717C"/>
    <w:rsid w:val="2E61101B"/>
    <w:rsid w:val="2E6981B0"/>
    <w:rsid w:val="2E9BFABA"/>
    <w:rsid w:val="2F06CB00"/>
    <w:rsid w:val="2F27B6F3"/>
    <w:rsid w:val="302B6249"/>
    <w:rsid w:val="3170B048"/>
    <w:rsid w:val="31B978A1"/>
    <w:rsid w:val="31D8071C"/>
    <w:rsid w:val="31ECF048"/>
    <w:rsid w:val="32F0BED0"/>
    <w:rsid w:val="332E5A6D"/>
    <w:rsid w:val="33617F59"/>
    <w:rsid w:val="3394EA66"/>
    <w:rsid w:val="33E1C9D0"/>
    <w:rsid w:val="34208200"/>
    <w:rsid w:val="34559A2E"/>
    <w:rsid w:val="34591BBD"/>
    <w:rsid w:val="3468C56C"/>
    <w:rsid w:val="346B4AFB"/>
    <w:rsid w:val="34CE0DE9"/>
    <w:rsid w:val="34CE5F3F"/>
    <w:rsid w:val="34F424BC"/>
    <w:rsid w:val="3524EB7B"/>
    <w:rsid w:val="35B2AD58"/>
    <w:rsid w:val="35BB7F97"/>
    <w:rsid w:val="35E95CF9"/>
    <w:rsid w:val="3627D1BA"/>
    <w:rsid w:val="362CFFCD"/>
    <w:rsid w:val="36FCB19A"/>
    <w:rsid w:val="3709E610"/>
    <w:rsid w:val="375DBEA7"/>
    <w:rsid w:val="37E2A7E2"/>
    <w:rsid w:val="382A33BD"/>
    <w:rsid w:val="38A85797"/>
    <w:rsid w:val="38AFE2ED"/>
    <w:rsid w:val="38EF4C93"/>
    <w:rsid w:val="39402FC4"/>
    <w:rsid w:val="394FEEB5"/>
    <w:rsid w:val="3971BE9E"/>
    <w:rsid w:val="39842A85"/>
    <w:rsid w:val="398A7796"/>
    <w:rsid w:val="39C8DC90"/>
    <w:rsid w:val="3A71736F"/>
    <w:rsid w:val="3A86F4BE"/>
    <w:rsid w:val="3AF31AF8"/>
    <w:rsid w:val="3B5C50EE"/>
    <w:rsid w:val="3B9A6832"/>
    <w:rsid w:val="3BE0E6DD"/>
    <w:rsid w:val="3BFF38A8"/>
    <w:rsid w:val="3C097E8A"/>
    <w:rsid w:val="3C6D857C"/>
    <w:rsid w:val="3C851BD2"/>
    <w:rsid w:val="3C9AC45A"/>
    <w:rsid w:val="3CD672AA"/>
    <w:rsid w:val="3DFE7FD9"/>
    <w:rsid w:val="3E6BE752"/>
    <w:rsid w:val="3EAB7A6F"/>
    <w:rsid w:val="3F15D5D5"/>
    <w:rsid w:val="3F4A91E2"/>
    <w:rsid w:val="3F52BBCD"/>
    <w:rsid w:val="3F62524E"/>
    <w:rsid w:val="3F6E298A"/>
    <w:rsid w:val="3F96AF0B"/>
    <w:rsid w:val="3FB85398"/>
    <w:rsid w:val="3FED3B43"/>
    <w:rsid w:val="40114DE9"/>
    <w:rsid w:val="40125B28"/>
    <w:rsid w:val="401F1EAE"/>
    <w:rsid w:val="40263736"/>
    <w:rsid w:val="409AC826"/>
    <w:rsid w:val="40B4D9FD"/>
    <w:rsid w:val="4128802A"/>
    <w:rsid w:val="4151994C"/>
    <w:rsid w:val="41993079"/>
    <w:rsid w:val="41A98353"/>
    <w:rsid w:val="420F048C"/>
    <w:rsid w:val="4293A551"/>
    <w:rsid w:val="42D7ED9A"/>
    <w:rsid w:val="43945C40"/>
    <w:rsid w:val="43DD4F72"/>
    <w:rsid w:val="43E9E142"/>
    <w:rsid w:val="44052E7F"/>
    <w:rsid w:val="441E086F"/>
    <w:rsid w:val="443ABBEA"/>
    <w:rsid w:val="44951A71"/>
    <w:rsid w:val="44AA0140"/>
    <w:rsid w:val="44B62864"/>
    <w:rsid w:val="45039D56"/>
    <w:rsid w:val="45324EAB"/>
    <w:rsid w:val="4540DE26"/>
    <w:rsid w:val="464C0BB9"/>
    <w:rsid w:val="4652E6D8"/>
    <w:rsid w:val="468B3EBA"/>
    <w:rsid w:val="469ED8F5"/>
    <w:rsid w:val="46D1A4D8"/>
    <w:rsid w:val="46FDDD41"/>
    <w:rsid w:val="47038FEC"/>
    <w:rsid w:val="47F787F7"/>
    <w:rsid w:val="48363F62"/>
    <w:rsid w:val="49132DD8"/>
    <w:rsid w:val="49A8EAF3"/>
    <w:rsid w:val="49FE39C8"/>
    <w:rsid w:val="4A3D1F3F"/>
    <w:rsid w:val="4A8C7EE3"/>
    <w:rsid w:val="4AFC2152"/>
    <w:rsid w:val="4B48FD18"/>
    <w:rsid w:val="4B72F9C7"/>
    <w:rsid w:val="4BA4511A"/>
    <w:rsid w:val="4BBE7682"/>
    <w:rsid w:val="4BCE644D"/>
    <w:rsid w:val="4BDD6C4E"/>
    <w:rsid w:val="4C533C8E"/>
    <w:rsid w:val="4C5B90EA"/>
    <w:rsid w:val="4D2632D1"/>
    <w:rsid w:val="4DCCBD65"/>
    <w:rsid w:val="4E5603CD"/>
    <w:rsid w:val="4F057E97"/>
    <w:rsid w:val="4F2C5152"/>
    <w:rsid w:val="4F305A5B"/>
    <w:rsid w:val="4F59B62B"/>
    <w:rsid w:val="4F6BA015"/>
    <w:rsid w:val="4F6C0A3B"/>
    <w:rsid w:val="4FC756DA"/>
    <w:rsid w:val="4FD72110"/>
    <w:rsid w:val="504E453F"/>
    <w:rsid w:val="505C47F0"/>
    <w:rsid w:val="50743DE8"/>
    <w:rsid w:val="507ED72D"/>
    <w:rsid w:val="514B5AD0"/>
    <w:rsid w:val="51868A68"/>
    <w:rsid w:val="518B20AC"/>
    <w:rsid w:val="51BD84C1"/>
    <w:rsid w:val="52137867"/>
    <w:rsid w:val="5239E81B"/>
    <w:rsid w:val="531255CD"/>
    <w:rsid w:val="537EE12C"/>
    <w:rsid w:val="5382EECE"/>
    <w:rsid w:val="53B08CFD"/>
    <w:rsid w:val="53E4C960"/>
    <w:rsid w:val="54267BD8"/>
    <w:rsid w:val="54575447"/>
    <w:rsid w:val="54849233"/>
    <w:rsid w:val="54C50BE7"/>
    <w:rsid w:val="54D7FAC8"/>
    <w:rsid w:val="54ED358E"/>
    <w:rsid w:val="552A77AB"/>
    <w:rsid w:val="55515CA4"/>
    <w:rsid w:val="557ADAD7"/>
    <w:rsid w:val="55A716AD"/>
    <w:rsid w:val="55C38226"/>
    <w:rsid w:val="56254150"/>
    <w:rsid w:val="564ECE22"/>
    <w:rsid w:val="56534EB3"/>
    <w:rsid w:val="56879688"/>
    <w:rsid w:val="56BA2568"/>
    <w:rsid w:val="56E29FAC"/>
    <w:rsid w:val="56E3233B"/>
    <w:rsid w:val="58DCBBEA"/>
    <w:rsid w:val="5921C23B"/>
    <w:rsid w:val="59DA2ECE"/>
    <w:rsid w:val="5A7CF490"/>
    <w:rsid w:val="5A93AD1B"/>
    <w:rsid w:val="5AB20D0E"/>
    <w:rsid w:val="5B4459F1"/>
    <w:rsid w:val="5C2E7F57"/>
    <w:rsid w:val="5C622092"/>
    <w:rsid w:val="5CBEE62C"/>
    <w:rsid w:val="5CEC1D59"/>
    <w:rsid w:val="5D4FDB3A"/>
    <w:rsid w:val="5D9C5C4B"/>
    <w:rsid w:val="5E88F059"/>
    <w:rsid w:val="5E9059B8"/>
    <w:rsid w:val="5EC6EB45"/>
    <w:rsid w:val="5EE9EAAA"/>
    <w:rsid w:val="5EFFA21D"/>
    <w:rsid w:val="5F7ECBF7"/>
    <w:rsid w:val="5FB867BF"/>
    <w:rsid w:val="5FEFED48"/>
    <w:rsid w:val="615EEF55"/>
    <w:rsid w:val="61BF9D03"/>
    <w:rsid w:val="61C9A304"/>
    <w:rsid w:val="620C2925"/>
    <w:rsid w:val="62A7536F"/>
    <w:rsid w:val="62BCABC8"/>
    <w:rsid w:val="62EDCA5E"/>
    <w:rsid w:val="6351C98E"/>
    <w:rsid w:val="63A8B828"/>
    <w:rsid w:val="6473D002"/>
    <w:rsid w:val="64A6E2E5"/>
    <w:rsid w:val="64F6C872"/>
    <w:rsid w:val="6528FFB0"/>
    <w:rsid w:val="6540E8C0"/>
    <w:rsid w:val="65ACEF9F"/>
    <w:rsid w:val="65B3E0EC"/>
    <w:rsid w:val="65C412DB"/>
    <w:rsid w:val="6674D796"/>
    <w:rsid w:val="668D0828"/>
    <w:rsid w:val="66A494D1"/>
    <w:rsid w:val="675EA3BF"/>
    <w:rsid w:val="677DFAF9"/>
    <w:rsid w:val="67819C8D"/>
    <w:rsid w:val="678F52EF"/>
    <w:rsid w:val="67CBCDDB"/>
    <w:rsid w:val="680BD5F5"/>
    <w:rsid w:val="68105B8E"/>
    <w:rsid w:val="68328151"/>
    <w:rsid w:val="68F8BC10"/>
    <w:rsid w:val="6945721B"/>
    <w:rsid w:val="69E3F4FE"/>
    <w:rsid w:val="6A6D40F2"/>
    <w:rsid w:val="6AC50B19"/>
    <w:rsid w:val="6AC7DF04"/>
    <w:rsid w:val="6B3D921A"/>
    <w:rsid w:val="6B68E217"/>
    <w:rsid w:val="6BA40257"/>
    <w:rsid w:val="6C3D413C"/>
    <w:rsid w:val="6C4E1506"/>
    <w:rsid w:val="6C8C5626"/>
    <w:rsid w:val="6CF74508"/>
    <w:rsid w:val="6D52FD44"/>
    <w:rsid w:val="6D9032D1"/>
    <w:rsid w:val="6DA7C5D2"/>
    <w:rsid w:val="6DADD64A"/>
    <w:rsid w:val="6DC30373"/>
    <w:rsid w:val="6ED23510"/>
    <w:rsid w:val="6EE2BA54"/>
    <w:rsid w:val="6EFCB3F8"/>
    <w:rsid w:val="6F060207"/>
    <w:rsid w:val="6F2491F3"/>
    <w:rsid w:val="6F5B6C48"/>
    <w:rsid w:val="6F87DC36"/>
    <w:rsid w:val="6FC94049"/>
    <w:rsid w:val="6FD24B06"/>
    <w:rsid w:val="704BEF2D"/>
    <w:rsid w:val="7052B90B"/>
    <w:rsid w:val="721FA9DC"/>
    <w:rsid w:val="72A9B513"/>
    <w:rsid w:val="72D12FF5"/>
    <w:rsid w:val="72DDA586"/>
    <w:rsid w:val="72EE5F87"/>
    <w:rsid w:val="7537BEBC"/>
    <w:rsid w:val="753E9B5F"/>
    <w:rsid w:val="7545AC9F"/>
    <w:rsid w:val="75DDD785"/>
    <w:rsid w:val="77759FB3"/>
    <w:rsid w:val="7801FA9C"/>
    <w:rsid w:val="781BA375"/>
    <w:rsid w:val="7826192F"/>
    <w:rsid w:val="78C3209E"/>
    <w:rsid w:val="7969420B"/>
    <w:rsid w:val="7982C2BF"/>
    <w:rsid w:val="79900F8D"/>
    <w:rsid w:val="7A210A1F"/>
    <w:rsid w:val="7A7D4D3A"/>
    <w:rsid w:val="7ABE9DFE"/>
    <w:rsid w:val="7AC8094B"/>
    <w:rsid w:val="7AEED382"/>
    <w:rsid w:val="7B19A658"/>
    <w:rsid w:val="7B3209B4"/>
    <w:rsid w:val="7BA76074"/>
    <w:rsid w:val="7BB49B65"/>
    <w:rsid w:val="7C0458BB"/>
    <w:rsid w:val="7C71A3A9"/>
    <w:rsid w:val="7CABCF12"/>
    <w:rsid w:val="7DC829F3"/>
    <w:rsid w:val="7E0A1DF7"/>
    <w:rsid w:val="7F4C4D22"/>
    <w:rsid w:val="7F6A1E79"/>
    <w:rsid w:val="7FAFF4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E755EF"/>
  <w14:defaultImageDpi w14:val="330"/>
  <w15:chartTrackingRefBased/>
  <w15:docId w15:val="{15EADA18-574B-416D-9304-82715DF7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11" w:qFormat="1"/>
    <w:lsdException w:name="Emphasis" w:uiPriority="1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B02"/>
    <w:pPr>
      <w:spacing w:after="200" w:line="276" w:lineRule="auto"/>
    </w:pPr>
    <w:rPr>
      <w:rFonts w:ascii="Aptos Display" w:hAnsi="Aptos Display"/>
    </w:rPr>
  </w:style>
  <w:style w:type="paragraph" w:styleId="Heading1">
    <w:name w:val="heading 1"/>
    <w:basedOn w:val="Normal"/>
    <w:next w:val="Normal"/>
    <w:link w:val="Heading1Char"/>
    <w:uiPriority w:val="9"/>
    <w:qFormat/>
    <w:rsid w:val="00A14B02"/>
    <w:pPr>
      <w:keepNext/>
      <w:keepLines/>
      <w:spacing w:before="600" w:after="0"/>
      <w:outlineLvl w:val="0"/>
    </w:pPr>
    <w:rPr>
      <w:rFonts w:eastAsiaTheme="majorEastAsia" w:cstheme="majorBidi"/>
      <w:b/>
      <w:color w:val="9A1B27" w:themeColor="accent1"/>
      <w:sz w:val="50"/>
      <w:szCs w:val="32"/>
    </w:rPr>
  </w:style>
  <w:style w:type="paragraph" w:styleId="Heading2">
    <w:name w:val="heading 2"/>
    <w:basedOn w:val="Normal"/>
    <w:next w:val="Normal"/>
    <w:link w:val="Heading2Char"/>
    <w:uiPriority w:val="9"/>
    <w:unhideWhenUsed/>
    <w:qFormat/>
    <w:rsid w:val="00A14B02"/>
    <w:pPr>
      <w:keepNext/>
      <w:keepLines/>
      <w:spacing w:before="240" w:after="0"/>
      <w:outlineLvl w:val="1"/>
    </w:pPr>
    <w:rPr>
      <w:rFonts w:eastAsiaTheme="majorEastAsia" w:cstheme="majorBidi"/>
      <w:b/>
      <w:color w:val="33352A" w:themeColor="text2"/>
      <w:sz w:val="44"/>
      <w:szCs w:val="26"/>
    </w:rPr>
  </w:style>
  <w:style w:type="paragraph" w:styleId="Heading3">
    <w:name w:val="heading 3"/>
    <w:basedOn w:val="Normal"/>
    <w:next w:val="Normal"/>
    <w:link w:val="Heading3Char"/>
    <w:uiPriority w:val="9"/>
    <w:unhideWhenUsed/>
    <w:qFormat/>
    <w:rsid w:val="00A67ADA"/>
    <w:pPr>
      <w:keepNext/>
      <w:keepLines/>
      <w:spacing w:before="240" w:after="0"/>
      <w:outlineLvl w:val="2"/>
    </w:pPr>
    <w:rPr>
      <w:rFonts w:ascii="Aptos SemiBold" w:eastAsiaTheme="majorEastAsia" w:hAnsi="Aptos SemiBold" w:cstheme="majorBidi"/>
      <w:color w:val="33352A" w:themeColor="text2"/>
      <w:sz w:val="36"/>
      <w:szCs w:val="24"/>
    </w:rPr>
  </w:style>
  <w:style w:type="paragraph" w:styleId="Heading4">
    <w:name w:val="heading 4"/>
    <w:basedOn w:val="Normal"/>
    <w:next w:val="Normal"/>
    <w:link w:val="Heading4Char"/>
    <w:uiPriority w:val="9"/>
    <w:unhideWhenUsed/>
    <w:qFormat/>
    <w:rsid w:val="00A67ADA"/>
    <w:pPr>
      <w:keepNext/>
      <w:keepLines/>
      <w:spacing w:before="240" w:after="0"/>
      <w:outlineLvl w:val="3"/>
    </w:pPr>
    <w:rPr>
      <w:rFonts w:ascii="Aptos SemiBold" w:eastAsiaTheme="majorEastAsia" w:hAnsi="Aptos SemiBold" w:cstheme="majorBidi"/>
      <w:iCs/>
      <w:color w:val="33352A" w:themeColor="text2"/>
      <w:sz w:val="28"/>
    </w:rPr>
  </w:style>
  <w:style w:type="paragraph" w:styleId="Heading5">
    <w:name w:val="heading 5"/>
    <w:basedOn w:val="Normal"/>
    <w:next w:val="Normal"/>
    <w:link w:val="Heading5Char"/>
    <w:uiPriority w:val="9"/>
    <w:unhideWhenUsed/>
    <w:qFormat/>
    <w:rsid w:val="00A67ADA"/>
    <w:pPr>
      <w:keepNext/>
      <w:keepLines/>
      <w:spacing w:before="240" w:after="0"/>
      <w:outlineLvl w:val="4"/>
    </w:pPr>
    <w:rPr>
      <w:rFonts w:eastAsiaTheme="majorEastAsia" w:cstheme="majorBidi"/>
      <w:b/>
      <w:color w:val="33352A" w:themeColor="text2"/>
      <w:sz w:val="24"/>
    </w:rPr>
  </w:style>
  <w:style w:type="paragraph" w:styleId="Heading6">
    <w:name w:val="heading 6"/>
    <w:basedOn w:val="Normal"/>
    <w:next w:val="Normal"/>
    <w:link w:val="Heading6Char"/>
    <w:uiPriority w:val="9"/>
    <w:unhideWhenUsed/>
    <w:qFormat/>
    <w:rsid w:val="00A14B02"/>
    <w:pPr>
      <w:keepNext/>
      <w:keepLines/>
      <w:spacing w:before="240" w:after="0"/>
      <w:outlineLvl w:val="5"/>
    </w:pPr>
    <w:rPr>
      <w:rFonts w:ascii="Aptos SemiBold" w:eastAsiaTheme="majorEastAsia" w:hAnsi="Aptos SemiBold" w:cstheme="majorBidi"/>
      <w:color w:val="9A1B27" w:themeColor="accent1"/>
    </w:rPr>
  </w:style>
  <w:style w:type="paragraph" w:styleId="Heading7">
    <w:name w:val="heading 7"/>
    <w:basedOn w:val="Normal"/>
    <w:next w:val="Normal"/>
    <w:link w:val="Heading7Char"/>
    <w:uiPriority w:val="9"/>
    <w:unhideWhenUsed/>
    <w:qFormat/>
    <w:rsid w:val="00A67ADA"/>
    <w:pPr>
      <w:keepNext/>
      <w:keepLines/>
      <w:spacing w:before="40" w:after="60"/>
      <w:outlineLvl w:val="6"/>
    </w:pPr>
    <w:rPr>
      <w:rFonts w:ascii="Aptos SemiBold" w:eastAsiaTheme="majorEastAsia" w:hAnsi="Aptos SemiBold" w:cstheme="majorBidi"/>
      <w:i/>
      <w:iCs/>
      <w:color w:val="33352A" w:themeColor="text2"/>
    </w:rPr>
  </w:style>
  <w:style w:type="paragraph" w:styleId="Heading8">
    <w:name w:val="heading 8"/>
    <w:basedOn w:val="Normal"/>
    <w:next w:val="Normal"/>
    <w:link w:val="Heading8Char"/>
    <w:uiPriority w:val="9"/>
    <w:semiHidden/>
    <w:unhideWhenUsed/>
    <w:qFormat/>
    <w:rsid w:val="00A67ADA"/>
    <w:pPr>
      <w:keepNext/>
      <w:keepLines/>
      <w:spacing w:before="40" w:after="0"/>
      <w:outlineLvl w:val="7"/>
    </w:pPr>
    <w:rPr>
      <w:rFonts w:asciiTheme="majorHAnsi" w:eastAsiaTheme="majorEastAsia" w:hAnsiTheme="majorHAnsi" w:cstheme="majorBidi"/>
      <w:color w:val="33352A" w:themeColor="text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4B02"/>
    <w:pPr>
      <w:spacing w:before="720" w:after="0" w:line="240" w:lineRule="auto"/>
    </w:pPr>
    <w:rPr>
      <w:rFonts w:ascii="Aptos SemiBold" w:eastAsiaTheme="majorEastAsia" w:hAnsi="Aptos SemiBold" w:cstheme="majorBidi"/>
      <w:b/>
      <w:color w:val="33352A" w:themeColor="text2"/>
      <w:spacing w:val="-10"/>
      <w:kern w:val="28"/>
      <w:sz w:val="66"/>
      <w:szCs w:val="56"/>
    </w:rPr>
  </w:style>
  <w:style w:type="character" w:customStyle="1" w:styleId="TitleChar">
    <w:name w:val="Title Char"/>
    <w:basedOn w:val="DefaultParagraphFont"/>
    <w:link w:val="Title"/>
    <w:uiPriority w:val="10"/>
    <w:rsid w:val="00A14B02"/>
    <w:rPr>
      <w:rFonts w:ascii="Aptos SemiBold" w:eastAsiaTheme="majorEastAsia" w:hAnsi="Aptos SemiBold" w:cstheme="majorBidi"/>
      <w:b/>
      <w:color w:val="33352A" w:themeColor="text2"/>
      <w:spacing w:val="-10"/>
      <w:kern w:val="28"/>
      <w:sz w:val="66"/>
      <w:szCs w:val="56"/>
    </w:rPr>
  </w:style>
  <w:style w:type="paragraph" w:styleId="Subtitle">
    <w:name w:val="Subtitle"/>
    <w:basedOn w:val="Normal"/>
    <w:next w:val="Normal"/>
    <w:link w:val="SubtitleChar"/>
    <w:uiPriority w:val="8"/>
    <w:qFormat/>
    <w:rsid w:val="00A67ADA"/>
    <w:pPr>
      <w:numPr>
        <w:ilvl w:val="1"/>
      </w:numPr>
      <w:spacing w:after="0"/>
    </w:pPr>
    <w:rPr>
      <w:rFonts w:eastAsiaTheme="minorEastAsia"/>
      <w:color w:val="9A1B27" w:themeColor="accent1"/>
      <w:spacing w:val="15"/>
      <w:sz w:val="40"/>
    </w:rPr>
  </w:style>
  <w:style w:type="character" w:customStyle="1" w:styleId="SubtitleChar">
    <w:name w:val="Subtitle Char"/>
    <w:basedOn w:val="DefaultParagraphFont"/>
    <w:link w:val="Subtitle"/>
    <w:uiPriority w:val="8"/>
    <w:rsid w:val="00A67ADA"/>
    <w:rPr>
      <w:rFonts w:ascii="Aptos Display" w:eastAsiaTheme="minorEastAsia" w:hAnsi="Aptos Display"/>
      <w:color w:val="9A1B27" w:themeColor="accent1"/>
      <w:spacing w:val="15"/>
      <w:sz w:val="40"/>
    </w:rPr>
  </w:style>
  <w:style w:type="character" w:customStyle="1" w:styleId="Heading1Char">
    <w:name w:val="Heading 1 Char"/>
    <w:basedOn w:val="DefaultParagraphFont"/>
    <w:link w:val="Heading1"/>
    <w:uiPriority w:val="9"/>
    <w:rsid w:val="00A14B02"/>
    <w:rPr>
      <w:rFonts w:ascii="Aptos Display" w:eastAsiaTheme="majorEastAsia" w:hAnsi="Aptos Display" w:cstheme="majorBidi"/>
      <w:b/>
      <w:color w:val="9A1B27" w:themeColor="accent1"/>
      <w:sz w:val="50"/>
      <w:szCs w:val="32"/>
    </w:rPr>
  </w:style>
  <w:style w:type="character" w:customStyle="1" w:styleId="Heading2Char">
    <w:name w:val="Heading 2 Char"/>
    <w:basedOn w:val="DefaultParagraphFont"/>
    <w:link w:val="Heading2"/>
    <w:uiPriority w:val="9"/>
    <w:rsid w:val="00A14B02"/>
    <w:rPr>
      <w:rFonts w:ascii="Aptos Display" w:eastAsiaTheme="majorEastAsia" w:hAnsi="Aptos Display" w:cstheme="majorBidi"/>
      <w:b/>
      <w:color w:val="33352A" w:themeColor="text2"/>
      <w:sz w:val="44"/>
      <w:szCs w:val="26"/>
    </w:rPr>
  </w:style>
  <w:style w:type="character" w:customStyle="1" w:styleId="Heading3Char">
    <w:name w:val="Heading 3 Char"/>
    <w:basedOn w:val="DefaultParagraphFont"/>
    <w:link w:val="Heading3"/>
    <w:uiPriority w:val="9"/>
    <w:rsid w:val="00A67ADA"/>
    <w:rPr>
      <w:rFonts w:ascii="Aptos SemiBold" w:eastAsiaTheme="majorEastAsia" w:hAnsi="Aptos SemiBold" w:cstheme="majorBidi"/>
      <w:color w:val="33352A" w:themeColor="text2"/>
      <w:sz w:val="36"/>
      <w:szCs w:val="24"/>
    </w:rPr>
  </w:style>
  <w:style w:type="character" w:customStyle="1" w:styleId="Heading4Char">
    <w:name w:val="Heading 4 Char"/>
    <w:basedOn w:val="DefaultParagraphFont"/>
    <w:link w:val="Heading4"/>
    <w:uiPriority w:val="9"/>
    <w:rsid w:val="00A67ADA"/>
    <w:rPr>
      <w:rFonts w:ascii="Aptos SemiBold" w:eastAsiaTheme="majorEastAsia" w:hAnsi="Aptos SemiBold" w:cstheme="majorBidi"/>
      <w:iCs/>
      <w:color w:val="33352A" w:themeColor="text2"/>
      <w:sz w:val="28"/>
    </w:rPr>
  </w:style>
  <w:style w:type="character" w:customStyle="1" w:styleId="Heading5Char">
    <w:name w:val="Heading 5 Char"/>
    <w:basedOn w:val="DefaultParagraphFont"/>
    <w:link w:val="Heading5"/>
    <w:uiPriority w:val="9"/>
    <w:rsid w:val="00A67ADA"/>
    <w:rPr>
      <w:rFonts w:ascii="Aptos Display" w:eastAsiaTheme="majorEastAsia" w:hAnsi="Aptos Display" w:cstheme="majorBidi"/>
      <w:b/>
      <w:color w:val="33352A" w:themeColor="text2"/>
      <w:sz w:val="24"/>
    </w:rPr>
  </w:style>
  <w:style w:type="character" w:customStyle="1" w:styleId="Heading6Char">
    <w:name w:val="Heading 6 Char"/>
    <w:basedOn w:val="DefaultParagraphFont"/>
    <w:link w:val="Heading6"/>
    <w:uiPriority w:val="9"/>
    <w:rsid w:val="00A14B02"/>
    <w:rPr>
      <w:rFonts w:ascii="Aptos SemiBold" w:eastAsiaTheme="majorEastAsia" w:hAnsi="Aptos SemiBold" w:cstheme="majorBidi"/>
      <w:color w:val="9A1B27" w:themeColor="accent1"/>
    </w:rPr>
  </w:style>
  <w:style w:type="character" w:styleId="Hyperlink">
    <w:name w:val="Hyperlink"/>
    <w:basedOn w:val="DefaultParagraphFont"/>
    <w:uiPriority w:val="99"/>
    <w:unhideWhenUsed/>
    <w:qFormat/>
    <w:rsid w:val="00A14B02"/>
    <w:rPr>
      <w:color w:val="287DB2"/>
      <w:u w:val="single"/>
    </w:rPr>
  </w:style>
  <w:style w:type="character" w:customStyle="1" w:styleId="UnresolvedMention1">
    <w:name w:val="Unresolved Mention1"/>
    <w:basedOn w:val="DefaultParagraphFont"/>
    <w:uiPriority w:val="99"/>
    <w:semiHidden/>
    <w:unhideWhenUsed/>
    <w:rsid w:val="00A14B02"/>
    <w:rPr>
      <w:color w:val="605E5C"/>
      <w:shd w:val="clear" w:color="auto" w:fill="E1DFDD"/>
    </w:rPr>
  </w:style>
  <w:style w:type="character" w:styleId="Strong">
    <w:name w:val="Strong"/>
    <w:basedOn w:val="DefaultParagraphFont"/>
    <w:uiPriority w:val="11"/>
    <w:qFormat/>
    <w:rsid w:val="00A14B02"/>
    <w:rPr>
      <w:b/>
      <w:bCs/>
    </w:rPr>
  </w:style>
  <w:style w:type="table" w:styleId="TableGrid">
    <w:name w:val="Table Grid"/>
    <w:basedOn w:val="TableNormal"/>
    <w:uiPriority w:val="39"/>
    <w:rsid w:val="00A14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16"/>
    <w:qFormat/>
    <w:rsid w:val="00A14B02"/>
    <w:pPr>
      <w:spacing w:before="240" w:after="40" w:line="240" w:lineRule="auto"/>
    </w:pPr>
    <w:rPr>
      <w:b/>
      <w:iCs/>
      <w:szCs w:val="18"/>
    </w:rPr>
  </w:style>
  <w:style w:type="paragraph" w:styleId="Quote">
    <w:name w:val="Quote"/>
    <w:basedOn w:val="Normal"/>
    <w:next w:val="Normal"/>
    <w:link w:val="QuoteChar"/>
    <w:uiPriority w:val="29"/>
    <w:qFormat/>
    <w:rsid w:val="00A14B02"/>
    <w:pPr>
      <w:spacing w:before="200" w:after="160"/>
      <w:ind w:left="862" w:right="862"/>
      <w:jc w:val="center"/>
    </w:pPr>
    <w:rPr>
      <w:iCs/>
      <w:color w:val="595959" w:themeColor="text1" w:themeTint="A6"/>
    </w:rPr>
  </w:style>
  <w:style w:type="character" w:customStyle="1" w:styleId="QuoteChar">
    <w:name w:val="Quote Char"/>
    <w:basedOn w:val="DefaultParagraphFont"/>
    <w:link w:val="Quote"/>
    <w:uiPriority w:val="29"/>
    <w:rsid w:val="00A14B02"/>
    <w:rPr>
      <w:rFonts w:ascii="Aptos Display" w:hAnsi="Aptos Display"/>
      <w:iCs/>
      <w:color w:val="595959" w:themeColor="text1" w:themeTint="A6"/>
    </w:rPr>
  </w:style>
  <w:style w:type="paragraph" w:customStyle="1" w:styleId="Source">
    <w:name w:val="Source"/>
    <w:basedOn w:val="Normal"/>
    <w:uiPriority w:val="17"/>
    <w:qFormat/>
    <w:rsid w:val="00A14B02"/>
    <w:pPr>
      <w:spacing w:before="80" w:after="320"/>
    </w:pPr>
    <w:rPr>
      <w:sz w:val="18"/>
    </w:rPr>
  </w:style>
  <w:style w:type="table" w:customStyle="1" w:styleId="DESE">
    <w:name w:val="DESE"/>
    <w:basedOn w:val="TableNormal"/>
    <w:uiPriority w:val="99"/>
    <w:rsid w:val="00A14B02"/>
    <w:pPr>
      <w:spacing w:before="100" w:beforeAutospacing="1" w:after="100" w:afterAutospacing="1" w:line="240" w:lineRule="auto"/>
    </w:pPr>
    <w:rPr>
      <w:rFonts w:ascii="Aptos Display" w:hAnsi="Aptos Displa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tblPr/>
      <w:tcPr>
        <w:shd w:val="clear" w:color="auto" w:fill="9A1B27" w:themeFill="accent1"/>
      </w:tcPr>
    </w:tblStylePr>
  </w:style>
  <w:style w:type="paragraph" w:styleId="ListParagraph">
    <w:name w:val="List Paragraph"/>
    <w:basedOn w:val="Normal"/>
    <w:uiPriority w:val="34"/>
    <w:qFormat/>
    <w:rsid w:val="00140A92"/>
    <w:pPr>
      <w:spacing w:line="360" w:lineRule="auto"/>
      <w:ind w:left="720"/>
      <w:contextualSpacing/>
    </w:pPr>
  </w:style>
  <w:style w:type="paragraph" w:styleId="ListNumber">
    <w:name w:val="List Number"/>
    <w:basedOn w:val="Normal"/>
    <w:uiPriority w:val="99"/>
    <w:unhideWhenUsed/>
    <w:qFormat/>
    <w:rsid w:val="00A14B02"/>
    <w:pPr>
      <w:numPr>
        <w:numId w:val="18"/>
      </w:numPr>
      <w:spacing w:line="360" w:lineRule="auto"/>
      <w:contextualSpacing/>
    </w:pPr>
  </w:style>
  <w:style w:type="paragraph" w:styleId="ListBullet">
    <w:name w:val="List Bullet"/>
    <w:basedOn w:val="Normal"/>
    <w:uiPriority w:val="99"/>
    <w:unhideWhenUsed/>
    <w:qFormat/>
    <w:rsid w:val="00A14B02"/>
    <w:pPr>
      <w:numPr>
        <w:numId w:val="43"/>
      </w:numPr>
      <w:spacing w:line="360" w:lineRule="auto"/>
      <w:contextualSpacing/>
    </w:pPr>
  </w:style>
  <w:style w:type="paragraph" w:styleId="List">
    <w:name w:val="List"/>
    <w:basedOn w:val="ListBullet"/>
    <w:uiPriority w:val="99"/>
    <w:unhideWhenUsed/>
    <w:qFormat/>
    <w:rsid w:val="00A14B02"/>
    <w:pPr>
      <w:numPr>
        <w:numId w:val="4"/>
      </w:numPr>
    </w:pPr>
  </w:style>
  <w:style w:type="paragraph" w:styleId="Header">
    <w:name w:val="header"/>
    <w:basedOn w:val="Normal"/>
    <w:link w:val="HeaderChar"/>
    <w:uiPriority w:val="99"/>
    <w:unhideWhenUsed/>
    <w:rsid w:val="00A14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B02"/>
    <w:rPr>
      <w:rFonts w:ascii="Aptos Display" w:hAnsi="Aptos Display"/>
    </w:rPr>
  </w:style>
  <w:style w:type="paragraph" w:styleId="Footer">
    <w:name w:val="footer"/>
    <w:basedOn w:val="Normal"/>
    <w:link w:val="FooterChar"/>
    <w:uiPriority w:val="99"/>
    <w:unhideWhenUsed/>
    <w:rsid w:val="00A14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B02"/>
    <w:rPr>
      <w:rFonts w:ascii="Aptos Display" w:hAnsi="Aptos Display"/>
    </w:rPr>
  </w:style>
  <w:style w:type="paragraph" w:styleId="TOC1">
    <w:name w:val="toc 1"/>
    <w:basedOn w:val="Normal"/>
    <w:next w:val="Normal"/>
    <w:autoRedefine/>
    <w:uiPriority w:val="39"/>
    <w:unhideWhenUsed/>
    <w:rsid w:val="00A14B02"/>
    <w:pPr>
      <w:spacing w:after="100"/>
    </w:pPr>
    <w:rPr>
      <w:b/>
    </w:rPr>
  </w:style>
  <w:style w:type="paragraph" w:styleId="TOC2">
    <w:name w:val="toc 2"/>
    <w:basedOn w:val="Normal"/>
    <w:next w:val="Normal"/>
    <w:autoRedefine/>
    <w:uiPriority w:val="39"/>
    <w:unhideWhenUsed/>
    <w:rsid w:val="00A14B02"/>
    <w:pPr>
      <w:spacing w:after="100"/>
      <w:ind w:left="220"/>
    </w:pPr>
  </w:style>
  <w:style w:type="paragraph" w:styleId="TOC3">
    <w:name w:val="toc 3"/>
    <w:basedOn w:val="Normal"/>
    <w:next w:val="Normal"/>
    <w:autoRedefine/>
    <w:uiPriority w:val="39"/>
    <w:unhideWhenUsed/>
    <w:rsid w:val="00A14B02"/>
    <w:pPr>
      <w:spacing w:after="100"/>
      <w:ind w:left="440"/>
    </w:pPr>
  </w:style>
  <w:style w:type="paragraph" w:styleId="TOCHeading">
    <w:name w:val="TOC Heading"/>
    <w:basedOn w:val="Heading1"/>
    <w:next w:val="Normal"/>
    <w:uiPriority w:val="39"/>
    <w:unhideWhenUsed/>
    <w:qFormat/>
    <w:rsid w:val="00A14B02"/>
    <w:pPr>
      <w:spacing w:after="240"/>
      <w:outlineLvl w:val="9"/>
    </w:pPr>
  </w:style>
  <w:style w:type="paragraph" w:styleId="BalloonText">
    <w:name w:val="Balloon Text"/>
    <w:basedOn w:val="Normal"/>
    <w:link w:val="BalloonTextChar"/>
    <w:uiPriority w:val="99"/>
    <w:semiHidden/>
    <w:unhideWhenUsed/>
    <w:rsid w:val="00A14B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02"/>
    <w:rPr>
      <w:rFonts w:ascii="Segoe UI" w:hAnsi="Segoe UI" w:cs="Segoe UI"/>
      <w:sz w:val="18"/>
      <w:szCs w:val="18"/>
    </w:rPr>
  </w:style>
  <w:style w:type="character" w:customStyle="1" w:styleId="Heading7Char">
    <w:name w:val="Heading 7 Char"/>
    <w:basedOn w:val="DefaultParagraphFont"/>
    <w:link w:val="Heading7"/>
    <w:uiPriority w:val="9"/>
    <w:rsid w:val="00A67ADA"/>
    <w:rPr>
      <w:rFonts w:ascii="Aptos SemiBold" w:eastAsiaTheme="majorEastAsia" w:hAnsi="Aptos SemiBold" w:cstheme="majorBidi"/>
      <w:i/>
      <w:iCs/>
      <w:color w:val="33352A" w:themeColor="text2"/>
    </w:rPr>
  </w:style>
  <w:style w:type="paragraph" w:customStyle="1" w:styleId="numberedpara">
    <w:name w:val="numbered para"/>
    <w:basedOn w:val="Normal"/>
    <w:rsid w:val="00140A92"/>
    <w:pPr>
      <w:numPr>
        <w:numId w:val="5"/>
      </w:numPr>
      <w:spacing w:before="120" w:after="0" w:line="240" w:lineRule="auto"/>
    </w:pPr>
    <w:rPr>
      <w:rFonts w:ascii="Calibri" w:hAnsi="Calibri" w:cs="Calibri"/>
      <w:lang w:eastAsia="en-AU"/>
    </w:rPr>
  </w:style>
  <w:style w:type="character" w:styleId="FollowedHyperlink">
    <w:name w:val="FollowedHyperlink"/>
    <w:basedOn w:val="DefaultParagraphFont"/>
    <w:uiPriority w:val="99"/>
    <w:semiHidden/>
    <w:unhideWhenUsed/>
    <w:rsid w:val="00A14B02"/>
    <w:rPr>
      <w:color w:val="0070C0" w:themeColor="followedHyperlink"/>
      <w:u w:val="single"/>
    </w:rPr>
  </w:style>
  <w:style w:type="character" w:customStyle="1" w:styleId="Heading8Char">
    <w:name w:val="Heading 8 Char"/>
    <w:basedOn w:val="DefaultParagraphFont"/>
    <w:link w:val="Heading8"/>
    <w:uiPriority w:val="9"/>
    <w:semiHidden/>
    <w:rsid w:val="00A67ADA"/>
    <w:rPr>
      <w:rFonts w:asciiTheme="majorHAnsi" w:eastAsiaTheme="majorEastAsia" w:hAnsiTheme="majorHAnsi" w:cstheme="majorBidi"/>
      <w:color w:val="33352A" w:themeColor="text2"/>
      <w:sz w:val="21"/>
      <w:szCs w:val="21"/>
    </w:rPr>
  </w:style>
  <w:style w:type="character" w:styleId="UnresolvedMention">
    <w:name w:val="Unresolved Mention"/>
    <w:basedOn w:val="DefaultParagraphFont"/>
    <w:uiPriority w:val="99"/>
    <w:semiHidden/>
    <w:unhideWhenUsed/>
    <w:rsid w:val="004F2AF5"/>
    <w:rPr>
      <w:color w:val="605E5C"/>
      <w:shd w:val="clear" w:color="auto" w:fill="E1DFDD"/>
    </w:rPr>
  </w:style>
  <w:style w:type="paragraph" w:styleId="Revision">
    <w:name w:val="Revision"/>
    <w:hidden/>
    <w:uiPriority w:val="99"/>
    <w:semiHidden/>
    <w:rsid w:val="001C637F"/>
    <w:pPr>
      <w:spacing w:after="0" w:line="240" w:lineRule="auto"/>
    </w:pPr>
    <w:rPr>
      <w:rFonts w:ascii="Aptos Display" w:hAnsi="Aptos Display"/>
    </w:rPr>
  </w:style>
  <w:style w:type="character" w:styleId="CommentReference">
    <w:name w:val="annotation reference"/>
    <w:basedOn w:val="DefaultParagraphFont"/>
    <w:uiPriority w:val="99"/>
    <w:semiHidden/>
    <w:unhideWhenUsed/>
    <w:rsid w:val="00DB68CF"/>
    <w:rPr>
      <w:sz w:val="16"/>
      <w:szCs w:val="16"/>
    </w:rPr>
  </w:style>
  <w:style w:type="paragraph" w:styleId="CommentText">
    <w:name w:val="annotation text"/>
    <w:basedOn w:val="Normal"/>
    <w:link w:val="CommentTextChar"/>
    <w:uiPriority w:val="99"/>
    <w:unhideWhenUsed/>
    <w:rsid w:val="00DB68CF"/>
    <w:pPr>
      <w:spacing w:line="240" w:lineRule="auto"/>
    </w:pPr>
    <w:rPr>
      <w:sz w:val="20"/>
      <w:szCs w:val="20"/>
    </w:rPr>
  </w:style>
  <w:style w:type="character" w:customStyle="1" w:styleId="CommentTextChar">
    <w:name w:val="Comment Text Char"/>
    <w:basedOn w:val="DefaultParagraphFont"/>
    <w:link w:val="CommentText"/>
    <w:uiPriority w:val="99"/>
    <w:rsid w:val="00DB68CF"/>
    <w:rPr>
      <w:rFonts w:ascii="Aptos Display" w:hAnsi="Aptos Display"/>
      <w:sz w:val="20"/>
      <w:szCs w:val="20"/>
    </w:rPr>
  </w:style>
  <w:style w:type="paragraph" w:styleId="CommentSubject">
    <w:name w:val="annotation subject"/>
    <w:basedOn w:val="CommentText"/>
    <w:next w:val="CommentText"/>
    <w:link w:val="CommentSubjectChar"/>
    <w:uiPriority w:val="99"/>
    <w:semiHidden/>
    <w:unhideWhenUsed/>
    <w:rsid w:val="00DB68CF"/>
    <w:rPr>
      <w:b/>
      <w:bCs/>
    </w:rPr>
  </w:style>
  <w:style w:type="character" w:customStyle="1" w:styleId="CommentSubjectChar">
    <w:name w:val="Comment Subject Char"/>
    <w:basedOn w:val="CommentTextChar"/>
    <w:link w:val="CommentSubject"/>
    <w:uiPriority w:val="99"/>
    <w:semiHidden/>
    <w:rsid w:val="00DB68CF"/>
    <w:rPr>
      <w:rFonts w:ascii="Aptos Display" w:hAnsi="Aptos Display"/>
      <w:b/>
      <w:bCs/>
      <w:sz w:val="20"/>
      <w:szCs w:val="20"/>
    </w:rPr>
  </w:style>
  <w:style w:type="paragraph" w:customStyle="1" w:styleId="dotpoint">
    <w:name w:val="dot point"/>
    <w:basedOn w:val="ListParagraph"/>
    <w:link w:val="dotpointChar"/>
    <w:qFormat/>
    <w:rsid w:val="00B15E18"/>
    <w:pPr>
      <w:numPr>
        <w:numId w:val="36"/>
      </w:numPr>
      <w:spacing w:after="160" w:line="278" w:lineRule="auto"/>
      <w:ind w:left="709" w:hanging="349"/>
    </w:pPr>
    <w:rPr>
      <w:rFonts w:asciiTheme="minorHAnsi" w:hAnsiTheme="minorHAnsi"/>
      <w:kern w:val="2"/>
      <w:sz w:val="24"/>
      <w:szCs w:val="24"/>
      <w14:ligatures w14:val="standardContextual"/>
    </w:rPr>
  </w:style>
  <w:style w:type="character" w:customStyle="1" w:styleId="dotpointChar">
    <w:name w:val="dot point Char"/>
    <w:basedOn w:val="DefaultParagraphFont"/>
    <w:link w:val="dotpoint"/>
    <w:rsid w:val="00B15E18"/>
    <w:rPr>
      <w:kern w:val="2"/>
      <w:sz w:val="24"/>
      <w:szCs w:val="24"/>
      <w14:ligatures w14:val="standardContextual"/>
    </w:rPr>
  </w:style>
  <w:style w:type="table" w:styleId="GridTable2">
    <w:name w:val="Grid Table 2"/>
    <w:basedOn w:val="TableNormal"/>
    <w:uiPriority w:val="47"/>
    <w:rsid w:val="001C10B5"/>
    <w:pPr>
      <w:spacing w:after="0" w:line="240" w:lineRule="auto"/>
    </w:pPr>
    <w:rPr>
      <w:kern w:val="2"/>
      <w:sz w:val="24"/>
      <w:szCs w:val="24"/>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tion">
    <w:name w:val="Mention"/>
    <w:basedOn w:val="DefaultParagraphFont"/>
    <w:uiPriority w:val="99"/>
    <w:unhideWhenUsed/>
    <w:rsid w:val="00EF25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fsc.gov.au/useful-documents-downloads?s=FSC+Audit+Criteria" TargetMode="External"/><Relationship Id="rId18" Type="http://schemas.openxmlformats.org/officeDocument/2006/relationships/hyperlink" Target="https://www.safeworkaustralia.gov.au/doc/workplace-exposure-limits-airborne-contaminants" TargetMode="External"/><Relationship Id="rId26" Type="http://schemas.openxmlformats.org/officeDocument/2006/relationships/hyperlink" Target="https://www.fsc.gov.au/disclaimer" TargetMode="External"/><Relationship Id="rId3" Type="http://schemas.openxmlformats.org/officeDocument/2006/relationships/settings" Target="settings.xml"/><Relationship Id="rId21" Type="http://schemas.openxmlformats.org/officeDocument/2006/relationships/hyperlink" Target="https://training.gov.au/" TargetMode="External"/><Relationship Id="rId7" Type="http://schemas.openxmlformats.org/officeDocument/2006/relationships/image" Target="media/image1.png"/><Relationship Id="rId12" Type="http://schemas.openxmlformats.org/officeDocument/2006/relationships/hyperlink" Target="https://www.fsc.gov.au/useful-documents-downloads?s=WH14+Health+Surveillance+and+Exposure+Monitoring+Process+Flow+Chart" TargetMode="External"/><Relationship Id="rId17" Type="http://schemas.openxmlformats.org/officeDocument/2006/relationships/hyperlink" Target="https://www.safeworkaustralia.gov.au/doc/workplace-exposure-standards-airborne-contaminants-2025" TargetMode="External"/><Relationship Id="rId25" Type="http://schemas.openxmlformats.org/officeDocument/2006/relationships/hyperlink" Target="https://www.fsc.gov.au/"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www.aioh.org.au/"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safeworkaustralia.gov.au/safety-topic/managing-health-and-safety/workplace-exposure-limits-airborne-contaminants" TargetMode="External"/><Relationship Id="rId5" Type="http://schemas.openxmlformats.org/officeDocument/2006/relationships/footnotes" Target="footnotes.xml"/><Relationship Id="rId15" Type="http://schemas.openxmlformats.org/officeDocument/2006/relationships/hyperlink" Target="https://www.fsc.gov.au/useful-documents-downloads?s=FSC+Audit+Criteria" TargetMode="External"/><Relationship Id="rId23" Type="http://schemas.openxmlformats.org/officeDocument/2006/relationships/hyperlink" Target="https://www.aioh.org.au/" TargetMode="External"/><Relationship Id="rId28" Type="http://schemas.openxmlformats.org/officeDocument/2006/relationships/hyperlink" Target="https://www.fsc.gov.au/disclaimer" TargetMode="External"/><Relationship Id="rId10" Type="http://schemas.openxmlformats.org/officeDocument/2006/relationships/footer" Target="footer1.xml"/><Relationship Id="rId19" Type="http://schemas.openxmlformats.org/officeDocument/2006/relationships/hyperlink" Target="https://www.aioh.org.au/" TargetMode="Externa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www.fsc.gov.au/useful-documents-downloads?s=WH14+Health+Surveillance+and+Exposure+Monitoring+Process+Flow+Chart" TargetMode="External"/><Relationship Id="rId22" Type="http://schemas.openxmlformats.org/officeDocument/2006/relationships/hyperlink" Target="https://training.gov.au/" TargetMode="External"/><Relationship Id="rId27" Type="http://schemas.openxmlformats.org/officeDocument/2006/relationships/hyperlink" Target="https://www.fsc.gov.a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fsc.gov.au" TargetMode="External"/><Relationship Id="rId1" Type="http://schemas.openxmlformats.org/officeDocument/2006/relationships/image" Target="media/image4.gif"/></Relationships>
</file>

<file path=word/_rels/footer2.xml.rels><?xml version="1.0" encoding="UTF-8" standalone="yes"?>
<Relationships xmlns="http://schemas.openxmlformats.org/package/2006/relationships"><Relationship Id="rId2" Type="http://schemas.openxmlformats.org/officeDocument/2006/relationships/hyperlink" Target="http://www.fsc.gov.au" TargetMode="External"/><Relationship Id="rId1" Type="http://schemas.openxmlformats.org/officeDocument/2006/relationships/image" Target="media/image4.gif"/></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33352A"/>
      </a:dk2>
      <a:lt2>
        <a:srgbClr val="E4E5DF"/>
      </a:lt2>
      <a:accent1>
        <a:srgbClr val="9A1B27"/>
      </a:accent1>
      <a:accent2>
        <a:srgbClr val="C52539"/>
      </a:accent2>
      <a:accent3>
        <a:srgbClr val="ADB19F"/>
      </a:accent3>
      <a:accent4>
        <a:srgbClr val="F15525"/>
      </a:accent4>
      <a:accent5>
        <a:srgbClr val="EF8F1E"/>
      </a:accent5>
      <a:accent6>
        <a:srgbClr val="7B230B"/>
      </a:accent6>
      <a:hlink>
        <a:srgbClr val="00B0F0"/>
      </a:hlink>
      <a:folHlink>
        <a:srgbClr val="0070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Links>
    <vt:vector size="78" baseType="variant">
      <vt:variant>
        <vt:i4>6225920</vt:i4>
      </vt:variant>
      <vt:variant>
        <vt:i4>21</vt:i4>
      </vt:variant>
      <vt:variant>
        <vt:i4>0</vt:i4>
      </vt:variant>
      <vt:variant>
        <vt:i4>5</vt:i4>
      </vt:variant>
      <vt:variant>
        <vt:lpwstr>https://www.safeworkaustralia.gov.au/safety-topic/managing-health-and-safety/workplace-exposure-limits-airborne-contaminants</vt:lpwstr>
      </vt:variant>
      <vt:variant>
        <vt:lpwstr/>
      </vt:variant>
      <vt:variant>
        <vt:i4>983113</vt:i4>
      </vt:variant>
      <vt:variant>
        <vt:i4>18</vt:i4>
      </vt:variant>
      <vt:variant>
        <vt:i4>0</vt:i4>
      </vt:variant>
      <vt:variant>
        <vt:i4>5</vt:i4>
      </vt:variant>
      <vt:variant>
        <vt:lpwstr>https://www.aioh.org.au/</vt:lpwstr>
      </vt:variant>
      <vt:variant>
        <vt:lpwstr/>
      </vt:variant>
      <vt:variant>
        <vt:i4>5963855</vt:i4>
      </vt:variant>
      <vt:variant>
        <vt:i4>15</vt:i4>
      </vt:variant>
      <vt:variant>
        <vt:i4>0</vt:i4>
      </vt:variant>
      <vt:variant>
        <vt:i4>5</vt:i4>
      </vt:variant>
      <vt:variant>
        <vt:lpwstr>https://training.gov.au/</vt:lpwstr>
      </vt:variant>
      <vt:variant>
        <vt:lpwstr/>
      </vt:variant>
      <vt:variant>
        <vt:i4>5963855</vt:i4>
      </vt:variant>
      <vt:variant>
        <vt:i4>12</vt:i4>
      </vt:variant>
      <vt:variant>
        <vt:i4>0</vt:i4>
      </vt:variant>
      <vt:variant>
        <vt:i4>5</vt:i4>
      </vt:variant>
      <vt:variant>
        <vt:lpwstr>https://training.gov.au/</vt:lpwstr>
      </vt:variant>
      <vt:variant>
        <vt:lpwstr/>
      </vt:variant>
      <vt:variant>
        <vt:i4>983113</vt:i4>
      </vt:variant>
      <vt:variant>
        <vt:i4>9</vt:i4>
      </vt:variant>
      <vt:variant>
        <vt:i4>0</vt:i4>
      </vt:variant>
      <vt:variant>
        <vt:i4>5</vt:i4>
      </vt:variant>
      <vt:variant>
        <vt:lpwstr>https://www.aioh.org.au/</vt:lpwstr>
      </vt:variant>
      <vt:variant>
        <vt:lpwstr/>
      </vt:variant>
      <vt:variant>
        <vt:i4>983113</vt:i4>
      </vt:variant>
      <vt:variant>
        <vt:i4>6</vt:i4>
      </vt:variant>
      <vt:variant>
        <vt:i4>0</vt:i4>
      </vt:variant>
      <vt:variant>
        <vt:i4>5</vt:i4>
      </vt:variant>
      <vt:variant>
        <vt:lpwstr>https://www.aioh.org.au/</vt:lpwstr>
      </vt:variant>
      <vt:variant>
        <vt:lpwstr/>
      </vt:variant>
      <vt:variant>
        <vt:i4>6094935</vt:i4>
      </vt:variant>
      <vt:variant>
        <vt:i4>3</vt:i4>
      </vt:variant>
      <vt:variant>
        <vt:i4>0</vt:i4>
      </vt:variant>
      <vt:variant>
        <vt:i4>5</vt:i4>
      </vt:variant>
      <vt:variant>
        <vt:lpwstr>https://www.safeworkaustralia.gov.au/doc/workplace-exposure-limits-airborne-contaminants</vt:lpwstr>
      </vt:variant>
      <vt:variant>
        <vt:lpwstr/>
      </vt:variant>
      <vt:variant>
        <vt:i4>131150</vt:i4>
      </vt:variant>
      <vt:variant>
        <vt:i4>0</vt:i4>
      </vt:variant>
      <vt:variant>
        <vt:i4>0</vt:i4>
      </vt:variant>
      <vt:variant>
        <vt:i4>5</vt:i4>
      </vt:variant>
      <vt:variant>
        <vt:lpwstr>https://www.safeworkaustralia.gov.au/doc/workplace-exposure-standards-airborne-contaminants-2025</vt:lpwstr>
      </vt:variant>
      <vt:variant>
        <vt:lpwstr/>
      </vt:variant>
      <vt:variant>
        <vt:i4>7405625</vt:i4>
      </vt:variant>
      <vt:variant>
        <vt:i4>3</vt:i4>
      </vt:variant>
      <vt:variant>
        <vt:i4>0</vt:i4>
      </vt:variant>
      <vt:variant>
        <vt:i4>5</vt:i4>
      </vt:variant>
      <vt:variant>
        <vt:lpwstr>http://www.fsc.gov.au/</vt:lpwstr>
      </vt:variant>
      <vt:variant>
        <vt:lpwstr/>
      </vt:variant>
      <vt:variant>
        <vt:i4>7405625</vt:i4>
      </vt:variant>
      <vt:variant>
        <vt:i4>0</vt:i4>
      </vt:variant>
      <vt:variant>
        <vt:i4>0</vt:i4>
      </vt:variant>
      <vt:variant>
        <vt:i4>5</vt:i4>
      </vt:variant>
      <vt:variant>
        <vt:lpwstr>http://www.fsc.gov.au/</vt:lpwstr>
      </vt:variant>
      <vt:variant>
        <vt:lpwstr/>
      </vt:variant>
      <vt:variant>
        <vt:i4>5636124</vt:i4>
      </vt:variant>
      <vt:variant>
        <vt:i4>6</vt:i4>
      </vt:variant>
      <vt:variant>
        <vt:i4>0</vt:i4>
      </vt:variant>
      <vt:variant>
        <vt:i4>5</vt:i4>
      </vt:variant>
      <vt:variant>
        <vt:lpwstr>https://www.fsc.gov.au/disclaimer</vt:lpwstr>
      </vt:variant>
      <vt:variant>
        <vt:lpwstr/>
      </vt:variant>
      <vt:variant>
        <vt:i4>2162741</vt:i4>
      </vt:variant>
      <vt:variant>
        <vt:i4>3</vt:i4>
      </vt:variant>
      <vt:variant>
        <vt:i4>0</vt:i4>
      </vt:variant>
      <vt:variant>
        <vt:i4>5</vt:i4>
      </vt:variant>
      <vt:variant>
        <vt:lpwstr>https://www.fsc.gov.au/</vt:lpwstr>
      </vt:variant>
      <vt:variant>
        <vt:lpwstr/>
      </vt:variant>
      <vt:variant>
        <vt:i4>3997707</vt:i4>
      </vt:variant>
      <vt:variant>
        <vt:i4>0</vt:i4>
      </vt:variant>
      <vt:variant>
        <vt:i4>0</vt:i4>
      </vt:variant>
      <vt:variant>
        <vt:i4>5</vt:i4>
      </vt:variant>
      <vt:variant>
        <vt:lpwstr>https://www.fsc.gov.au/useful-documents-downloads?s=FSC+Audit+Criteria</vt:lpwstr>
      </vt:variant>
      <vt:variant>
        <vt:lpwstr>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TRAN,Viet</dc:creator>
  <cp:keywords/>
  <dc:description/>
  <cp:lastModifiedBy>TRAN,Viet</cp:lastModifiedBy>
  <cp:revision>4</cp:revision>
  <cp:lastPrinted>2026-10-01T05:27:00Z</cp:lastPrinted>
  <dcterms:created xsi:type="dcterms:W3CDTF">2026-10-01T05:26:00Z</dcterms:created>
  <dcterms:modified xsi:type="dcterms:W3CDTF">2026-10-01T05:27:00Z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2026-10-01T05:26:29Z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750b7539-a0ad-4832-9960-9ae09276c6fb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